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5C93" w14:textId="52BC05F0" w:rsidR="007E3A65" w:rsidRPr="00A41398" w:rsidRDefault="00236C04" w:rsidP="2ED36212">
      <w:pPr>
        <w:pStyle w:val="Subtitle"/>
        <w:jc w:val="left"/>
        <w:rPr>
          <w:rFonts w:ascii="Segoe UI" w:hAnsi="Segoe UI" w:cs="Segoe UI"/>
          <w:i w:val="0"/>
          <w:iCs w:val="0"/>
          <w:color w:val="133286" w:themeColor="text2"/>
        </w:rPr>
      </w:pPr>
      <w:r w:rsidRPr="2ED36212">
        <w:rPr>
          <w:rFonts w:ascii="Segoe UI" w:hAnsi="Segoe UI" w:cs="Segoe UI"/>
          <w:i w:val="0"/>
          <w:iCs w:val="0"/>
          <w:color w:val="133186"/>
        </w:rPr>
        <w:t>I</w:t>
      </w:r>
      <w:r w:rsidR="003F02EC" w:rsidRPr="2ED36212">
        <w:rPr>
          <w:rFonts w:ascii="Segoe UI" w:hAnsi="Segoe UI" w:cs="Segoe UI"/>
          <w:i w:val="0"/>
          <w:iCs w:val="0"/>
          <w:color w:val="133186"/>
        </w:rPr>
        <w:t>ndustrial Chemicals Categorisation Guidelines</w:t>
      </w:r>
    </w:p>
    <w:p w14:paraId="1DC44E11" w14:textId="351A1638" w:rsidR="005360DF" w:rsidRPr="007B08C9" w:rsidRDefault="526CA68A" w:rsidP="00123AC5">
      <w:pPr>
        <w:rPr>
          <w:rFonts w:ascii="Segoe UI Semibold" w:hAnsi="Segoe UI Semibold" w:cs="Segoe UI"/>
          <w:color w:val="133286" w:themeColor="text2"/>
          <w:sz w:val="36"/>
          <w:szCs w:val="36"/>
        </w:rPr>
      </w:pPr>
      <w:r w:rsidRPr="26E6BBF7">
        <w:rPr>
          <w:rFonts w:ascii="Segoe UI Semibold" w:hAnsi="Segoe UI Semibold" w:cs="Segoe UI"/>
          <w:color w:val="133286" w:themeColor="text2"/>
          <w:sz w:val="36"/>
          <w:szCs w:val="36"/>
        </w:rPr>
        <w:t xml:space="preserve">FINAL </w:t>
      </w:r>
    </w:p>
    <w:p w14:paraId="0EF3B3C7" w14:textId="77777777" w:rsidR="005360DF" w:rsidRDefault="005360DF" w:rsidP="00123AC5">
      <w:pPr>
        <w:rPr>
          <w:rFonts w:ascii="Segoe UI Semibold" w:hAnsi="Segoe UI Semibold" w:cs="Segoe UI"/>
          <w:color w:val="133286" w:themeColor="text2"/>
          <w:sz w:val="24"/>
        </w:rPr>
      </w:pPr>
    </w:p>
    <w:p w14:paraId="3644855A" w14:textId="77777777" w:rsidR="00123AC5" w:rsidRPr="007B08C9" w:rsidRDefault="00123AC5" w:rsidP="00123AC5">
      <w:pPr>
        <w:rPr>
          <w:rFonts w:ascii="Segoe UI Semibold" w:hAnsi="Segoe UI Semibold" w:cs="Segoe UI"/>
          <w:color w:val="133286" w:themeColor="text2"/>
          <w:sz w:val="28"/>
          <w:szCs w:val="28"/>
        </w:rPr>
      </w:pPr>
      <w:r w:rsidRPr="007B08C9">
        <w:rPr>
          <w:rFonts w:ascii="Segoe UI Semibold" w:hAnsi="Segoe UI Semibold" w:cs="Segoe UI"/>
          <w:color w:val="133286" w:themeColor="text2"/>
          <w:sz w:val="28"/>
          <w:szCs w:val="28"/>
        </w:rPr>
        <w:t>Australian Industrial Chemicals Introduction Scheme (AICIS)</w:t>
      </w:r>
    </w:p>
    <w:p w14:paraId="7DBCA00A" w14:textId="77777777" w:rsidR="00244A5F" w:rsidRPr="00485858" w:rsidRDefault="00244A5F" w:rsidP="00E73228">
      <w:pPr>
        <w:rPr>
          <w:rFonts w:cs="Segoe UI"/>
        </w:rPr>
      </w:pPr>
    </w:p>
    <w:p w14:paraId="48549160" w14:textId="72B1A942" w:rsidR="00244A5F" w:rsidRPr="007B08C9" w:rsidRDefault="51711FB4" w:rsidP="00E73228">
      <w:pPr>
        <w:rPr>
          <w:rFonts w:ascii="Segoe UI Semibold" w:hAnsi="Segoe UI Semibold" w:cs="Segoe UI"/>
          <w:color w:val="133286" w:themeColor="text2"/>
          <w:sz w:val="24"/>
          <w:szCs w:val="24"/>
        </w:rPr>
      </w:pPr>
      <w:r w:rsidRPr="007B08C9">
        <w:rPr>
          <w:rFonts w:ascii="Segoe UI Semibold" w:hAnsi="Segoe UI Semibold" w:cs="Segoe UI"/>
          <w:color w:val="133286" w:themeColor="text2"/>
          <w:sz w:val="24"/>
          <w:szCs w:val="24"/>
        </w:rPr>
        <w:t>Date:</w:t>
      </w:r>
      <w:r w:rsidR="2A2C2A59" w:rsidRPr="007B08C9">
        <w:rPr>
          <w:rFonts w:ascii="Segoe UI Semibold" w:hAnsi="Segoe UI Semibold" w:cs="Segoe UI"/>
          <w:color w:val="133286" w:themeColor="text2"/>
          <w:sz w:val="24"/>
          <w:szCs w:val="24"/>
        </w:rPr>
        <w:t xml:space="preserve"> </w:t>
      </w:r>
      <w:r w:rsidR="00934AF6">
        <w:rPr>
          <w:rFonts w:ascii="Segoe UI Semibold" w:hAnsi="Segoe UI Semibold" w:cs="Segoe UI"/>
          <w:color w:val="133286" w:themeColor="text2"/>
          <w:sz w:val="24"/>
          <w:szCs w:val="24"/>
        </w:rPr>
        <w:t xml:space="preserve">24 </w:t>
      </w:r>
      <w:r w:rsidR="2A2C2A59" w:rsidRPr="007B08C9">
        <w:rPr>
          <w:rFonts w:ascii="Segoe UI Semibold" w:hAnsi="Segoe UI Semibold" w:cs="Segoe UI"/>
          <w:color w:val="133286" w:themeColor="text2"/>
          <w:sz w:val="24"/>
          <w:szCs w:val="24"/>
        </w:rPr>
        <w:t>Ju</w:t>
      </w:r>
      <w:r w:rsidR="00934AF6">
        <w:rPr>
          <w:rFonts w:ascii="Segoe UI Semibold" w:hAnsi="Segoe UI Semibold" w:cs="Segoe UI"/>
          <w:color w:val="133286" w:themeColor="text2"/>
          <w:sz w:val="24"/>
          <w:szCs w:val="24"/>
        </w:rPr>
        <w:t xml:space="preserve">ne </w:t>
      </w:r>
      <w:r w:rsidR="2A2C2A59" w:rsidRPr="007B08C9">
        <w:rPr>
          <w:rFonts w:ascii="Segoe UI Semibold" w:hAnsi="Segoe UI Semibold" w:cs="Segoe UI"/>
          <w:color w:val="133286" w:themeColor="text2"/>
          <w:sz w:val="24"/>
          <w:szCs w:val="24"/>
        </w:rPr>
        <w:t>2020</w:t>
      </w:r>
      <w:r w:rsidR="00AC7844" w:rsidRPr="007B08C9">
        <w:rPr>
          <w:rFonts w:ascii="Segoe UI Semibold" w:hAnsi="Segoe UI Semibold" w:cs="Segoe UI"/>
          <w:color w:val="133286" w:themeColor="text2"/>
          <w:sz w:val="24"/>
          <w:szCs w:val="28"/>
        </w:rPr>
        <w:tab/>
      </w:r>
    </w:p>
    <w:p w14:paraId="6F59DF85" w14:textId="77777777" w:rsidR="004A493D" w:rsidRPr="00AF226A" w:rsidRDefault="004A493D" w:rsidP="00E73228">
      <w:pPr>
        <w:rPr>
          <w:rFonts w:cs="Segoe UI"/>
          <w:sz w:val="144"/>
          <w:szCs w:val="144"/>
        </w:rPr>
      </w:pPr>
    </w:p>
    <w:p w14:paraId="65E0F4BD" w14:textId="77777777" w:rsidR="00AF226A" w:rsidRPr="00AF226A" w:rsidRDefault="00AF226A" w:rsidP="00E73228">
      <w:pPr>
        <w:rPr>
          <w:rFonts w:cs="Segoe UI"/>
          <w:sz w:val="140"/>
          <w:szCs w:val="140"/>
        </w:rPr>
        <w:sectPr w:rsidR="00AF226A" w:rsidRPr="00AF226A" w:rsidSect="0021060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vAlign w:val="center"/>
          <w:titlePg/>
          <w:docGrid w:linePitch="360"/>
        </w:sectPr>
      </w:pPr>
    </w:p>
    <w:p w14:paraId="0219E795" w14:textId="77777777" w:rsidR="007E3A65" w:rsidRPr="00485858" w:rsidRDefault="77A0D1C1" w:rsidP="26E6BBF7">
      <w:pPr>
        <w:pStyle w:val="TOCHeading"/>
        <w:tabs>
          <w:tab w:val="left" w:pos="6798"/>
        </w:tabs>
        <w:rPr>
          <w:rFonts w:cs="Segoe UI"/>
        </w:rPr>
      </w:pPr>
      <w:r w:rsidRPr="00485858">
        <w:rPr>
          <w:rFonts w:cs="Segoe UI"/>
        </w:rPr>
        <w:lastRenderedPageBreak/>
        <w:t>Table of Contents</w:t>
      </w:r>
      <w:r w:rsidR="00BF5FEC">
        <w:rPr>
          <w:rFonts w:cs="Segoe UI"/>
        </w:rPr>
        <w:tab/>
      </w:r>
    </w:p>
    <w:p w14:paraId="101C617B" w14:textId="19F4DC35" w:rsidR="005740F7" w:rsidRDefault="000C31C2">
      <w:pPr>
        <w:pStyle w:val="TOC1"/>
        <w:rPr>
          <w:rFonts w:asciiTheme="minorHAnsi" w:hAnsiTheme="minorHAnsi"/>
          <w:b w:val="0"/>
          <w:color w:val="auto"/>
          <w:sz w:val="22"/>
          <w:lang w:eastAsia="en-AU"/>
        </w:rPr>
      </w:pPr>
      <w:r w:rsidRPr="00485858">
        <w:rPr>
          <w:rFonts w:cs="Segoe UI"/>
        </w:rPr>
        <w:fldChar w:fldCharType="begin"/>
      </w:r>
      <w:r w:rsidRPr="00485858">
        <w:rPr>
          <w:rFonts w:cs="Segoe UI"/>
        </w:rPr>
        <w:instrText xml:space="preserve"> TOC \o "1-2" \h \z \u </w:instrText>
      </w:r>
      <w:r w:rsidRPr="00485858">
        <w:rPr>
          <w:rFonts w:cs="Segoe UI"/>
        </w:rPr>
        <w:fldChar w:fldCharType="separate"/>
      </w:r>
      <w:hyperlink w:anchor="_Toc43890187" w:history="1">
        <w:r w:rsidR="005740F7" w:rsidRPr="00E85D10">
          <w:rPr>
            <w:rStyle w:val="Hyperlink"/>
          </w:rPr>
          <w:t>1</w:t>
        </w:r>
        <w:r w:rsidR="005740F7">
          <w:rPr>
            <w:rFonts w:asciiTheme="minorHAnsi" w:hAnsiTheme="minorHAnsi"/>
            <w:b w:val="0"/>
            <w:color w:val="auto"/>
            <w:sz w:val="22"/>
            <w:lang w:eastAsia="en-AU"/>
          </w:rPr>
          <w:tab/>
        </w:r>
        <w:r w:rsidR="005740F7" w:rsidRPr="00E85D10">
          <w:rPr>
            <w:rStyle w:val="Hyperlink"/>
          </w:rPr>
          <w:t>About these Guidelines</w:t>
        </w:r>
        <w:r w:rsidR="005740F7">
          <w:rPr>
            <w:webHidden/>
          </w:rPr>
          <w:tab/>
        </w:r>
        <w:r w:rsidR="005740F7">
          <w:rPr>
            <w:webHidden/>
          </w:rPr>
          <w:fldChar w:fldCharType="begin"/>
        </w:r>
        <w:r w:rsidR="005740F7">
          <w:rPr>
            <w:webHidden/>
          </w:rPr>
          <w:instrText xml:space="preserve"> PAGEREF _Toc43890187 \h </w:instrText>
        </w:r>
        <w:r w:rsidR="005740F7">
          <w:rPr>
            <w:webHidden/>
          </w:rPr>
        </w:r>
        <w:r w:rsidR="005740F7">
          <w:rPr>
            <w:webHidden/>
          </w:rPr>
          <w:fldChar w:fldCharType="separate"/>
        </w:r>
        <w:r w:rsidR="005740F7">
          <w:rPr>
            <w:webHidden/>
          </w:rPr>
          <w:t>4</w:t>
        </w:r>
        <w:r w:rsidR="005740F7">
          <w:rPr>
            <w:webHidden/>
          </w:rPr>
          <w:fldChar w:fldCharType="end"/>
        </w:r>
      </w:hyperlink>
    </w:p>
    <w:p w14:paraId="2BD45A11" w14:textId="37AF0165" w:rsidR="005740F7" w:rsidRDefault="00963848">
      <w:pPr>
        <w:pStyle w:val="TOC1"/>
        <w:rPr>
          <w:rFonts w:asciiTheme="minorHAnsi" w:hAnsiTheme="minorHAnsi"/>
          <w:b w:val="0"/>
          <w:color w:val="auto"/>
          <w:sz w:val="22"/>
          <w:lang w:eastAsia="en-AU"/>
        </w:rPr>
      </w:pPr>
      <w:hyperlink w:anchor="_Toc43890188" w:history="1">
        <w:r w:rsidR="005740F7" w:rsidRPr="00E85D10">
          <w:rPr>
            <w:rStyle w:val="Hyperlink"/>
          </w:rPr>
          <w:t>2</w:t>
        </w:r>
        <w:r w:rsidR="005740F7">
          <w:rPr>
            <w:rFonts w:asciiTheme="minorHAnsi" w:hAnsiTheme="minorHAnsi"/>
            <w:b w:val="0"/>
            <w:color w:val="auto"/>
            <w:sz w:val="22"/>
            <w:lang w:eastAsia="en-AU"/>
          </w:rPr>
          <w:tab/>
        </w:r>
        <w:r w:rsidR="005740F7" w:rsidRPr="00E85D10">
          <w:rPr>
            <w:rStyle w:val="Hyperlink"/>
          </w:rPr>
          <w:t>Definitions of terms in Chapter 1, Part 1 of the IC General Rules</w:t>
        </w:r>
        <w:r w:rsidR="005740F7">
          <w:rPr>
            <w:webHidden/>
          </w:rPr>
          <w:tab/>
        </w:r>
        <w:r w:rsidR="005740F7">
          <w:rPr>
            <w:webHidden/>
          </w:rPr>
          <w:fldChar w:fldCharType="begin"/>
        </w:r>
        <w:r w:rsidR="005740F7">
          <w:rPr>
            <w:webHidden/>
          </w:rPr>
          <w:instrText xml:space="preserve"> PAGEREF _Toc43890188 \h </w:instrText>
        </w:r>
        <w:r w:rsidR="005740F7">
          <w:rPr>
            <w:webHidden/>
          </w:rPr>
        </w:r>
        <w:r w:rsidR="005740F7">
          <w:rPr>
            <w:webHidden/>
          </w:rPr>
          <w:fldChar w:fldCharType="separate"/>
        </w:r>
        <w:r w:rsidR="005740F7">
          <w:rPr>
            <w:webHidden/>
          </w:rPr>
          <w:t>5</w:t>
        </w:r>
        <w:r w:rsidR="005740F7">
          <w:rPr>
            <w:webHidden/>
          </w:rPr>
          <w:fldChar w:fldCharType="end"/>
        </w:r>
      </w:hyperlink>
    </w:p>
    <w:p w14:paraId="0C90025D" w14:textId="2D0E4A1E" w:rsidR="005740F7" w:rsidRDefault="00963848">
      <w:pPr>
        <w:pStyle w:val="TOC2"/>
        <w:rPr>
          <w:rFonts w:asciiTheme="minorHAnsi" w:hAnsiTheme="minorHAnsi"/>
          <w:lang w:eastAsia="en-AU"/>
        </w:rPr>
      </w:pPr>
      <w:hyperlink w:anchor="_Toc43890189" w:history="1">
        <w:r w:rsidR="005740F7" w:rsidRPr="00E85D10">
          <w:rPr>
            <w:rStyle w:val="Hyperlink"/>
          </w:rPr>
          <w:t>2.1</w:t>
        </w:r>
        <w:r w:rsidR="005740F7">
          <w:rPr>
            <w:rFonts w:asciiTheme="minorHAnsi" w:hAnsiTheme="minorHAnsi"/>
            <w:lang w:eastAsia="en-AU"/>
          </w:rPr>
          <w:tab/>
        </w:r>
        <w:r w:rsidR="005740F7" w:rsidRPr="00E85D10">
          <w:rPr>
            <w:rStyle w:val="Hyperlink"/>
          </w:rPr>
          <w:t>Section 5 of the IC General Rules</w:t>
        </w:r>
        <w:r w:rsidR="005740F7">
          <w:rPr>
            <w:webHidden/>
          </w:rPr>
          <w:tab/>
        </w:r>
        <w:r w:rsidR="005740F7">
          <w:rPr>
            <w:webHidden/>
          </w:rPr>
          <w:fldChar w:fldCharType="begin"/>
        </w:r>
        <w:r w:rsidR="005740F7">
          <w:rPr>
            <w:webHidden/>
          </w:rPr>
          <w:instrText xml:space="preserve"> PAGEREF _Toc43890189 \h </w:instrText>
        </w:r>
        <w:r w:rsidR="005740F7">
          <w:rPr>
            <w:webHidden/>
          </w:rPr>
        </w:r>
        <w:r w:rsidR="005740F7">
          <w:rPr>
            <w:webHidden/>
          </w:rPr>
          <w:fldChar w:fldCharType="separate"/>
        </w:r>
        <w:r w:rsidR="005740F7">
          <w:rPr>
            <w:webHidden/>
          </w:rPr>
          <w:t>5</w:t>
        </w:r>
        <w:r w:rsidR="005740F7">
          <w:rPr>
            <w:webHidden/>
          </w:rPr>
          <w:fldChar w:fldCharType="end"/>
        </w:r>
      </w:hyperlink>
    </w:p>
    <w:p w14:paraId="0BB76881" w14:textId="30AB38D2" w:rsidR="005740F7" w:rsidRDefault="00963848">
      <w:pPr>
        <w:pStyle w:val="TOC2"/>
        <w:rPr>
          <w:rFonts w:asciiTheme="minorHAnsi" w:hAnsiTheme="minorHAnsi"/>
          <w:lang w:eastAsia="en-AU"/>
        </w:rPr>
      </w:pPr>
      <w:hyperlink w:anchor="_Toc43890190" w:history="1">
        <w:r w:rsidR="005740F7" w:rsidRPr="00E85D10">
          <w:rPr>
            <w:rStyle w:val="Hyperlink"/>
          </w:rPr>
          <w:t>2.2</w:t>
        </w:r>
        <w:r w:rsidR="005740F7">
          <w:rPr>
            <w:rFonts w:asciiTheme="minorHAnsi" w:hAnsiTheme="minorHAnsi"/>
            <w:lang w:eastAsia="en-AU"/>
          </w:rPr>
          <w:tab/>
        </w:r>
        <w:r w:rsidR="005740F7" w:rsidRPr="00E85D10">
          <w:rPr>
            <w:rStyle w:val="Hyperlink"/>
          </w:rPr>
          <w:t>Section 6 of the IC General Rules</w:t>
        </w:r>
        <w:r w:rsidR="005740F7">
          <w:rPr>
            <w:webHidden/>
          </w:rPr>
          <w:tab/>
        </w:r>
        <w:r w:rsidR="005740F7">
          <w:rPr>
            <w:webHidden/>
          </w:rPr>
          <w:fldChar w:fldCharType="begin"/>
        </w:r>
        <w:r w:rsidR="005740F7">
          <w:rPr>
            <w:webHidden/>
          </w:rPr>
          <w:instrText xml:space="preserve"> PAGEREF _Toc43890190 \h </w:instrText>
        </w:r>
        <w:r w:rsidR="005740F7">
          <w:rPr>
            <w:webHidden/>
          </w:rPr>
        </w:r>
        <w:r w:rsidR="005740F7">
          <w:rPr>
            <w:webHidden/>
          </w:rPr>
          <w:fldChar w:fldCharType="separate"/>
        </w:r>
        <w:r w:rsidR="005740F7">
          <w:rPr>
            <w:webHidden/>
          </w:rPr>
          <w:t>17</w:t>
        </w:r>
        <w:r w:rsidR="005740F7">
          <w:rPr>
            <w:webHidden/>
          </w:rPr>
          <w:fldChar w:fldCharType="end"/>
        </w:r>
      </w:hyperlink>
    </w:p>
    <w:p w14:paraId="1630D19E" w14:textId="4F5C825F" w:rsidR="005740F7" w:rsidRDefault="00963848">
      <w:pPr>
        <w:pStyle w:val="TOC1"/>
        <w:rPr>
          <w:rFonts w:asciiTheme="minorHAnsi" w:hAnsiTheme="minorHAnsi"/>
          <w:b w:val="0"/>
          <w:color w:val="auto"/>
          <w:sz w:val="22"/>
          <w:lang w:eastAsia="en-AU"/>
        </w:rPr>
      </w:pPr>
      <w:hyperlink w:anchor="_Toc43890191" w:history="1">
        <w:r w:rsidR="005740F7" w:rsidRPr="00E85D10">
          <w:rPr>
            <w:rStyle w:val="Hyperlink"/>
          </w:rPr>
          <w:t>3</w:t>
        </w:r>
        <w:r w:rsidR="005740F7">
          <w:rPr>
            <w:rFonts w:asciiTheme="minorHAnsi" w:hAnsiTheme="minorHAnsi"/>
            <w:b w:val="0"/>
            <w:color w:val="auto"/>
            <w:sz w:val="22"/>
            <w:lang w:eastAsia="en-AU"/>
          </w:rPr>
          <w:tab/>
        </w:r>
        <w:r w:rsidR="005740F7" w:rsidRPr="00E85D10">
          <w:rPr>
            <w:rStyle w:val="Hyperlink"/>
          </w:rPr>
          <w:t>Definition of terms in Chapter 2, Part 2 of the IC General Rules</w:t>
        </w:r>
        <w:r w:rsidR="005740F7">
          <w:rPr>
            <w:webHidden/>
          </w:rPr>
          <w:tab/>
        </w:r>
        <w:r w:rsidR="005740F7">
          <w:rPr>
            <w:webHidden/>
          </w:rPr>
          <w:fldChar w:fldCharType="begin"/>
        </w:r>
        <w:r w:rsidR="005740F7">
          <w:rPr>
            <w:webHidden/>
          </w:rPr>
          <w:instrText xml:space="preserve"> PAGEREF _Toc43890191 \h </w:instrText>
        </w:r>
        <w:r w:rsidR="005740F7">
          <w:rPr>
            <w:webHidden/>
          </w:rPr>
        </w:r>
        <w:r w:rsidR="005740F7">
          <w:rPr>
            <w:webHidden/>
          </w:rPr>
          <w:fldChar w:fldCharType="separate"/>
        </w:r>
        <w:r w:rsidR="005740F7">
          <w:rPr>
            <w:webHidden/>
          </w:rPr>
          <w:t>17</w:t>
        </w:r>
        <w:r w:rsidR="005740F7">
          <w:rPr>
            <w:webHidden/>
          </w:rPr>
          <w:fldChar w:fldCharType="end"/>
        </w:r>
      </w:hyperlink>
    </w:p>
    <w:p w14:paraId="69E64914" w14:textId="535B52C6" w:rsidR="005740F7" w:rsidRDefault="00963848">
      <w:pPr>
        <w:pStyle w:val="TOC2"/>
        <w:rPr>
          <w:rFonts w:asciiTheme="minorHAnsi" w:hAnsiTheme="minorHAnsi"/>
          <w:lang w:eastAsia="en-AU"/>
        </w:rPr>
      </w:pPr>
      <w:hyperlink w:anchor="_Toc43890192" w:history="1">
        <w:r w:rsidR="005740F7" w:rsidRPr="00E85D10">
          <w:rPr>
            <w:rStyle w:val="Hyperlink"/>
          </w:rPr>
          <w:t>3.1</w:t>
        </w:r>
        <w:r w:rsidR="005740F7">
          <w:rPr>
            <w:rFonts w:asciiTheme="minorHAnsi" w:hAnsiTheme="minorHAnsi"/>
            <w:lang w:eastAsia="en-AU"/>
          </w:rPr>
          <w:tab/>
        </w:r>
        <w:r w:rsidR="005740F7" w:rsidRPr="00E85D10">
          <w:rPr>
            <w:rStyle w:val="Hyperlink"/>
          </w:rPr>
          <w:t>High molecular weight polymer that has lung overloading potential</w:t>
        </w:r>
        <w:r w:rsidR="005740F7">
          <w:rPr>
            <w:webHidden/>
          </w:rPr>
          <w:tab/>
        </w:r>
        <w:r w:rsidR="005740F7">
          <w:rPr>
            <w:webHidden/>
          </w:rPr>
          <w:fldChar w:fldCharType="begin"/>
        </w:r>
        <w:r w:rsidR="005740F7">
          <w:rPr>
            <w:webHidden/>
          </w:rPr>
          <w:instrText xml:space="preserve"> PAGEREF _Toc43890192 \h </w:instrText>
        </w:r>
        <w:r w:rsidR="005740F7">
          <w:rPr>
            <w:webHidden/>
          </w:rPr>
        </w:r>
        <w:r w:rsidR="005740F7">
          <w:rPr>
            <w:webHidden/>
          </w:rPr>
          <w:fldChar w:fldCharType="separate"/>
        </w:r>
        <w:r w:rsidR="005740F7">
          <w:rPr>
            <w:webHidden/>
          </w:rPr>
          <w:t>17</w:t>
        </w:r>
        <w:r w:rsidR="005740F7">
          <w:rPr>
            <w:webHidden/>
          </w:rPr>
          <w:fldChar w:fldCharType="end"/>
        </w:r>
      </w:hyperlink>
    </w:p>
    <w:p w14:paraId="428E6453" w14:textId="1DCD16F1" w:rsidR="005740F7" w:rsidRDefault="00963848">
      <w:pPr>
        <w:pStyle w:val="TOC1"/>
        <w:rPr>
          <w:rFonts w:asciiTheme="minorHAnsi" w:hAnsiTheme="minorHAnsi"/>
          <w:b w:val="0"/>
          <w:color w:val="auto"/>
          <w:sz w:val="22"/>
          <w:lang w:eastAsia="en-AU"/>
        </w:rPr>
      </w:pPr>
      <w:hyperlink w:anchor="_Toc43890193" w:history="1">
        <w:r w:rsidR="005740F7" w:rsidRPr="00E85D10">
          <w:rPr>
            <w:rStyle w:val="Hyperlink"/>
          </w:rPr>
          <w:t>4</w:t>
        </w:r>
        <w:r w:rsidR="005740F7">
          <w:rPr>
            <w:rFonts w:asciiTheme="minorHAnsi" w:hAnsiTheme="minorHAnsi"/>
            <w:b w:val="0"/>
            <w:color w:val="auto"/>
            <w:sz w:val="22"/>
            <w:lang w:eastAsia="en-AU"/>
          </w:rPr>
          <w:tab/>
        </w:r>
        <w:r w:rsidR="005740F7" w:rsidRPr="00E85D10">
          <w:rPr>
            <w:rStyle w:val="Hyperlink"/>
          </w:rPr>
          <w:t>Definition of terms in Chapter 2, Part 3 of the IC General Rules</w:t>
        </w:r>
        <w:r w:rsidR="005740F7">
          <w:rPr>
            <w:webHidden/>
          </w:rPr>
          <w:tab/>
        </w:r>
        <w:r w:rsidR="005740F7">
          <w:rPr>
            <w:webHidden/>
          </w:rPr>
          <w:fldChar w:fldCharType="begin"/>
        </w:r>
        <w:r w:rsidR="005740F7">
          <w:rPr>
            <w:webHidden/>
          </w:rPr>
          <w:instrText xml:space="preserve"> PAGEREF _Toc43890193 \h </w:instrText>
        </w:r>
        <w:r w:rsidR="005740F7">
          <w:rPr>
            <w:webHidden/>
          </w:rPr>
        </w:r>
        <w:r w:rsidR="005740F7">
          <w:rPr>
            <w:webHidden/>
          </w:rPr>
          <w:fldChar w:fldCharType="separate"/>
        </w:r>
        <w:r w:rsidR="005740F7">
          <w:rPr>
            <w:webHidden/>
          </w:rPr>
          <w:t>17</w:t>
        </w:r>
        <w:r w:rsidR="005740F7">
          <w:rPr>
            <w:webHidden/>
          </w:rPr>
          <w:fldChar w:fldCharType="end"/>
        </w:r>
      </w:hyperlink>
    </w:p>
    <w:p w14:paraId="6BAB98BE" w14:textId="7F0735A9" w:rsidR="005740F7" w:rsidRDefault="00963848">
      <w:pPr>
        <w:pStyle w:val="TOC2"/>
        <w:rPr>
          <w:rFonts w:asciiTheme="minorHAnsi" w:hAnsiTheme="minorHAnsi"/>
          <w:lang w:eastAsia="en-AU"/>
        </w:rPr>
      </w:pPr>
      <w:hyperlink w:anchor="_Toc43890194" w:history="1">
        <w:r w:rsidR="005740F7" w:rsidRPr="00E85D10">
          <w:rPr>
            <w:rStyle w:val="Hyperlink"/>
          </w:rPr>
          <w:t>4.1</w:t>
        </w:r>
        <w:r w:rsidR="005740F7">
          <w:rPr>
            <w:rFonts w:asciiTheme="minorHAnsi" w:hAnsiTheme="minorHAnsi"/>
            <w:lang w:eastAsia="en-AU"/>
          </w:rPr>
          <w:tab/>
        </w:r>
        <w:r w:rsidR="005740F7" w:rsidRPr="00E85D10">
          <w:rPr>
            <w:rStyle w:val="Hyperlink"/>
          </w:rPr>
          <w:t>Section 28 of the IC General Rules</w:t>
        </w:r>
        <w:r w:rsidR="005740F7">
          <w:rPr>
            <w:webHidden/>
          </w:rPr>
          <w:tab/>
        </w:r>
        <w:r w:rsidR="005740F7">
          <w:rPr>
            <w:webHidden/>
          </w:rPr>
          <w:fldChar w:fldCharType="begin"/>
        </w:r>
        <w:r w:rsidR="005740F7">
          <w:rPr>
            <w:webHidden/>
          </w:rPr>
          <w:instrText xml:space="preserve"> PAGEREF _Toc43890194 \h </w:instrText>
        </w:r>
        <w:r w:rsidR="005740F7">
          <w:rPr>
            <w:webHidden/>
          </w:rPr>
        </w:r>
        <w:r w:rsidR="005740F7">
          <w:rPr>
            <w:webHidden/>
          </w:rPr>
          <w:fldChar w:fldCharType="separate"/>
        </w:r>
        <w:r w:rsidR="005740F7">
          <w:rPr>
            <w:webHidden/>
          </w:rPr>
          <w:t>17</w:t>
        </w:r>
        <w:r w:rsidR="005740F7">
          <w:rPr>
            <w:webHidden/>
          </w:rPr>
          <w:fldChar w:fldCharType="end"/>
        </w:r>
      </w:hyperlink>
    </w:p>
    <w:p w14:paraId="310FB400" w14:textId="47B4CB58" w:rsidR="005740F7" w:rsidRDefault="00963848">
      <w:pPr>
        <w:pStyle w:val="TOC2"/>
        <w:rPr>
          <w:rFonts w:asciiTheme="minorHAnsi" w:hAnsiTheme="minorHAnsi"/>
          <w:lang w:eastAsia="en-AU"/>
        </w:rPr>
      </w:pPr>
      <w:hyperlink w:anchor="_Toc43890195" w:history="1">
        <w:r w:rsidR="005740F7" w:rsidRPr="00E85D10">
          <w:rPr>
            <w:rStyle w:val="Hyperlink"/>
          </w:rPr>
          <w:t>4.2</w:t>
        </w:r>
        <w:r w:rsidR="005740F7">
          <w:rPr>
            <w:rFonts w:asciiTheme="minorHAnsi" w:hAnsiTheme="minorHAnsi"/>
            <w:lang w:eastAsia="en-AU"/>
          </w:rPr>
          <w:tab/>
        </w:r>
        <w:r w:rsidR="005740F7" w:rsidRPr="00E85D10">
          <w:rPr>
            <w:rStyle w:val="Hyperlink"/>
          </w:rPr>
          <w:t>Section 29 of the IC General Rules</w:t>
        </w:r>
        <w:r w:rsidR="005740F7">
          <w:rPr>
            <w:webHidden/>
          </w:rPr>
          <w:tab/>
        </w:r>
        <w:r w:rsidR="005740F7">
          <w:rPr>
            <w:webHidden/>
          </w:rPr>
          <w:fldChar w:fldCharType="begin"/>
        </w:r>
        <w:r w:rsidR="005740F7">
          <w:rPr>
            <w:webHidden/>
          </w:rPr>
          <w:instrText xml:space="preserve"> PAGEREF _Toc43890195 \h </w:instrText>
        </w:r>
        <w:r w:rsidR="005740F7">
          <w:rPr>
            <w:webHidden/>
          </w:rPr>
        </w:r>
        <w:r w:rsidR="005740F7">
          <w:rPr>
            <w:webHidden/>
          </w:rPr>
          <w:fldChar w:fldCharType="separate"/>
        </w:r>
        <w:r w:rsidR="005740F7">
          <w:rPr>
            <w:webHidden/>
          </w:rPr>
          <w:t>18</w:t>
        </w:r>
        <w:r w:rsidR="005740F7">
          <w:rPr>
            <w:webHidden/>
          </w:rPr>
          <w:fldChar w:fldCharType="end"/>
        </w:r>
      </w:hyperlink>
    </w:p>
    <w:p w14:paraId="42792AF5" w14:textId="57E6EF95" w:rsidR="005740F7" w:rsidRDefault="00963848">
      <w:pPr>
        <w:pStyle w:val="TOC1"/>
        <w:rPr>
          <w:rFonts w:asciiTheme="minorHAnsi" w:hAnsiTheme="minorHAnsi"/>
          <w:b w:val="0"/>
          <w:color w:val="auto"/>
          <w:sz w:val="22"/>
          <w:lang w:eastAsia="en-AU"/>
        </w:rPr>
      </w:pPr>
      <w:hyperlink w:anchor="_Toc43890196" w:history="1">
        <w:r w:rsidR="005740F7" w:rsidRPr="00E85D10">
          <w:rPr>
            <w:rStyle w:val="Hyperlink"/>
          </w:rPr>
          <w:t>5</w:t>
        </w:r>
        <w:r w:rsidR="005740F7">
          <w:rPr>
            <w:rFonts w:asciiTheme="minorHAnsi" w:hAnsiTheme="minorHAnsi"/>
            <w:b w:val="0"/>
            <w:color w:val="auto"/>
            <w:sz w:val="22"/>
            <w:lang w:eastAsia="en-AU"/>
          </w:rPr>
          <w:tab/>
        </w:r>
        <w:r w:rsidR="005740F7" w:rsidRPr="00E85D10">
          <w:rPr>
            <w:rStyle w:val="Hyperlink"/>
          </w:rPr>
          <w:t>Definitions of terms in Chapter 4, Part 4 of the IC General Rules</w:t>
        </w:r>
        <w:r w:rsidR="005740F7">
          <w:rPr>
            <w:webHidden/>
          </w:rPr>
          <w:tab/>
        </w:r>
        <w:r w:rsidR="005740F7">
          <w:rPr>
            <w:webHidden/>
          </w:rPr>
          <w:fldChar w:fldCharType="begin"/>
        </w:r>
        <w:r w:rsidR="005740F7">
          <w:rPr>
            <w:webHidden/>
          </w:rPr>
          <w:instrText xml:space="preserve"> PAGEREF _Toc43890196 \h </w:instrText>
        </w:r>
        <w:r w:rsidR="005740F7">
          <w:rPr>
            <w:webHidden/>
          </w:rPr>
        </w:r>
        <w:r w:rsidR="005740F7">
          <w:rPr>
            <w:webHidden/>
          </w:rPr>
          <w:fldChar w:fldCharType="separate"/>
        </w:r>
        <w:r w:rsidR="005740F7">
          <w:rPr>
            <w:webHidden/>
          </w:rPr>
          <w:t>19</w:t>
        </w:r>
        <w:r w:rsidR="005740F7">
          <w:rPr>
            <w:webHidden/>
          </w:rPr>
          <w:fldChar w:fldCharType="end"/>
        </w:r>
      </w:hyperlink>
    </w:p>
    <w:p w14:paraId="3D71D35E" w14:textId="0C626B83" w:rsidR="005740F7" w:rsidRDefault="00963848">
      <w:pPr>
        <w:pStyle w:val="TOC2"/>
        <w:rPr>
          <w:rFonts w:asciiTheme="minorHAnsi" w:hAnsiTheme="minorHAnsi"/>
          <w:lang w:eastAsia="en-AU"/>
        </w:rPr>
      </w:pPr>
      <w:hyperlink w:anchor="_Toc43890197" w:history="1">
        <w:r w:rsidR="005740F7" w:rsidRPr="00E85D10">
          <w:rPr>
            <w:rStyle w:val="Hyperlink"/>
          </w:rPr>
          <w:t>5.1</w:t>
        </w:r>
        <w:r w:rsidR="005740F7">
          <w:rPr>
            <w:rFonts w:asciiTheme="minorHAnsi" w:hAnsiTheme="minorHAnsi"/>
            <w:lang w:eastAsia="en-AU"/>
          </w:rPr>
          <w:tab/>
        </w:r>
        <w:r w:rsidR="005740F7" w:rsidRPr="00E85D10">
          <w:rPr>
            <w:rStyle w:val="Hyperlink"/>
          </w:rPr>
          <w:t>The potential for the industrial chemical to migrate to food</w:t>
        </w:r>
        <w:r w:rsidR="005740F7">
          <w:rPr>
            <w:webHidden/>
          </w:rPr>
          <w:tab/>
        </w:r>
        <w:r w:rsidR="005740F7">
          <w:rPr>
            <w:webHidden/>
          </w:rPr>
          <w:fldChar w:fldCharType="begin"/>
        </w:r>
        <w:r w:rsidR="005740F7">
          <w:rPr>
            <w:webHidden/>
          </w:rPr>
          <w:instrText xml:space="preserve"> PAGEREF _Toc43890197 \h </w:instrText>
        </w:r>
        <w:r w:rsidR="005740F7">
          <w:rPr>
            <w:webHidden/>
          </w:rPr>
        </w:r>
        <w:r w:rsidR="005740F7">
          <w:rPr>
            <w:webHidden/>
          </w:rPr>
          <w:fldChar w:fldCharType="separate"/>
        </w:r>
        <w:r w:rsidR="005740F7">
          <w:rPr>
            <w:webHidden/>
          </w:rPr>
          <w:t>19</w:t>
        </w:r>
        <w:r w:rsidR="005740F7">
          <w:rPr>
            <w:webHidden/>
          </w:rPr>
          <w:fldChar w:fldCharType="end"/>
        </w:r>
      </w:hyperlink>
    </w:p>
    <w:p w14:paraId="52C6993C" w14:textId="3D3177FC" w:rsidR="005740F7" w:rsidRDefault="00963848">
      <w:pPr>
        <w:pStyle w:val="TOC2"/>
        <w:rPr>
          <w:rFonts w:asciiTheme="minorHAnsi" w:hAnsiTheme="minorHAnsi"/>
          <w:lang w:eastAsia="en-AU"/>
        </w:rPr>
      </w:pPr>
      <w:hyperlink w:anchor="_Toc43890198" w:history="1">
        <w:r w:rsidR="005740F7" w:rsidRPr="00E85D10">
          <w:rPr>
            <w:rStyle w:val="Hyperlink"/>
          </w:rPr>
          <w:t>5.2</w:t>
        </w:r>
        <w:r w:rsidR="005740F7">
          <w:rPr>
            <w:rFonts w:asciiTheme="minorHAnsi" w:hAnsiTheme="minorHAnsi"/>
            <w:lang w:eastAsia="en-AU"/>
          </w:rPr>
          <w:tab/>
        </w:r>
        <w:r w:rsidR="005740F7" w:rsidRPr="00E85D10">
          <w:rPr>
            <w:rStyle w:val="Hyperlink"/>
          </w:rPr>
          <w:t>The potential for the industrial chemical to be released into the mouth during end use or mouthing</w:t>
        </w:r>
        <w:r w:rsidR="005740F7">
          <w:rPr>
            <w:webHidden/>
          </w:rPr>
          <w:tab/>
        </w:r>
        <w:r w:rsidR="005740F7">
          <w:rPr>
            <w:webHidden/>
          </w:rPr>
          <w:fldChar w:fldCharType="begin"/>
        </w:r>
        <w:r w:rsidR="005740F7">
          <w:rPr>
            <w:webHidden/>
          </w:rPr>
          <w:instrText xml:space="preserve"> PAGEREF _Toc43890198 \h </w:instrText>
        </w:r>
        <w:r w:rsidR="005740F7">
          <w:rPr>
            <w:webHidden/>
          </w:rPr>
        </w:r>
        <w:r w:rsidR="005740F7">
          <w:rPr>
            <w:webHidden/>
          </w:rPr>
          <w:fldChar w:fldCharType="separate"/>
        </w:r>
        <w:r w:rsidR="005740F7">
          <w:rPr>
            <w:webHidden/>
          </w:rPr>
          <w:t>20</w:t>
        </w:r>
        <w:r w:rsidR="005740F7">
          <w:rPr>
            <w:webHidden/>
          </w:rPr>
          <w:fldChar w:fldCharType="end"/>
        </w:r>
      </w:hyperlink>
    </w:p>
    <w:p w14:paraId="27F175B4" w14:textId="2B57F12A" w:rsidR="005740F7" w:rsidRDefault="00963848">
      <w:pPr>
        <w:pStyle w:val="TOC2"/>
        <w:rPr>
          <w:rFonts w:asciiTheme="minorHAnsi" w:hAnsiTheme="minorHAnsi"/>
          <w:lang w:eastAsia="en-AU"/>
        </w:rPr>
      </w:pPr>
      <w:hyperlink w:anchor="_Toc43890199" w:history="1">
        <w:r w:rsidR="005740F7" w:rsidRPr="00E85D10">
          <w:rPr>
            <w:rStyle w:val="Hyperlink"/>
          </w:rPr>
          <w:t>5.3</w:t>
        </w:r>
        <w:r w:rsidR="005740F7">
          <w:rPr>
            <w:rFonts w:asciiTheme="minorHAnsi" w:hAnsiTheme="minorHAnsi"/>
            <w:lang w:eastAsia="en-AU"/>
          </w:rPr>
          <w:tab/>
        </w:r>
        <w:r w:rsidR="005740F7" w:rsidRPr="00E85D10">
          <w:rPr>
            <w:rStyle w:val="Hyperlink"/>
          </w:rPr>
          <w:t>Toxicokinetics information</w:t>
        </w:r>
        <w:r w:rsidR="005740F7">
          <w:rPr>
            <w:webHidden/>
          </w:rPr>
          <w:tab/>
        </w:r>
        <w:r w:rsidR="005740F7">
          <w:rPr>
            <w:webHidden/>
          </w:rPr>
          <w:fldChar w:fldCharType="begin"/>
        </w:r>
        <w:r w:rsidR="005740F7">
          <w:rPr>
            <w:webHidden/>
          </w:rPr>
          <w:instrText xml:space="preserve"> PAGEREF _Toc43890199 \h </w:instrText>
        </w:r>
        <w:r w:rsidR="005740F7">
          <w:rPr>
            <w:webHidden/>
          </w:rPr>
        </w:r>
        <w:r w:rsidR="005740F7">
          <w:rPr>
            <w:webHidden/>
          </w:rPr>
          <w:fldChar w:fldCharType="separate"/>
        </w:r>
        <w:r w:rsidR="005740F7">
          <w:rPr>
            <w:webHidden/>
          </w:rPr>
          <w:t>21</w:t>
        </w:r>
        <w:r w:rsidR="005740F7">
          <w:rPr>
            <w:webHidden/>
          </w:rPr>
          <w:fldChar w:fldCharType="end"/>
        </w:r>
      </w:hyperlink>
    </w:p>
    <w:p w14:paraId="753D4B3C" w14:textId="167C2593" w:rsidR="005740F7" w:rsidRDefault="00963848">
      <w:pPr>
        <w:pStyle w:val="TOC2"/>
        <w:rPr>
          <w:rFonts w:asciiTheme="minorHAnsi" w:hAnsiTheme="minorHAnsi"/>
          <w:lang w:eastAsia="en-AU"/>
        </w:rPr>
      </w:pPr>
      <w:hyperlink w:anchor="_Toc43890200" w:history="1">
        <w:r w:rsidR="005740F7" w:rsidRPr="00E85D10">
          <w:rPr>
            <w:rStyle w:val="Hyperlink"/>
          </w:rPr>
          <w:t>5.4</w:t>
        </w:r>
        <w:r w:rsidR="005740F7">
          <w:rPr>
            <w:rFonts w:asciiTheme="minorHAnsi" w:hAnsiTheme="minorHAnsi"/>
            <w:lang w:eastAsia="en-AU"/>
          </w:rPr>
          <w:tab/>
        </w:r>
        <w:r w:rsidR="005740F7" w:rsidRPr="00E85D10">
          <w:rPr>
            <w:rStyle w:val="Hyperlink"/>
          </w:rPr>
          <w:t>Photostability information</w:t>
        </w:r>
        <w:r w:rsidR="005740F7">
          <w:rPr>
            <w:webHidden/>
          </w:rPr>
          <w:tab/>
        </w:r>
        <w:r w:rsidR="005740F7">
          <w:rPr>
            <w:webHidden/>
          </w:rPr>
          <w:fldChar w:fldCharType="begin"/>
        </w:r>
        <w:r w:rsidR="005740F7">
          <w:rPr>
            <w:webHidden/>
          </w:rPr>
          <w:instrText xml:space="preserve"> PAGEREF _Toc43890200 \h </w:instrText>
        </w:r>
        <w:r w:rsidR="005740F7">
          <w:rPr>
            <w:webHidden/>
          </w:rPr>
        </w:r>
        <w:r w:rsidR="005740F7">
          <w:rPr>
            <w:webHidden/>
          </w:rPr>
          <w:fldChar w:fldCharType="separate"/>
        </w:r>
        <w:r w:rsidR="005740F7">
          <w:rPr>
            <w:webHidden/>
          </w:rPr>
          <w:t>21</w:t>
        </w:r>
        <w:r w:rsidR="005740F7">
          <w:rPr>
            <w:webHidden/>
          </w:rPr>
          <w:fldChar w:fldCharType="end"/>
        </w:r>
      </w:hyperlink>
    </w:p>
    <w:p w14:paraId="4B7C3CA0" w14:textId="7F4527C0" w:rsidR="005740F7" w:rsidRDefault="00963848">
      <w:pPr>
        <w:pStyle w:val="TOC1"/>
        <w:rPr>
          <w:rFonts w:asciiTheme="minorHAnsi" w:hAnsiTheme="minorHAnsi"/>
          <w:b w:val="0"/>
          <w:color w:val="auto"/>
          <w:sz w:val="22"/>
          <w:lang w:eastAsia="en-AU"/>
        </w:rPr>
      </w:pPr>
      <w:hyperlink w:anchor="_Toc43890201" w:history="1">
        <w:r w:rsidR="005740F7" w:rsidRPr="00E85D10">
          <w:rPr>
            <w:rStyle w:val="Hyperlink"/>
          </w:rPr>
          <w:t>6</w:t>
        </w:r>
        <w:r w:rsidR="005740F7">
          <w:rPr>
            <w:rFonts w:asciiTheme="minorHAnsi" w:hAnsiTheme="minorHAnsi"/>
            <w:b w:val="0"/>
            <w:color w:val="auto"/>
            <w:sz w:val="22"/>
            <w:lang w:eastAsia="en-AU"/>
          </w:rPr>
          <w:tab/>
        </w:r>
        <w:r w:rsidR="005740F7" w:rsidRPr="00E85D10">
          <w:rPr>
            <w:rStyle w:val="Hyperlink"/>
          </w:rPr>
          <w:t>Definitions of terms and concepts relating to Schedule 1 to the IC General Rules</w:t>
        </w:r>
        <w:r w:rsidR="005740F7">
          <w:rPr>
            <w:webHidden/>
          </w:rPr>
          <w:tab/>
        </w:r>
        <w:r w:rsidR="005740F7">
          <w:rPr>
            <w:webHidden/>
          </w:rPr>
          <w:fldChar w:fldCharType="begin"/>
        </w:r>
        <w:r w:rsidR="005740F7">
          <w:rPr>
            <w:webHidden/>
          </w:rPr>
          <w:instrText xml:space="preserve"> PAGEREF _Toc43890201 \h </w:instrText>
        </w:r>
        <w:r w:rsidR="005740F7">
          <w:rPr>
            <w:webHidden/>
          </w:rPr>
        </w:r>
        <w:r w:rsidR="005740F7">
          <w:rPr>
            <w:webHidden/>
          </w:rPr>
          <w:fldChar w:fldCharType="separate"/>
        </w:r>
        <w:r w:rsidR="005740F7">
          <w:rPr>
            <w:webHidden/>
          </w:rPr>
          <w:t>22</w:t>
        </w:r>
        <w:r w:rsidR="005740F7">
          <w:rPr>
            <w:webHidden/>
          </w:rPr>
          <w:fldChar w:fldCharType="end"/>
        </w:r>
      </w:hyperlink>
    </w:p>
    <w:p w14:paraId="782E9B77" w14:textId="42BF5331" w:rsidR="005740F7" w:rsidRDefault="00963848">
      <w:pPr>
        <w:pStyle w:val="TOC2"/>
        <w:rPr>
          <w:rFonts w:asciiTheme="minorHAnsi" w:hAnsiTheme="minorHAnsi"/>
          <w:lang w:eastAsia="en-AU"/>
        </w:rPr>
      </w:pPr>
      <w:hyperlink w:anchor="_Toc43890202" w:history="1">
        <w:r w:rsidR="005740F7" w:rsidRPr="00E85D10">
          <w:rPr>
            <w:rStyle w:val="Hyperlink"/>
          </w:rPr>
          <w:t>6.1</w:t>
        </w:r>
        <w:r w:rsidR="005740F7">
          <w:rPr>
            <w:rFonts w:asciiTheme="minorHAnsi" w:hAnsiTheme="minorHAnsi"/>
            <w:lang w:eastAsia="en-AU"/>
          </w:rPr>
          <w:tab/>
        </w:r>
        <w:r w:rsidR="005740F7" w:rsidRPr="00E85D10">
          <w:rPr>
            <w:rStyle w:val="Hyperlink"/>
          </w:rPr>
          <w:t>Definitions of additional terms used within this Part of the Guidelines</w:t>
        </w:r>
        <w:r w:rsidR="005740F7">
          <w:rPr>
            <w:webHidden/>
          </w:rPr>
          <w:tab/>
        </w:r>
        <w:r w:rsidR="005740F7">
          <w:rPr>
            <w:webHidden/>
          </w:rPr>
          <w:fldChar w:fldCharType="begin"/>
        </w:r>
        <w:r w:rsidR="005740F7">
          <w:rPr>
            <w:webHidden/>
          </w:rPr>
          <w:instrText xml:space="preserve"> PAGEREF _Toc43890202 \h </w:instrText>
        </w:r>
        <w:r w:rsidR="005740F7">
          <w:rPr>
            <w:webHidden/>
          </w:rPr>
        </w:r>
        <w:r w:rsidR="005740F7">
          <w:rPr>
            <w:webHidden/>
          </w:rPr>
          <w:fldChar w:fldCharType="separate"/>
        </w:r>
        <w:r w:rsidR="005740F7">
          <w:rPr>
            <w:webHidden/>
          </w:rPr>
          <w:t>22</w:t>
        </w:r>
        <w:r w:rsidR="005740F7">
          <w:rPr>
            <w:webHidden/>
          </w:rPr>
          <w:fldChar w:fldCharType="end"/>
        </w:r>
      </w:hyperlink>
    </w:p>
    <w:p w14:paraId="2F0F202A" w14:textId="3113A01E" w:rsidR="005740F7" w:rsidRDefault="00963848">
      <w:pPr>
        <w:pStyle w:val="TOC2"/>
        <w:rPr>
          <w:rFonts w:asciiTheme="minorHAnsi" w:hAnsiTheme="minorHAnsi"/>
          <w:lang w:eastAsia="en-AU"/>
        </w:rPr>
      </w:pPr>
      <w:hyperlink w:anchor="_Toc43890203" w:history="1">
        <w:r w:rsidR="005740F7" w:rsidRPr="00E85D10">
          <w:rPr>
            <w:rStyle w:val="Hyperlink"/>
          </w:rPr>
          <w:t>6.2</w:t>
        </w:r>
        <w:r w:rsidR="005740F7">
          <w:rPr>
            <w:rFonts w:asciiTheme="minorHAnsi" w:hAnsiTheme="minorHAnsi"/>
            <w:lang w:eastAsia="en-AU"/>
          </w:rPr>
          <w:tab/>
        </w:r>
        <w:r w:rsidR="005740F7" w:rsidRPr="00E85D10">
          <w:rPr>
            <w:rStyle w:val="Hyperlink"/>
          </w:rPr>
          <w:t>Use of animal test data for demonstrating the absence of hazard characteristics</w:t>
        </w:r>
        <w:r w:rsidR="005740F7">
          <w:rPr>
            <w:webHidden/>
          </w:rPr>
          <w:tab/>
        </w:r>
        <w:r w:rsidR="005740F7">
          <w:rPr>
            <w:webHidden/>
          </w:rPr>
          <w:fldChar w:fldCharType="begin"/>
        </w:r>
        <w:r w:rsidR="005740F7">
          <w:rPr>
            <w:webHidden/>
          </w:rPr>
          <w:instrText xml:space="preserve"> PAGEREF _Toc43890203 \h </w:instrText>
        </w:r>
        <w:r w:rsidR="005740F7">
          <w:rPr>
            <w:webHidden/>
          </w:rPr>
        </w:r>
        <w:r w:rsidR="005740F7">
          <w:rPr>
            <w:webHidden/>
          </w:rPr>
          <w:fldChar w:fldCharType="separate"/>
        </w:r>
        <w:r w:rsidR="005740F7">
          <w:rPr>
            <w:webHidden/>
          </w:rPr>
          <w:t>23</w:t>
        </w:r>
        <w:r w:rsidR="005740F7">
          <w:rPr>
            <w:webHidden/>
          </w:rPr>
          <w:fldChar w:fldCharType="end"/>
        </w:r>
      </w:hyperlink>
    </w:p>
    <w:p w14:paraId="7251AF84" w14:textId="3CD48A4A" w:rsidR="005740F7" w:rsidRDefault="00963848">
      <w:pPr>
        <w:pStyle w:val="TOC2"/>
        <w:rPr>
          <w:rFonts w:asciiTheme="minorHAnsi" w:hAnsiTheme="minorHAnsi"/>
          <w:lang w:eastAsia="en-AU"/>
        </w:rPr>
      </w:pPr>
      <w:hyperlink w:anchor="_Toc43890204" w:history="1">
        <w:r w:rsidR="005740F7" w:rsidRPr="00E85D10">
          <w:rPr>
            <w:rStyle w:val="Hyperlink"/>
          </w:rPr>
          <w:t>6.3</w:t>
        </w:r>
        <w:r w:rsidR="005740F7">
          <w:rPr>
            <w:rFonts w:asciiTheme="minorHAnsi" w:hAnsiTheme="minorHAnsi"/>
            <w:lang w:eastAsia="en-AU"/>
          </w:rPr>
          <w:tab/>
        </w:r>
        <w:r w:rsidR="005740F7" w:rsidRPr="00E85D10">
          <w:rPr>
            <w:rStyle w:val="Hyperlink"/>
          </w:rPr>
          <w:t>Carcinogenicity – Human health hazard band C</w:t>
        </w:r>
        <w:r w:rsidR="005740F7">
          <w:rPr>
            <w:webHidden/>
          </w:rPr>
          <w:tab/>
        </w:r>
        <w:r w:rsidR="005740F7">
          <w:rPr>
            <w:webHidden/>
          </w:rPr>
          <w:fldChar w:fldCharType="begin"/>
        </w:r>
        <w:r w:rsidR="005740F7">
          <w:rPr>
            <w:webHidden/>
          </w:rPr>
          <w:instrText xml:space="preserve"> PAGEREF _Toc43890204 \h </w:instrText>
        </w:r>
        <w:r w:rsidR="005740F7">
          <w:rPr>
            <w:webHidden/>
          </w:rPr>
        </w:r>
        <w:r w:rsidR="005740F7">
          <w:rPr>
            <w:webHidden/>
          </w:rPr>
          <w:fldChar w:fldCharType="separate"/>
        </w:r>
        <w:r w:rsidR="005740F7">
          <w:rPr>
            <w:webHidden/>
          </w:rPr>
          <w:t>23</w:t>
        </w:r>
        <w:r w:rsidR="005740F7">
          <w:rPr>
            <w:webHidden/>
          </w:rPr>
          <w:fldChar w:fldCharType="end"/>
        </w:r>
      </w:hyperlink>
    </w:p>
    <w:p w14:paraId="42C74700" w14:textId="2DDC2A25" w:rsidR="005740F7" w:rsidRDefault="00963848">
      <w:pPr>
        <w:pStyle w:val="TOC2"/>
        <w:rPr>
          <w:rFonts w:asciiTheme="minorHAnsi" w:hAnsiTheme="minorHAnsi"/>
          <w:lang w:eastAsia="en-AU"/>
        </w:rPr>
      </w:pPr>
      <w:hyperlink w:anchor="_Toc43890205" w:history="1">
        <w:r w:rsidR="005740F7" w:rsidRPr="00E85D10">
          <w:rPr>
            <w:rStyle w:val="Hyperlink"/>
          </w:rPr>
          <w:t>6.4</w:t>
        </w:r>
        <w:r w:rsidR="005740F7">
          <w:rPr>
            <w:rFonts w:asciiTheme="minorHAnsi" w:hAnsiTheme="minorHAnsi"/>
            <w:lang w:eastAsia="en-AU"/>
          </w:rPr>
          <w:tab/>
        </w:r>
        <w:r w:rsidR="005740F7" w:rsidRPr="00E85D10">
          <w:rPr>
            <w:rStyle w:val="Hyperlink"/>
          </w:rPr>
          <w:t>Reproductive toxicity – Human health hazard band C</w:t>
        </w:r>
        <w:r w:rsidR="005740F7">
          <w:rPr>
            <w:webHidden/>
          </w:rPr>
          <w:tab/>
        </w:r>
        <w:r w:rsidR="005740F7">
          <w:rPr>
            <w:webHidden/>
          </w:rPr>
          <w:fldChar w:fldCharType="begin"/>
        </w:r>
        <w:r w:rsidR="005740F7">
          <w:rPr>
            <w:webHidden/>
          </w:rPr>
          <w:instrText xml:space="preserve"> PAGEREF _Toc43890205 \h </w:instrText>
        </w:r>
        <w:r w:rsidR="005740F7">
          <w:rPr>
            <w:webHidden/>
          </w:rPr>
        </w:r>
        <w:r w:rsidR="005740F7">
          <w:rPr>
            <w:webHidden/>
          </w:rPr>
          <w:fldChar w:fldCharType="separate"/>
        </w:r>
        <w:r w:rsidR="005740F7">
          <w:rPr>
            <w:webHidden/>
          </w:rPr>
          <w:t>24</w:t>
        </w:r>
        <w:r w:rsidR="005740F7">
          <w:rPr>
            <w:webHidden/>
          </w:rPr>
          <w:fldChar w:fldCharType="end"/>
        </w:r>
      </w:hyperlink>
    </w:p>
    <w:p w14:paraId="71FBA224" w14:textId="3B9A17F6" w:rsidR="005740F7" w:rsidRDefault="00963848">
      <w:pPr>
        <w:pStyle w:val="TOC2"/>
        <w:rPr>
          <w:rFonts w:asciiTheme="minorHAnsi" w:hAnsiTheme="minorHAnsi"/>
          <w:lang w:eastAsia="en-AU"/>
        </w:rPr>
      </w:pPr>
      <w:hyperlink w:anchor="_Toc43890206" w:history="1">
        <w:r w:rsidR="005740F7" w:rsidRPr="00E85D10">
          <w:rPr>
            <w:rStyle w:val="Hyperlink"/>
          </w:rPr>
          <w:t>6.5</w:t>
        </w:r>
        <w:r w:rsidR="005740F7">
          <w:rPr>
            <w:rFonts w:asciiTheme="minorHAnsi" w:hAnsiTheme="minorHAnsi"/>
            <w:lang w:eastAsia="en-AU"/>
          </w:rPr>
          <w:tab/>
        </w:r>
        <w:r w:rsidR="005740F7" w:rsidRPr="00E85D10">
          <w:rPr>
            <w:rStyle w:val="Hyperlink"/>
          </w:rPr>
          <w:t>Developmental toxicity – Human health hazard band C</w:t>
        </w:r>
        <w:r w:rsidR="005740F7">
          <w:rPr>
            <w:webHidden/>
          </w:rPr>
          <w:tab/>
        </w:r>
        <w:r w:rsidR="005740F7">
          <w:rPr>
            <w:webHidden/>
          </w:rPr>
          <w:fldChar w:fldCharType="begin"/>
        </w:r>
        <w:r w:rsidR="005740F7">
          <w:rPr>
            <w:webHidden/>
          </w:rPr>
          <w:instrText xml:space="preserve"> PAGEREF _Toc43890206 \h </w:instrText>
        </w:r>
        <w:r w:rsidR="005740F7">
          <w:rPr>
            <w:webHidden/>
          </w:rPr>
        </w:r>
        <w:r w:rsidR="005740F7">
          <w:rPr>
            <w:webHidden/>
          </w:rPr>
          <w:fldChar w:fldCharType="separate"/>
        </w:r>
        <w:r w:rsidR="005740F7">
          <w:rPr>
            <w:webHidden/>
          </w:rPr>
          <w:t>25</w:t>
        </w:r>
        <w:r w:rsidR="005740F7">
          <w:rPr>
            <w:webHidden/>
          </w:rPr>
          <w:fldChar w:fldCharType="end"/>
        </w:r>
      </w:hyperlink>
    </w:p>
    <w:p w14:paraId="5D88226E" w14:textId="3B1AD438" w:rsidR="005740F7" w:rsidRDefault="00963848">
      <w:pPr>
        <w:pStyle w:val="TOC2"/>
        <w:rPr>
          <w:rFonts w:asciiTheme="minorHAnsi" w:hAnsiTheme="minorHAnsi"/>
          <w:lang w:eastAsia="en-AU"/>
        </w:rPr>
      </w:pPr>
      <w:hyperlink w:anchor="_Toc43890207" w:history="1">
        <w:r w:rsidR="005740F7" w:rsidRPr="00E85D10">
          <w:rPr>
            <w:rStyle w:val="Hyperlink"/>
          </w:rPr>
          <w:t>6.6</w:t>
        </w:r>
        <w:r w:rsidR="005740F7">
          <w:rPr>
            <w:rFonts w:asciiTheme="minorHAnsi" w:hAnsiTheme="minorHAnsi"/>
            <w:lang w:eastAsia="en-AU"/>
          </w:rPr>
          <w:tab/>
        </w:r>
        <w:r w:rsidR="005740F7" w:rsidRPr="00E85D10">
          <w:rPr>
            <w:rStyle w:val="Hyperlink"/>
          </w:rPr>
          <w:t>Adverse effects mediated by an endocrine mode of action – Human health hazard band C</w:t>
        </w:r>
        <w:r w:rsidR="005740F7">
          <w:rPr>
            <w:webHidden/>
          </w:rPr>
          <w:tab/>
        </w:r>
        <w:r w:rsidR="005740F7">
          <w:rPr>
            <w:webHidden/>
          </w:rPr>
          <w:fldChar w:fldCharType="begin"/>
        </w:r>
        <w:r w:rsidR="005740F7">
          <w:rPr>
            <w:webHidden/>
          </w:rPr>
          <w:instrText xml:space="preserve"> PAGEREF _Toc43890207 \h </w:instrText>
        </w:r>
        <w:r w:rsidR="005740F7">
          <w:rPr>
            <w:webHidden/>
          </w:rPr>
        </w:r>
        <w:r w:rsidR="005740F7">
          <w:rPr>
            <w:webHidden/>
          </w:rPr>
          <w:fldChar w:fldCharType="separate"/>
        </w:r>
        <w:r w:rsidR="005740F7">
          <w:rPr>
            <w:webHidden/>
          </w:rPr>
          <w:t>26</w:t>
        </w:r>
        <w:r w:rsidR="005740F7">
          <w:rPr>
            <w:webHidden/>
          </w:rPr>
          <w:fldChar w:fldCharType="end"/>
        </w:r>
      </w:hyperlink>
    </w:p>
    <w:p w14:paraId="4A9DD0C5" w14:textId="0878792F" w:rsidR="005740F7" w:rsidRDefault="00963848">
      <w:pPr>
        <w:pStyle w:val="TOC2"/>
        <w:rPr>
          <w:rFonts w:asciiTheme="minorHAnsi" w:hAnsiTheme="minorHAnsi"/>
          <w:lang w:eastAsia="en-AU"/>
        </w:rPr>
      </w:pPr>
      <w:hyperlink w:anchor="_Toc43890208" w:history="1">
        <w:r w:rsidR="005740F7" w:rsidRPr="00E85D10">
          <w:rPr>
            <w:rStyle w:val="Hyperlink"/>
          </w:rPr>
          <w:t>6.7</w:t>
        </w:r>
        <w:r w:rsidR="005740F7">
          <w:rPr>
            <w:rFonts w:asciiTheme="minorHAnsi" w:hAnsiTheme="minorHAnsi"/>
            <w:lang w:eastAsia="en-AU"/>
          </w:rPr>
          <w:tab/>
        </w:r>
        <w:r w:rsidR="005740F7" w:rsidRPr="00E85D10">
          <w:rPr>
            <w:rStyle w:val="Hyperlink"/>
          </w:rPr>
          <w:t>Genetic toxicity – Human health hazard band C</w:t>
        </w:r>
        <w:r w:rsidR="005740F7">
          <w:rPr>
            <w:webHidden/>
          </w:rPr>
          <w:tab/>
        </w:r>
        <w:r w:rsidR="005740F7">
          <w:rPr>
            <w:webHidden/>
          </w:rPr>
          <w:fldChar w:fldCharType="begin"/>
        </w:r>
        <w:r w:rsidR="005740F7">
          <w:rPr>
            <w:webHidden/>
          </w:rPr>
          <w:instrText xml:space="preserve"> PAGEREF _Toc43890208 \h </w:instrText>
        </w:r>
        <w:r w:rsidR="005740F7">
          <w:rPr>
            <w:webHidden/>
          </w:rPr>
        </w:r>
        <w:r w:rsidR="005740F7">
          <w:rPr>
            <w:webHidden/>
          </w:rPr>
          <w:fldChar w:fldCharType="separate"/>
        </w:r>
        <w:r w:rsidR="005740F7">
          <w:rPr>
            <w:webHidden/>
          </w:rPr>
          <w:t>27</w:t>
        </w:r>
        <w:r w:rsidR="005740F7">
          <w:rPr>
            <w:webHidden/>
          </w:rPr>
          <w:fldChar w:fldCharType="end"/>
        </w:r>
      </w:hyperlink>
    </w:p>
    <w:p w14:paraId="235EE43E" w14:textId="40A85AC3" w:rsidR="005740F7" w:rsidRDefault="00963848">
      <w:pPr>
        <w:pStyle w:val="TOC2"/>
        <w:rPr>
          <w:rFonts w:asciiTheme="minorHAnsi" w:hAnsiTheme="minorHAnsi"/>
          <w:lang w:eastAsia="en-AU"/>
        </w:rPr>
      </w:pPr>
      <w:hyperlink w:anchor="_Toc43890209" w:history="1">
        <w:r w:rsidR="005740F7" w:rsidRPr="00E85D10">
          <w:rPr>
            <w:rStyle w:val="Hyperlink"/>
          </w:rPr>
          <w:t>6.8</w:t>
        </w:r>
        <w:r w:rsidR="005740F7">
          <w:rPr>
            <w:rFonts w:asciiTheme="minorHAnsi" w:hAnsiTheme="minorHAnsi"/>
            <w:lang w:eastAsia="en-AU"/>
          </w:rPr>
          <w:tab/>
        </w:r>
        <w:r w:rsidR="005740F7" w:rsidRPr="00E85D10">
          <w:rPr>
            <w:rStyle w:val="Hyperlink"/>
          </w:rPr>
          <w:t>High molecular weight polymer that is water absorbing – Human health hazard band B</w:t>
        </w:r>
        <w:r w:rsidR="005740F7">
          <w:rPr>
            <w:webHidden/>
          </w:rPr>
          <w:tab/>
        </w:r>
        <w:r w:rsidR="005740F7">
          <w:rPr>
            <w:webHidden/>
          </w:rPr>
          <w:fldChar w:fldCharType="begin"/>
        </w:r>
        <w:r w:rsidR="005740F7">
          <w:rPr>
            <w:webHidden/>
          </w:rPr>
          <w:instrText xml:space="preserve"> PAGEREF _Toc43890209 \h </w:instrText>
        </w:r>
        <w:r w:rsidR="005740F7">
          <w:rPr>
            <w:webHidden/>
          </w:rPr>
        </w:r>
        <w:r w:rsidR="005740F7">
          <w:rPr>
            <w:webHidden/>
          </w:rPr>
          <w:fldChar w:fldCharType="separate"/>
        </w:r>
        <w:r w:rsidR="005740F7">
          <w:rPr>
            <w:webHidden/>
          </w:rPr>
          <w:t>30</w:t>
        </w:r>
        <w:r w:rsidR="005740F7">
          <w:rPr>
            <w:webHidden/>
          </w:rPr>
          <w:fldChar w:fldCharType="end"/>
        </w:r>
      </w:hyperlink>
    </w:p>
    <w:p w14:paraId="0A66EDBA" w14:textId="69D81C53" w:rsidR="005740F7" w:rsidRDefault="00963848">
      <w:pPr>
        <w:pStyle w:val="TOC2"/>
        <w:rPr>
          <w:rFonts w:asciiTheme="minorHAnsi" w:hAnsiTheme="minorHAnsi"/>
          <w:lang w:eastAsia="en-AU"/>
        </w:rPr>
      </w:pPr>
      <w:hyperlink w:anchor="_Toc43890210" w:history="1">
        <w:r w:rsidR="005740F7" w:rsidRPr="00E85D10">
          <w:rPr>
            <w:rStyle w:val="Hyperlink"/>
          </w:rPr>
          <w:t>6.9</w:t>
        </w:r>
        <w:r w:rsidR="005740F7">
          <w:rPr>
            <w:rFonts w:asciiTheme="minorHAnsi" w:hAnsiTheme="minorHAnsi"/>
            <w:lang w:eastAsia="en-AU"/>
          </w:rPr>
          <w:tab/>
        </w:r>
        <w:r w:rsidR="005740F7" w:rsidRPr="00E85D10">
          <w:rPr>
            <w:rStyle w:val="Hyperlink"/>
          </w:rPr>
          <w:t>Respiratory sensitisation – Human health hazard band B</w:t>
        </w:r>
        <w:r w:rsidR="005740F7">
          <w:rPr>
            <w:webHidden/>
          </w:rPr>
          <w:tab/>
        </w:r>
        <w:r w:rsidR="005740F7">
          <w:rPr>
            <w:webHidden/>
          </w:rPr>
          <w:fldChar w:fldCharType="begin"/>
        </w:r>
        <w:r w:rsidR="005740F7">
          <w:rPr>
            <w:webHidden/>
          </w:rPr>
          <w:instrText xml:space="preserve"> PAGEREF _Toc43890210 \h </w:instrText>
        </w:r>
        <w:r w:rsidR="005740F7">
          <w:rPr>
            <w:webHidden/>
          </w:rPr>
        </w:r>
        <w:r w:rsidR="005740F7">
          <w:rPr>
            <w:webHidden/>
          </w:rPr>
          <w:fldChar w:fldCharType="separate"/>
        </w:r>
        <w:r w:rsidR="005740F7">
          <w:rPr>
            <w:webHidden/>
          </w:rPr>
          <w:t>30</w:t>
        </w:r>
        <w:r w:rsidR="005740F7">
          <w:rPr>
            <w:webHidden/>
          </w:rPr>
          <w:fldChar w:fldCharType="end"/>
        </w:r>
      </w:hyperlink>
    </w:p>
    <w:p w14:paraId="29BAABD3" w14:textId="407674D5" w:rsidR="005740F7" w:rsidRDefault="00963848">
      <w:pPr>
        <w:pStyle w:val="TOC2"/>
        <w:rPr>
          <w:rFonts w:asciiTheme="minorHAnsi" w:hAnsiTheme="minorHAnsi"/>
          <w:lang w:eastAsia="en-AU"/>
        </w:rPr>
      </w:pPr>
      <w:hyperlink w:anchor="_Toc43890211" w:history="1">
        <w:r w:rsidR="005740F7" w:rsidRPr="00E85D10">
          <w:rPr>
            <w:rStyle w:val="Hyperlink"/>
          </w:rPr>
          <w:t>6.10</w:t>
        </w:r>
        <w:r w:rsidR="005740F7">
          <w:rPr>
            <w:rFonts w:asciiTheme="minorHAnsi" w:hAnsiTheme="minorHAnsi"/>
            <w:lang w:eastAsia="en-AU"/>
          </w:rPr>
          <w:tab/>
        </w:r>
        <w:r w:rsidR="005740F7" w:rsidRPr="00E85D10">
          <w:rPr>
            <w:rStyle w:val="Hyperlink"/>
          </w:rPr>
          <w:t>Corrosive to the respiratory tract – Human health hazard band B</w:t>
        </w:r>
        <w:r w:rsidR="005740F7">
          <w:rPr>
            <w:webHidden/>
          </w:rPr>
          <w:tab/>
        </w:r>
        <w:r w:rsidR="005740F7">
          <w:rPr>
            <w:webHidden/>
          </w:rPr>
          <w:fldChar w:fldCharType="begin"/>
        </w:r>
        <w:r w:rsidR="005740F7">
          <w:rPr>
            <w:webHidden/>
          </w:rPr>
          <w:instrText xml:space="preserve"> PAGEREF _Toc43890211 \h </w:instrText>
        </w:r>
        <w:r w:rsidR="005740F7">
          <w:rPr>
            <w:webHidden/>
          </w:rPr>
        </w:r>
        <w:r w:rsidR="005740F7">
          <w:rPr>
            <w:webHidden/>
          </w:rPr>
          <w:fldChar w:fldCharType="separate"/>
        </w:r>
        <w:r w:rsidR="005740F7">
          <w:rPr>
            <w:webHidden/>
          </w:rPr>
          <w:t>31</w:t>
        </w:r>
        <w:r w:rsidR="005740F7">
          <w:rPr>
            <w:webHidden/>
          </w:rPr>
          <w:fldChar w:fldCharType="end"/>
        </w:r>
      </w:hyperlink>
    </w:p>
    <w:p w14:paraId="795E7A6B" w14:textId="0D5D56AA" w:rsidR="005740F7" w:rsidRDefault="00963848">
      <w:pPr>
        <w:pStyle w:val="TOC2"/>
        <w:rPr>
          <w:rFonts w:asciiTheme="minorHAnsi" w:hAnsiTheme="minorHAnsi"/>
          <w:lang w:eastAsia="en-AU"/>
        </w:rPr>
      </w:pPr>
      <w:hyperlink w:anchor="_Toc43890212" w:history="1">
        <w:r w:rsidR="005740F7" w:rsidRPr="00E85D10">
          <w:rPr>
            <w:rStyle w:val="Hyperlink"/>
          </w:rPr>
          <w:t>6.11</w:t>
        </w:r>
        <w:r w:rsidR="005740F7">
          <w:rPr>
            <w:rFonts w:asciiTheme="minorHAnsi" w:hAnsiTheme="minorHAnsi"/>
            <w:lang w:eastAsia="en-AU"/>
          </w:rPr>
          <w:tab/>
        </w:r>
        <w:r w:rsidR="005740F7" w:rsidRPr="00E85D10">
          <w:rPr>
            <w:rStyle w:val="Hyperlink"/>
          </w:rPr>
          <w:t>Specific target organ toxicity after a single exposure (significant toxicity) – Human health hazard band B</w:t>
        </w:r>
        <w:r w:rsidR="005740F7">
          <w:rPr>
            <w:webHidden/>
          </w:rPr>
          <w:tab/>
        </w:r>
        <w:r w:rsidR="005740F7">
          <w:rPr>
            <w:webHidden/>
          </w:rPr>
          <w:fldChar w:fldCharType="begin"/>
        </w:r>
        <w:r w:rsidR="005740F7">
          <w:rPr>
            <w:webHidden/>
          </w:rPr>
          <w:instrText xml:space="preserve"> PAGEREF _Toc43890212 \h </w:instrText>
        </w:r>
        <w:r w:rsidR="005740F7">
          <w:rPr>
            <w:webHidden/>
          </w:rPr>
        </w:r>
        <w:r w:rsidR="005740F7">
          <w:rPr>
            <w:webHidden/>
          </w:rPr>
          <w:fldChar w:fldCharType="separate"/>
        </w:r>
        <w:r w:rsidR="005740F7">
          <w:rPr>
            <w:webHidden/>
          </w:rPr>
          <w:t>32</w:t>
        </w:r>
        <w:r w:rsidR="005740F7">
          <w:rPr>
            <w:webHidden/>
          </w:rPr>
          <w:fldChar w:fldCharType="end"/>
        </w:r>
      </w:hyperlink>
    </w:p>
    <w:p w14:paraId="388B40A0" w14:textId="1427437D" w:rsidR="005740F7" w:rsidRDefault="00963848">
      <w:pPr>
        <w:pStyle w:val="TOC2"/>
        <w:rPr>
          <w:rFonts w:asciiTheme="minorHAnsi" w:hAnsiTheme="minorHAnsi"/>
          <w:lang w:eastAsia="en-AU"/>
        </w:rPr>
      </w:pPr>
      <w:hyperlink w:anchor="_Toc43890213" w:history="1">
        <w:r w:rsidR="005740F7" w:rsidRPr="00E85D10">
          <w:rPr>
            <w:rStyle w:val="Hyperlink"/>
          </w:rPr>
          <w:t>6.12</w:t>
        </w:r>
        <w:r w:rsidR="005740F7">
          <w:rPr>
            <w:rFonts w:asciiTheme="minorHAnsi" w:hAnsiTheme="minorHAnsi"/>
            <w:lang w:eastAsia="en-AU"/>
          </w:rPr>
          <w:tab/>
        </w:r>
        <w:r w:rsidR="005740F7" w:rsidRPr="00E85D10">
          <w:rPr>
            <w:rStyle w:val="Hyperlink"/>
          </w:rPr>
          <w:t>Skin corrosion – Human health hazard band B</w:t>
        </w:r>
        <w:r w:rsidR="005740F7">
          <w:rPr>
            <w:webHidden/>
          </w:rPr>
          <w:tab/>
        </w:r>
        <w:r w:rsidR="005740F7">
          <w:rPr>
            <w:webHidden/>
          </w:rPr>
          <w:fldChar w:fldCharType="begin"/>
        </w:r>
        <w:r w:rsidR="005740F7">
          <w:rPr>
            <w:webHidden/>
          </w:rPr>
          <w:instrText xml:space="preserve"> PAGEREF _Toc43890213 \h </w:instrText>
        </w:r>
        <w:r w:rsidR="005740F7">
          <w:rPr>
            <w:webHidden/>
          </w:rPr>
        </w:r>
        <w:r w:rsidR="005740F7">
          <w:rPr>
            <w:webHidden/>
          </w:rPr>
          <w:fldChar w:fldCharType="separate"/>
        </w:r>
        <w:r w:rsidR="005740F7">
          <w:rPr>
            <w:webHidden/>
          </w:rPr>
          <w:t>33</w:t>
        </w:r>
        <w:r w:rsidR="005740F7">
          <w:rPr>
            <w:webHidden/>
          </w:rPr>
          <w:fldChar w:fldCharType="end"/>
        </w:r>
      </w:hyperlink>
    </w:p>
    <w:p w14:paraId="513B0760" w14:textId="07297B18" w:rsidR="005740F7" w:rsidRDefault="00963848">
      <w:pPr>
        <w:pStyle w:val="TOC2"/>
        <w:rPr>
          <w:rFonts w:asciiTheme="minorHAnsi" w:hAnsiTheme="minorHAnsi"/>
          <w:lang w:eastAsia="en-AU"/>
        </w:rPr>
      </w:pPr>
      <w:hyperlink w:anchor="_Toc43890214" w:history="1">
        <w:r w:rsidR="005740F7" w:rsidRPr="00E85D10">
          <w:rPr>
            <w:rStyle w:val="Hyperlink"/>
          </w:rPr>
          <w:t>6.13</w:t>
        </w:r>
        <w:r w:rsidR="005740F7">
          <w:rPr>
            <w:rFonts w:asciiTheme="minorHAnsi" w:hAnsiTheme="minorHAnsi"/>
            <w:lang w:eastAsia="en-AU"/>
          </w:rPr>
          <w:tab/>
        </w:r>
        <w:r w:rsidR="005740F7" w:rsidRPr="00E85D10">
          <w:rPr>
            <w:rStyle w:val="Hyperlink"/>
          </w:rPr>
          <w:t>Eye damage – Human health hazard band B</w:t>
        </w:r>
        <w:r w:rsidR="005740F7">
          <w:rPr>
            <w:webHidden/>
          </w:rPr>
          <w:tab/>
        </w:r>
        <w:r w:rsidR="005740F7">
          <w:rPr>
            <w:webHidden/>
          </w:rPr>
          <w:fldChar w:fldCharType="begin"/>
        </w:r>
        <w:r w:rsidR="005740F7">
          <w:rPr>
            <w:webHidden/>
          </w:rPr>
          <w:instrText xml:space="preserve"> PAGEREF _Toc43890214 \h </w:instrText>
        </w:r>
        <w:r w:rsidR="005740F7">
          <w:rPr>
            <w:webHidden/>
          </w:rPr>
        </w:r>
        <w:r w:rsidR="005740F7">
          <w:rPr>
            <w:webHidden/>
          </w:rPr>
          <w:fldChar w:fldCharType="separate"/>
        </w:r>
        <w:r w:rsidR="005740F7">
          <w:rPr>
            <w:webHidden/>
          </w:rPr>
          <w:t>34</w:t>
        </w:r>
        <w:r w:rsidR="005740F7">
          <w:rPr>
            <w:webHidden/>
          </w:rPr>
          <w:fldChar w:fldCharType="end"/>
        </w:r>
      </w:hyperlink>
    </w:p>
    <w:p w14:paraId="6096D221" w14:textId="1B7ED586" w:rsidR="005740F7" w:rsidRDefault="00963848">
      <w:pPr>
        <w:pStyle w:val="TOC2"/>
        <w:rPr>
          <w:rFonts w:asciiTheme="minorHAnsi" w:hAnsiTheme="minorHAnsi"/>
          <w:lang w:eastAsia="en-AU"/>
        </w:rPr>
      </w:pPr>
      <w:hyperlink w:anchor="_Toc43890215" w:history="1">
        <w:r w:rsidR="005740F7" w:rsidRPr="00E85D10">
          <w:rPr>
            <w:rStyle w:val="Hyperlink"/>
          </w:rPr>
          <w:t>6.14</w:t>
        </w:r>
        <w:r w:rsidR="005740F7">
          <w:rPr>
            <w:rFonts w:asciiTheme="minorHAnsi" w:hAnsiTheme="minorHAnsi"/>
            <w:lang w:eastAsia="en-AU"/>
          </w:rPr>
          <w:tab/>
        </w:r>
        <w:r w:rsidR="005740F7" w:rsidRPr="00E85D10">
          <w:rPr>
            <w:rStyle w:val="Hyperlink"/>
          </w:rPr>
          <w:t>Skin sensitisation – Human health hazard band B</w:t>
        </w:r>
        <w:r w:rsidR="005740F7">
          <w:rPr>
            <w:webHidden/>
          </w:rPr>
          <w:tab/>
        </w:r>
        <w:r w:rsidR="005740F7">
          <w:rPr>
            <w:webHidden/>
          </w:rPr>
          <w:fldChar w:fldCharType="begin"/>
        </w:r>
        <w:r w:rsidR="005740F7">
          <w:rPr>
            <w:webHidden/>
          </w:rPr>
          <w:instrText xml:space="preserve"> PAGEREF _Toc43890215 \h </w:instrText>
        </w:r>
        <w:r w:rsidR="005740F7">
          <w:rPr>
            <w:webHidden/>
          </w:rPr>
        </w:r>
        <w:r w:rsidR="005740F7">
          <w:rPr>
            <w:webHidden/>
          </w:rPr>
          <w:fldChar w:fldCharType="separate"/>
        </w:r>
        <w:r w:rsidR="005740F7">
          <w:rPr>
            <w:webHidden/>
          </w:rPr>
          <w:t>35</w:t>
        </w:r>
        <w:r w:rsidR="005740F7">
          <w:rPr>
            <w:webHidden/>
          </w:rPr>
          <w:fldChar w:fldCharType="end"/>
        </w:r>
      </w:hyperlink>
    </w:p>
    <w:p w14:paraId="1508172E" w14:textId="21E5DDEB" w:rsidR="005740F7" w:rsidRDefault="00963848">
      <w:pPr>
        <w:pStyle w:val="TOC2"/>
        <w:rPr>
          <w:rFonts w:asciiTheme="minorHAnsi" w:hAnsiTheme="minorHAnsi"/>
          <w:lang w:eastAsia="en-AU"/>
        </w:rPr>
      </w:pPr>
      <w:hyperlink w:anchor="_Toc43890216" w:history="1">
        <w:r w:rsidR="005740F7" w:rsidRPr="00E85D10">
          <w:rPr>
            <w:rStyle w:val="Hyperlink"/>
          </w:rPr>
          <w:t>6.15</w:t>
        </w:r>
        <w:r w:rsidR="005740F7">
          <w:rPr>
            <w:rFonts w:asciiTheme="minorHAnsi" w:hAnsiTheme="minorHAnsi"/>
            <w:lang w:eastAsia="en-AU"/>
          </w:rPr>
          <w:tab/>
        </w:r>
        <w:r w:rsidR="005740F7" w:rsidRPr="00E85D10">
          <w:rPr>
            <w:rStyle w:val="Hyperlink"/>
          </w:rPr>
          <w:t>Acute toxicity (fatal or toxic) – Human health hazard band B</w:t>
        </w:r>
        <w:r w:rsidR="005740F7">
          <w:rPr>
            <w:webHidden/>
          </w:rPr>
          <w:tab/>
        </w:r>
        <w:r w:rsidR="005740F7">
          <w:rPr>
            <w:webHidden/>
          </w:rPr>
          <w:fldChar w:fldCharType="begin"/>
        </w:r>
        <w:r w:rsidR="005740F7">
          <w:rPr>
            <w:webHidden/>
          </w:rPr>
          <w:instrText xml:space="preserve"> PAGEREF _Toc43890216 \h </w:instrText>
        </w:r>
        <w:r w:rsidR="005740F7">
          <w:rPr>
            <w:webHidden/>
          </w:rPr>
        </w:r>
        <w:r w:rsidR="005740F7">
          <w:rPr>
            <w:webHidden/>
          </w:rPr>
          <w:fldChar w:fldCharType="separate"/>
        </w:r>
        <w:r w:rsidR="005740F7">
          <w:rPr>
            <w:webHidden/>
          </w:rPr>
          <w:t>37</w:t>
        </w:r>
        <w:r w:rsidR="005740F7">
          <w:rPr>
            <w:webHidden/>
          </w:rPr>
          <w:fldChar w:fldCharType="end"/>
        </w:r>
      </w:hyperlink>
    </w:p>
    <w:p w14:paraId="726DF55B" w14:textId="224EB645" w:rsidR="005740F7" w:rsidRDefault="00963848">
      <w:pPr>
        <w:pStyle w:val="TOC2"/>
        <w:rPr>
          <w:rFonts w:asciiTheme="minorHAnsi" w:hAnsiTheme="minorHAnsi"/>
          <w:lang w:eastAsia="en-AU"/>
        </w:rPr>
      </w:pPr>
      <w:hyperlink w:anchor="_Toc43890217" w:history="1">
        <w:r w:rsidR="005740F7" w:rsidRPr="00E85D10">
          <w:rPr>
            <w:rStyle w:val="Hyperlink"/>
          </w:rPr>
          <w:t>6.16</w:t>
        </w:r>
        <w:r w:rsidR="005740F7">
          <w:rPr>
            <w:rFonts w:asciiTheme="minorHAnsi" w:hAnsiTheme="minorHAnsi"/>
            <w:lang w:eastAsia="en-AU"/>
          </w:rPr>
          <w:tab/>
        </w:r>
        <w:r w:rsidR="005740F7" w:rsidRPr="00E85D10">
          <w:rPr>
            <w:rStyle w:val="Hyperlink"/>
          </w:rPr>
          <w:t>Specific target organ toxicity after repeated exposure – Human health hazard band B</w:t>
        </w:r>
        <w:r w:rsidR="005740F7">
          <w:rPr>
            <w:webHidden/>
          </w:rPr>
          <w:tab/>
        </w:r>
        <w:r w:rsidR="005740F7">
          <w:rPr>
            <w:webHidden/>
          </w:rPr>
          <w:fldChar w:fldCharType="begin"/>
        </w:r>
        <w:r w:rsidR="005740F7">
          <w:rPr>
            <w:webHidden/>
          </w:rPr>
          <w:instrText xml:space="preserve"> PAGEREF _Toc43890217 \h </w:instrText>
        </w:r>
        <w:r w:rsidR="005740F7">
          <w:rPr>
            <w:webHidden/>
          </w:rPr>
        </w:r>
        <w:r w:rsidR="005740F7">
          <w:rPr>
            <w:webHidden/>
          </w:rPr>
          <w:fldChar w:fldCharType="separate"/>
        </w:r>
        <w:r w:rsidR="005740F7">
          <w:rPr>
            <w:webHidden/>
          </w:rPr>
          <w:t>39</w:t>
        </w:r>
        <w:r w:rsidR="005740F7">
          <w:rPr>
            <w:webHidden/>
          </w:rPr>
          <w:fldChar w:fldCharType="end"/>
        </w:r>
      </w:hyperlink>
    </w:p>
    <w:p w14:paraId="7F6AA65B" w14:textId="01E07314" w:rsidR="005740F7" w:rsidRDefault="00963848">
      <w:pPr>
        <w:pStyle w:val="TOC2"/>
        <w:rPr>
          <w:rFonts w:asciiTheme="minorHAnsi" w:hAnsiTheme="minorHAnsi"/>
          <w:lang w:eastAsia="en-AU"/>
        </w:rPr>
      </w:pPr>
      <w:hyperlink w:anchor="_Toc43890218" w:history="1">
        <w:r w:rsidR="005740F7" w:rsidRPr="00E85D10">
          <w:rPr>
            <w:rStyle w:val="Hyperlink"/>
          </w:rPr>
          <w:t>6.17</w:t>
        </w:r>
        <w:r w:rsidR="005740F7">
          <w:rPr>
            <w:rFonts w:asciiTheme="minorHAnsi" w:hAnsiTheme="minorHAnsi"/>
            <w:lang w:eastAsia="en-AU"/>
          </w:rPr>
          <w:tab/>
        </w:r>
        <w:r w:rsidR="005740F7" w:rsidRPr="00E85D10">
          <w:rPr>
            <w:rStyle w:val="Hyperlink"/>
          </w:rPr>
          <w:t>High molecular weight polymer that has lung overloading potential – Human health hazard band A</w:t>
        </w:r>
        <w:r w:rsidR="005740F7">
          <w:rPr>
            <w:webHidden/>
          </w:rPr>
          <w:tab/>
        </w:r>
        <w:r w:rsidR="005740F7">
          <w:rPr>
            <w:webHidden/>
          </w:rPr>
          <w:fldChar w:fldCharType="begin"/>
        </w:r>
        <w:r w:rsidR="005740F7">
          <w:rPr>
            <w:webHidden/>
          </w:rPr>
          <w:instrText xml:space="preserve"> PAGEREF _Toc43890218 \h </w:instrText>
        </w:r>
        <w:r w:rsidR="005740F7">
          <w:rPr>
            <w:webHidden/>
          </w:rPr>
        </w:r>
        <w:r w:rsidR="005740F7">
          <w:rPr>
            <w:webHidden/>
          </w:rPr>
          <w:fldChar w:fldCharType="separate"/>
        </w:r>
        <w:r w:rsidR="005740F7">
          <w:rPr>
            <w:webHidden/>
          </w:rPr>
          <w:t>43</w:t>
        </w:r>
        <w:r w:rsidR="005740F7">
          <w:rPr>
            <w:webHidden/>
          </w:rPr>
          <w:fldChar w:fldCharType="end"/>
        </w:r>
      </w:hyperlink>
    </w:p>
    <w:p w14:paraId="397CEC77" w14:textId="74DEF95B" w:rsidR="005740F7" w:rsidRDefault="00963848">
      <w:pPr>
        <w:pStyle w:val="TOC2"/>
        <w:rPr>
          <w:rFonts w:asciiTheme="minorHAnsi" w:hAnsiTheme="minorHAnsi"/>
          <w:lang w:eastAsia="en-AU"/>
        </w:rPr>
      </w:pPr>
      <w:hyperlink w:anchor="_Toc43890219" w:history="1">
        <w:r w:rsidR="005740F7" w:rsidRPr="00E85D10">
          <w:rPr>
            <w:rStyle w:val="Hyperlink"/>
          </w:rPr>
          <w:t>6.18</w:t>
        </w:r>
        <w:r w:rsidR="005740F7">
          <w:rPr>
            <w:rFonts w:asciiTheme="minorHAnsi" w:hAnsiTheme="minorHAnsi"/>
            <w:lang w:eastAsia="en-AU"/>
          </w:rPr>
          <w:tab/>
        </w:r>
        <w:r w:rsidR="005740F7" w:rsidRPr="00E85D10">
          <w:rPr>
            <w:rStyle w:val="Hyperlink"/>
          </w:rPr>
          <w:t>Aspiration hazard – Human health hazard band A</w:t>
        </w:r>
        <w:r w:rsidR="005740F7">
          <w:rPr>
            <w:webHidden/>
          </w:rPr>
          <w:tab/>
        </w:r>
        <w:r w:rsidR="005740F7">
          <w:rPr>
            <w:webHidden/>
          </w:rPr>
          <w:fldChar w:fldCharType="begin"/>
        </w:r>
        <w:r w:rsidR="005740F7">
          <w:rPr>
            <w:webHidden/>
          </w:rPr>
          <w:instrText xml:space="preserve"> PAGEREF _Toc43890219 \h </w:instrText>
        </w:r>
        <w:r w:rsidR="005740F7">
          <w:rPr>
            <w:webHidden/>
          </w:rPr>
        </w:r>
        <w:r w:rsidR="005740F7">
          <w:rPr>
            <w:webHidden/>
          </w:rPr>
          <w:fldChar w:fldCharType="separate"/>
        </w:r>
        <w:r w:rsidR="005740F7">
          <w:rPr>
            <w:webHidden/>
          </w:rPr>
          <w:t>44</w:t>
        </w:r>
        <w:r w:rsidR="005740F7">
          <w:rPr>
            <w:webHidden/>
          </w:rPr>
          <w:fldChar w:fldCharType="end"/>
        </w:r>
      </w:hyperlink>
    </w:p>
    <w:p w14:paraId="0888715E" w14:textId="00060860" w:rsidR="005740F7" w:rsidRDefault="00963848">
      <w:pPr>
        <w:pStyle w:val="TOC2"/>
        <w:rPr>
          <w:rFonts w:asciiTheme="minorHAnsi" w:hAnsiTheme="minorHAnsi"/>
          <w:lang w:eastAsia="en-AU"/>
        </w:rPr>
      </w:pPr>
      <w:hyperlink w:anchor="_Toc43890220" w:history="1">
        <w:r w:rsidR="005740F7" w:rsidRPr="00E85D10">
          <w:rPr>
            <w:rStyle w:val="Hyperlink"/>
          </w:rPr>
          <w:t>6.19</w:t>
        </w:r>
        <w:r w:rsidR="005740F7">
          <w:rPr>
            <w:rFonts w:asciiTheme="minorHAnsi" w:hAnsiTheme="minorHAnsi"/>
            <w:lang w:eastAsia="en-AU"/>
          </w:rPr>
          <w:tab/>
        </w:r>
        <w:r w:rsidR="005740F7" w:rsidRPr="00E85D10">
          <w:rPr>
            <w:rStyle w:val="Hyperlink"/>
          </w:rPr>
          <w:t>Specific target organ toxicity after a single exposure (harmful or transient effects) – Human health hazard band A</w:t>
        </w:r>
        <w:r w:rsidR="005740F7">
          <w:rPr>
            <w:webHidden/>
          </w:rPr>
          <w:tab/>
        </w:r>
        <w:r w:rsidR="005740F7">
          <w:rPr>
            <w:webHidden/>
          </w:rPr>
          <w:fldChar w:fldCharType="begin"/>
        </w:r>
        <w:r w:rsidR="005740F7">
          <w:rPr>
            <w:webHidden/>
          </w:rPr>
          <w:instrText xml:space="preserve"> PAGEREF _Toc43890220 \h </w:instrText>
        </w:r>
        <w:r w:rsidR="005740F7">
          <w:rPr>
            <w:webHidden/>
          </w:rPr>
        </w:r>
        <w:r w:rsidR="005740F7">
          <w:rPr>
            <w:webHidden/>
          </w:rPr>
          <w:fldChar w:fldCharType="separate"/>
        </w:r>
        <w:r w:rsidR="005740F7">
          <w:rPr>
            <w:webHidden/>
          </w:rPr>
          <w:t>44</w:t>
        </w:r>
        <w:r w:rsidR="005740F7">
          <w:rPr>
            <w:webHidden/>
          </w:rPr>
          <w:fldChar w:fldCharType="end"/>
        </w:r>
      </w:hyperlink>
    </w:p>
    <w:p w14:paraId="7571D858" w14:textId="71FD70BF" w:rsidR="005740F7" w:rsidRDefault="00963848">
      <w:pPr>
        <w:pStyle w:val="TOC2"/>
        <w:rPr>
          <w:rFonts w:asciiTheme="minorHAnsi" w:hAnsiTheme="minorHAnsi"/>
          <w:lang w:eastAsia="en-AU"/>
        </w:rPr>
      </w:pPr>
      <w:hyperlink w:anchor="_Toc43890221" w:history="1">
        <w:r w:rsidR="005740F7" w:rsidRPr="00E85D10">
          <w:rPr>
            <w:rStyle w:val="Hyperlink"/>
          </w:rPr>
          <w:t>6.20</w:t>
        </w:r>
        <w:r w:rsidR="005740F7">
          <w:rPr>
            <w:rFonts w:asciiTheme="minorHAnsi" w:hAnsiTheme="minorHAnsi"/>
            <w:lang w:eastAsia="en-AU"/>
          </w:rPr>
          <w:tab/>
        </w:r>
        <w:r w:rsidR="005740F7" w:rsidRPr="00E85D10">
          <w:rPr>
            <w:rStyle w:val="Hyperlink"/>
          </w:rPr>
          <w:t>Skin irritation – Human health hazard band A</w:t>
        </w:r>
        <w:r w:rsidR="005740F7">
          <w:rPr>
            <w:webHidden/>
          </w:rPr>
          <w:tab/>
        </w:r>
        <w:r w:rsidR="005740F7">
          <w:rPr>
            <w:webHidden/>
          </w:rPr>
          <w:fldChar w:fldCharType="begin"/>
        </w:r>
        <w:r w:rsidR="005740F7">
          <w:rPr>
            <w:webHidden/>
          </w:rPr>
          <w:instrText xml:space="preserve"> PAGEREF _Toc43890221 \h </w:instrText>
        </w:r>
        <w:r w:rsidR="005740F7">
          <w:rPr>
            <w:webHidden/>
          </w:rPr>
        </w:r>
        <w:r w:rsidR="005740F7">
          <w:rPr>
            <w:webHidden/>
          </w:rPr>
          <w:fldChar w:fldCharType="separate"/>
        </w:r>
        <w:r w:rsidR="005740F7">
          <w:rPr>
            <w:webHidden/>
          </w:rPr>
          <w:t>45</w:t>
        </w:r>
        <w:r w:rsidR="005740F7">
          <w:rPr>
            <w:webHidden/>
          </w:rPr>
          <w:fldChar w:fldCharType="end"/>
        </w:r>
      </w:hyperlink>
    </w:p>
    <w:p w14:paraId="2B85A6D3" w14:textId="1BABC71F" w:rsidR="005740F7" w:rsidRDefault="00963848">
      <w:pPr>
        <w:pStyle w:val="TOC2"/>
        <w:rPr>
          <w:rFonts w:asciiTheme="minorHAnsi" w:hAnsiTheme="minorHAnsi"/>
          <w:lang w:eastAsia="en-AU"/>
        </w:rPr>
      </w:pPr>
      <w:hyperlink w:anchor="_Toc43890222" w:history="1">
        <w:r w:rsidR="005740F7" w:rsidRPr="00E85D10">
          <w:rPr>
            <w:rStyle w:val="Hyperlink"/>
          </w:rPr>
          <w:t>6.21</w:t>
        </w:r>
        <w:r w:rsidR="005740F7">
          <w:rPr>
            <w:rFonts w:asciiTheme="minorHAnsi" w:hAnsiTheme="minorHAnsi"/>
            <w:lang w:eastAsia="en-AU"/>
          </w:rPr>
          <w:tab/>
        </w:r>
        <w:r w:rsidR="005740F7" w:rsidRPr="00E85D10">
          <w:rPr>
            <w:rStyle w:val="Hyperlink"/>
          </w:rPr>
          <w:t>Eye irritation – Human health hazard band A</w:t>
        </w:r>
        <w:r w:rsidR="005740F7">
          <w:rPr>
            <w:webHidden/>
          </w:rPr>
          <w:tab/>
        </w:r>
        <w:r w:rsidR="005740F7">
          <w:rPr>
            <w:webHidden/>
          </w:rPr>
          <w:fldChar w:fldCharType="begin"/>
        </w:r>
        <w:r w:rsidR="005740F7">
          <w:rPr>
            <w:webHidden/>
          </w:rPr>
          <w:instrText xml:space="preserve"> PAGEREF _Toc43890222 \h </w:instrText>
        </w:r>
        <w:r w:rsidR="005740F7">
          <w:rPr>
            <w:webHidden/>
          </w:rPr>
        </w:r>
        <w:r w:rsidR="005740F7">
          <w:rPr>
            <w:webHidden/>
          </w:rPr>
          <w:fldChar w:fldCharType="separate"/>
        </w:r>
        <w:r w:rsidR="005740F7">
          <w:rPr>
            <w:webHidden/>
          </w:rPr>
          <w:t>46</w:t>
        </w:r>
        <w:r w:rsidR="005740F7">
          <w:rPr>
            <w:webHidden/>
          </w:rPr>
          <w:fldChar w:fldCharType="end"/>
        </w:r>
      </w:hyperlink>
    </w:p>
    <w:p w14:paraId="415DB40F" w14:textId="028F9914" w:rsidR="005740F7" w:rsidRDefault="00963848">
      <w:pPr>
        <w:pStyle w:val="TOC2"/>
        <w:rPr>
          <w:rFonts w:asciiTheme="minorHAnsi" w:hAnsiTheme="minorHAnsi"/>
          <w:lang w:eastAsia="en-AU"/>
        </w:rPr>
      </w:pPr>
      <w:hyperlink w:anchor="_Toc43890223" w:history="1">
        <w:r w:rsidR="005740F7" w:rsidRPr="00E85D10">
          <w:rPr>
            <w:rStyle w:val="Hyperlink"/>
          </w:rPr>
          <w:t>6.22</w:t>
        </w:r>
        <w:r w:rsidR="005740F7">
          <w:rPr>
            <w:rFonts w:asciiTheme="minorHAnsi" w:hAnsiTheme="minorHAnsi"/>
            <w:lang w:eastAsia="en-AU"/>
          </w:rPr>
          <w:tab/>
        </w:r>
        <w:r w:rsidR="005740F7" w:rsidRPr="00E85D10">
          <w:rPr>
            <w:rStyle w:val="Hyperlink"/>
          </w:rPr>
          <w:t>Acute toxicity (harmful) – Human health hazard band A</w:t>
        </w:r>
        <w:r w:rsidR="005740F7">
          <w:rPr>
            <w:webHidden/>
          </w:rPr>
          <w:tab/>
        </w:r>
        <w:r w:rsidR="005740F7">
          <w:rPr>
            <w:webHidden/>
          </w:rPr>
          <w:fldChar w:fldCharType="begin"/>
        </w:r>
        <w:r w:rsidR="005740F7">
          <w:rPr>
            <w:webHidden/>
          </w:rPr>
          <w:instrText xml:space="preserve"> PAGEREF _Toc43890223 \h </w:instrText>
        </w:r>
        <w:r w:rsidR="005740F7">
          <w:rPr>
            <w:webHidden/>
          </w:rPr>
        </w:r>
        <w:r w:rsidR="005740F7">
          <w:rPr>
            <w:webHidden/>
          </w:rPr>
          <w:fldChar w:fldCharType="separate"/>
        </w:r>
        <w:r w:rsidR="005740F7">
          <w:rPr>
            <w:webHidden/>
          </w:rPr>
          <w:t>47</w:t>
        </w:r>
        <w:r w:rsidR="005740F7">
          <w:rPr>
            <w:webHidden/>
          </w:rPr>
          <w:fldChar w:fldCharType="end"/>
        </w:r>
      </w:hyperlink>
    </w:p>
    <w:p w14:paraId="42D18142" w14:textId="62963A97" w:rsidR="005740F7" w:rsidRDefault="00963848">
      <w:pPr>
        <w:pStyle w:val="TOC2"/>
        <w:rPr>
          <w:rFonts w:asciiTheme="minorHAnsi" w:hAnsiTheme="minorHAnsi"/>
          <w:lang w:eastAsia="en-AU"/>
        </w:rPr>
      </w:pPr>
      <w:hyperlink w:anchor="_Toc43890224" w:history="1">
        <w:r w:rsidR="005740F7" w:rsidRPr="00E85D10">
          <w:rPr>
            <w:rStyle w:val="Hyperlink"/>
          </w:rPr>
          <w:t>6.23</w:t>
        </w:r>
        <w:r w:rsidR="005740F7">
          <w:rPr>
            <w:rFonts w:asciiTheme="minorHAnsi" w:hAnsiTheme="minorHAnsi"/>
            <w:lang w:eastAsia="en-AU"/>
          </w:rPr>
          <w:tab/>
        </w:r>
        <w:r w:rsidR="005740F7" w:rsidRPr="00E85D10">
          <w:rPr>
            <w:rStyle w:val="Hyperlink"/>
          </w:rPr>
          <w:t>Ozone depleting chemical – Environment hazard band D</w:t>
        </w:r>
        <w:r w:rsidR="005740F7">
          <w:rPr>
            <w:webHidden/>
          </w:rPr>
          <w:tab/>
        </w:r>
        <w:r w:rsidR="005740F7">
          <w:rPr>
            <w:webHidden/>
          </w:rPr>
          <w:fldChar w:fldCharType="begin"/>
        </w:r>
        <w:r w:rsidR="005740F7">
          <w:rPr>
            <w:webHidden/>
          </w:rPr>
          <w:instrText xml:space="preserve"> PAGEREF _Toc43890224 \h </w:instrText>
        </w:r>
        <w:r w:rsidR="005740F7">
          <w:rPr>
            <w:webHidden/>
          </w:rPr>
        </w:r>
        <w:r w:rsidR="005740F7">
          <w:rPr>
            <w:webHidden/>
          </w:rPr>
          <w:fldChar w:fldCharType="separate"/>
        </w:r>
        <w:r w:rsidR="005740F7">
          <w:rPr>
            <w:webHidden/>
          </w:rPr>
          <w:t>49</w:t>
        </w:r>
        <w:r w:rsidR="005740F7">
          <w:rPr>
            <w:webHidden/>
          </w:rPr>
          <w:fldChar w:fldCharType="end"/>
        </w:r>
      </w:hyperlink>
    </w:p>
    <w:p w14:paraId="7A58AAB2" w14:textId="4A121005" w:rsidR="005740F7" w:rsidRDefault="00963848">
      <w:pPr>
        <w:pStyle w:val="TOC2"/>
        <w:rPr>
          <w:rFonts w:asciiTheme="minorHAnsi" w:hAnsiTheme="minorHAnsi"/>
          <w:lang w:eastAsia="en-AU"/>
        </w:rPr>
      </w:pPr>
      <w:hyperlink w:anchor="_Toc43890225" w:history="1">
        <w:r w:rsidR="005740F7" w:rsidRPr="00E85D10">
          <w:rPr>
            <w:rStyle w:val="Hyperlink"/>
          </w:rPr>
          <w:t>6.24</w:t>
        </w:r>
        <w:r w:rsidR="005740F7">
          <w:rPr>
            <w:rFonts w:asciiTheme="minorHAnsi" w:hAnsiTheme="minorHAnsi"/>
            <w:lang w:eastAsia="en-AU"/>
          </w:rPr>
          <w:tab/>
        </w:r>
        <w:r w:rsidR="005740F7" w:rsidRPr="00E85D10">
          <w:rPr>
            <w:rStyle w:val="Hyperlink"/>
          </w:rPr>
          <w:t>Synthetic greenhouse gas – Environment hazard band D</w:t>
        </w:r>
        <w:r w:rsidR="005740F7">
          <w:rPr>
            <w:webHidden/>
          </w:rPr>
          <w:tab/>
        </w:r>
        <w:r w:rsidR="005740F7">
          <w:rPr>
            <w:webHidden/>
          </w:rPr>
          <w:fldChar w:fldCharType="begin"/>
        </w:r>
        <w:r w:rsidR="005740F7">
          <w:rPr>
            <w:webHidden/>
          </w:rPr>
          <w:instrText xml:space="preserve"> PAGEREF _Toc43890225 \h </w:instrText>
        </w:r>
        <w:r w:rsidR="005740F7">
          <w:rPr>
            <w:webHidden/>
          </w:rPr>
        </w:r>
        <w:r w:rsidR="005740F7">
          <w:rPr>
            <w:webHidden/>
          </w:rPr>
          <w:fldChar w:fldCharType="separate"/>
        </w:r>
        <w:r w:rsidR="005740F7">
          <w:rPr>
            <w:webHidden/>
          </w:rPr>
          <w:t>49</w:t>
        </w:r>
        <w:r w:rsidR="005740F7">
          <w:rPr>
            <w:webHidden/>
          </w:rPr>
          <w:fldChar w:fldCharType="end"/>
        </w:r>
      </w:hyperlink>
    </w:p>
    <w:p w14:paraId="36997A2E" w14:textId="493D8655" w:rsidR="005740F7" w:rsidRDefault="00963848">
      <w:pPr>
        <w:pStyle w:val="TOC2"/>
        <w:rPr>
          <w:rFonts w:asciiTheme="minorHAnsi" w:hAnsiTheme="minorHAnsi"/>
          <w:lang w:eastAsia="en-AU"/>
        </w:rPr>
      </w:pPr>
      <w:hyperlink w:anchor="_Toc43890226" w:history="1">
        <w:r w:rsidR="005740F7" w:rsidRPr="00E85D10">
          <w:rPr>
            <w:rStyle w:val="Hyperlink"/>
          </w:rPr>
          <w:t>6.25</w:t>
        </w:r>
        <w:r w:rsidR="005740F7">
          <w:rPr>
            <w:rFonts w:asciiTheme="minorHAnsi" w:hAnsiTheme="minorHAnsi"/>
            <w:lang w:eastAsia="en-AU"/>
          </w:rPr>
          <w:tab/>
        </w:r>
        <w:r w:rsidR="005740F7" w:rsidRPr="00E85D10">
          <w:rPr>
            <w:rStyle w:val="Hyperlink"/>
          </w:rPr>
          <w:t>Adverse effects mediated by an endocrine mode of action – Environment hazard band D</w:t>
        </w:r>
        <w:r w:rsidR="005740F7">
          <w:rPr>
            <w:webHidden/>
          </w:rPr>
          <w:tab/>
        </w:r>
        <w:r w:rsidR="005740F7">
          <w:rPr>
            <w:webHidden/>
          </w:rPr>
          <w:fldChar w:fldCharType="begin"/>
        </w:r>
        <w:r w:rsidR="005740F7">
          <w:rPr>
            <w:webHidden/>
          </w:rPr>
          <w:instrText xml:space="preserve"> PAGEREF _Toc43890226 \h </w:instrText>
        </w:r>
        <w:r w:rsidR="005740F7">
          <w:rPr>
            <w:webHidden/>
          </w:rPr>
        </w:r>
        <w:r w:rsidR="005740F7">
          <w:rPr>
            <w:webHidden/>
          </w:rPr>
          <w:fldChar w:fldCharType="separate"/>
        </w:r>
        <w:r w:rsidR="005740F7">
          <w:rPr>
            <w:webHidden/>
          </w:rPr>
          <w:t>49</w:t>
        </w:r>
        <w:r w:rsidR="005740F7">
          <w:rPr>
            <w:webHidden/>
          </w:rPr>
          <w:fldChar w:fldCharType="end"/>
        </w:r>
      </w:hyperlink>
    </w:p>
    <w:p w14:paraId="38F118F1" w14:textId="402023E4" w:rsidR="005740F7" w:rsidRDefault="00963848">
      <w:pPr>
        <w:pStyle w:val="TOC2"/>
        <w:rPr>
          <w:rFonts w:asciiTheme="minorHAnsi" w:hAnsiTheme="minorHAnsi"/>
          <w:lang w:eastAsia="en-AU"/>
        </w:rPr>
      </w:pPr>
      <w:hyperlink w:anchor="_Toc43890227" w:history="1">
        <w:r w:rsidR="005740F7" w:rsidRPr="00E85D10">
          <w:rPr>
            <w:rStyle w:val="Hyperlink"/>
          </w:rPr>
          <w:t>6.26</w:t>
        </w:r>
        <w:r w:rsidR="005740F7">
          <w:rPr>
            <w:rFonts w:asciiTheme="minorHAnsi" w:hAnsiTheme="minorHAnsi"/>
            <w:lang w:eastAsia="en-AU"/>
          </w:rPr>
          <w:tab/>
        </w:r>
        <w:r w:rsidR="005740F7" w:rsidRPr="00E85D10">
          <w:rPr>
            <w:rStyle w:val="Hyperlink"/>
          </w:rPr>
          <w:t>Persistent, bioaccumulative and toxic – Environment hazard band D</w:t>
        </w:r>
        <w:r w:rsidR="005740F7">
          <w:rPr>
            <w:webHidden/>
          </w:rPr>
          <w:tab/>
        </w:r>
        <w:r w:rsidR="005740F7">
          <w:rPr>
            <w:webHidden/>
          </w:rPr>
          <w:fldChar w:fldCharType="begin"/>
        </w:r>
        <w:r w:rsidR="005740F7">
          <w:rPr>
            <w:webHidden/>
          </w:rPr>
          <w:instrText xml:space="preserve"> PAGEREF _Toc43890227 \h </w:instrText>
        </w:r>
        <w:r w:rsidR="005740F7">
          <w:rPr>
            <w:webHidden/>
          </w:rPr>
        </w:r>
        <w:r w:rsidR="005740F7">
          <w:rPr>
            <w:webHidden/>
          </w:rPr>
          <w:fldChar w:fldCharType="separate"/>
        </w:r>
        <w:r w:rsidR="005740F7">
          <w:rPr>
            <w:webHidden/>
          </w:rPr>
          <w:t>51</w:t>
        </w:r>
        <w:r w:rsidR="005740F7">
          <w:rPr>
            <w:webHidden/>
          </w:rPr>
          <w:fldChar w:fldCharType="end"/>
        </w:r>
      </w:hyperlink>
    </w:p>
    <w:p w14:paraId="1456B46A" w14:textId="08EEE064" w:rsidR="005740F7" w:rsidRDefault="00963848">
      <w:pPr>
        <w:pStyle w:val="TOC2"/>
        <w:rPr>
          <w:rFonts w:asciiTheme="minorHAnsi" w:hAnsiTheme="minorHAnsi"/>
          <w:lang w:eastAsia="en-AU"/>
        </w:rPr>
      </w:pPr>
      <w:hyperlink w:anchor="_Toc43890228" w:history="1">
        <w:r w:rsidR="005740F7" w:rsidRPr="00E85D10">
          <w:rPr>
            <w:rStyle w:val="Hyperlink"/>
          </w:rPr>
          <w:t>6.27</w:t>
        </w:r>
        <w:r w:rsidR="005740F7">
          <w:rPr>
            <w:rFonts w:asciiTheme="minorHAnsi" w:hAnsiTheme="minorHAnsi"/>
            <w:lang w:eastAsia="en-AU"/>
          </w:rPr>
          <w:tab/>
        </w:r>
        <w:r w:rsidR="005740F7" w:rsidRPr="00E85D10">
          <w:rPr>
            <w:rStyle w:val="Hyperlink"/>
          </w:rPr>
          <w:t>Very toxic to any aquatic life – Environment hazard band C</w:t>
        </w:r>
        <w:r w:rsidR="005740F7">
          <w:rPr>
            <w:webHidden/>
          </w:rPr>
          <w:tab/>
        </w:r>
        <w:r w:rsidR="005740F7">
          <w:rPr>
            <w:webHidden/>
          </w:rPr>
          <w:fldChar w:fldCharType="begin"/>
        </w:r>
        <w:r w:rsidR="005740F7">
          <w:rPr>
            <w:webHidden/>
          </w:rPr>
          <w:instrText xml:space="preserve"> PAGEREF _Toc43890228 \h </w:instrText>
        </w:r>
        <w:r w:rsidR="005740F7">
          <w:rPr>
            <w:webHidden/>
          </w:rPr>
        </w:r>
        <w:r w:rsidR="005740F7">
          <w:rPr>
            <w:webHidden/>
          </w:rPr>
          <w:fldChar w:fldCharType="separate"/>
        </w:r>
        <w:r w:rsidR="005740F7">
          <w:rPr>
            <w:webHidden/>
          </w:rPr>
          <w:t>53</w:t>
        </w:r>
        <w:r w:rsidR="005740F7">
          <w:rPr>
            <w:webHidden/>
          </w:rPr>
          <w:fldChar w:fldCharType="end"/>
        </w:r>
      </w:hyperlink>
    </w:p>
    <w:p w14:paraId="5D53F855" w14:textId="54CC8A88" w:rsidR="005740F7" w:rsidRDefault="00963848">
      <w:pPr>
        <w:pStyle w:val="TOC2"/>
        <w:rPr>
          <w:rFonts w:asciiTheme="minorHAnsi" w:hAnsiTheme="minorHAnsi"/>
          <w:lang w:eastAsia="en-AU"/>
        </w:rPr>
      </w:pPr>
      <w:hyperlink w:anchor="_Toc43890229" w:history="1">
        <w:r w:rsidR="005740F7" w:rsidRPr="00E85D10">
          <w:rPr>
            <w:rStyle w:val="Hyperlink"/>
          </w:rPr>
          <w:t>6.28</w:t>
        </w:r>
        <w:r w:rsidR="005740F7">
          <w:rPr>
            <w:rFonts w:asciiTheme="minorHAnsi" w:hAnsiTheme="minorHAnsi"/>
            <w:lang w:eastAsia="en-AU"/>
          </w:rPr>
          <w:tab/>
        </w:r>
        <w:r w:rsidR="005740F7" w:rsidRPr="00E85D10">
          <w:rPr>
            <w:rStyle w:val="Hyperlink"/>
          </w:rPr>
          <w:t>Persistent and bioaccumulative – Environment hazard band C</w:t>
        </w:r>
        <w:r w:rsidR="005740F7">
          <w:rPr>
            <w:webHidden/>
          </w:rPr>
          <w:tab/>
        </w:r>
        <w:r w:rsidR="005740F7">
          <w:rPr>
            <w:webHidden/>
          </w:rPr>
          <w:fldChar w:fldCharType="begin"/>
        </w:r>
        <w:r w:rsidR="005740F7">
          <w:rPr>
            <w:webHidden/>
          </w:rPr>
          <w:instrText xml:space="preserve"> PAGEREF _Toc43890229 \h </w:instrText>
        </w:r>
        <w:r w:rsidR="005740F7">
          <w:rPr>
            <w:webHidden/>
          </w:rPr>
        </w:r>
        <w:r w:rsidR="005740F7">
          <w:rPr>
            <w:webHidden/>
          </w:rPr>
          <w:fldChar w:fldCharType="separate"/>
        </w:r>
        <w:r w:rsidR="005740F7">
          <w:rPr>
            <w:webHidden/>
          </w:rPr>
          <w:t>55</w:t>
        </w:r>
        <w:r w:rsidR="005740F7">
          <w:rPr>
            <w:webHidden/>
          </w:rPr>
          <w:fldChar w:fldCharType="end"/>
        </w:r>
      </w:hyperlink>
    </w:p>
    <w:p w14:paraId="796ACD10" w14:textId="6A4C46C0" w:rsidR="005740F7" w:rsidRDefault="00963848">
      <w:pPr>
        <w:pStyle w:val="TOC2"/>
        <w:rPr>
          <w:rFonts w:asciiTheme="minorHAnsi" w:hAnsiTheme="minorHAnsi"/>
          <w:lang w:eastAsia="en-AU"/>
        </w:rPr>
      </w:pPr>
      <w:hyperlink w:anchor="_Toc43890230" w:history="1">
        <w:r w:rsidR="005740F7" w:rsidRPr="00E85D10">
          <w:rPr>
            <w:rStyle w:val="Hyperlink"/>
          </w:rPr>
          <w:t>6.29</w:t>
        </w:r>
        <w:r w:rsidR="005740F7">
          <w:rPr>
            <w:rFonts w:asciiTheme="minorHAnsi" w:hAnsiTheme="minorHAnsi"/>
            <w:lang w:eastAsia="en-AU"/>
          </w:rPr>
          <w:tab/>
        </w:r>
        <w:r w:rsidR="005740F7" w:rsidRPr="00E85D10">
          <w:rPr>
            <w:rStyle w:val="Hyperlink"/>
          </w:rPr>
          <w:t>Toxic to any aquatic life – Environment hazard band B</w:t>
        </w:r>
        <w:r w:rsidR="005740F7">
          <w:rPr>
            <w:webHidden/>
          </w:rPr>
          <w:tab/>
        </w:r>
        <w:r w:rsidR="005740F7">
          <w:rPr>
            <w:webHidden/>
          </w:rPr>
          <w:fldChar w:fldCharType="begin"/>
        </w:r>
        <w:r w:rsidR="005740F7">
          <w:rPr>
            <w:webHidden/>
          </w:rPr>
          <w:instrText xml:space="preserve"> PAGEREF _Toc43890230 \h </w:instrText>
        </w:r>
        <w:r w:rsidR="005740F7">
          <w:rPr>
            <w:webHidden/>
          </w:rPr>
        </w:r>
        <w:r w:rsidR="005740F7">
          <w:rPr>
            <w:webHidden/>
          </w:rPr>
          <w:fldChar w:fldCharType="separate"/>
        </w:r>
        <w:r w:rsidR="005740F7">
          <w:rPr>
            <w:webHidden/>
          </w:rPr>
          <w:t>58</w:t>
        </w:r>
        <w:r w:rsidR="005740F7">
          <w:rPr>
            <w:webHidden/>
          </w:rPr>
          <w:fldChar w:fldCharType="end"/>
        </w:r>
      </w:hyperlink>
    </w:p>
    <w:p w14:paraId="1149C624" w14:textId="6DBFA7D4" w:rsidR="005740F7" w:rsidRDefault="00963848">
      <w:pPr>
        <w:pStyle w:val="TOC2"/>
        <w:rPr>
          <w:rFonts w:asciiTheme="minorHAnsi" w:hAnsiTheme="minorHAnsi"/>
          <w:lang w:eastAsia="en-AU"/>
        </w:rPr>
      </w:pPr>
      <w:hyperlink w:anchor="_Toc43890231" w:history="1">
        <w:r w:rsidR="005740F7" w:rsidRPr="00E85D10">
          <w:rPr>
            <w:rStyle w:val="Hyperlink"/>
          </w:rPr>
          <w:t>6.30</w:t>
        </w:r>
        <w:r w:rsidR="005740F7">
          <w:rPr>
            <w:rFonts w:asciiTheme="minorHAnsi" w:hAnsiTheme="minorHAnsi"/>
            <w:lang w:eastAsia="en-AU"/>
          </w:rPr>
          <w:tab/>
        </w:r>
        <w:r w:rsidR="005740F7" w:rsidRPr="00E85D10">
          <w:rPr>
            <w:rStyle w:val="Hyperlink"/>
          </w:rPr>
          <w:t>Polymer that is not stable – Environment hazard band A</w:t>
        </w:r>
        <w:r w:rsidR="005740F7">
          <w:rPr>
            <w:webHidden/>
          </w:rPr>
          <w:tab/>
        </w:r>
        <w:r w:rsidR="005740F7">
          <w:rPr>
            <w:webHidden/>
          </w:rPr>
          <w:fldChar w:fldCharType="begin"/>
        </w:r>
        <w:r w:rsidR="005740F7">
          <w:rPr>
            <w:webHidden/>
          </w:rPr>
          <w:instrText xml:space="preserve"> PAGEREF _Toc43890231 \h </w:instrText>
        </w:r>
        <w:r w:rsidR="005740F7">
          <w:rPr>
            <w:webHidden/>
          </w:rPr>
        </w:r>
        <w:r w:rsidR="005740F7">
          <w:rPr>
            <w:webHidden/>
          </w:rPr>
          <w:fldChar w:fldCharType="separate"/>
        </w:r>
        <w:r w:rsidR="005740F7">
          <w:rPr>
            <w:webHidden/>
          </w:rPr>
          <w:t>59</w:t>
        </w:r>
        <w:r w:rsidR="005740F7">
          <w:rPr>
            <w:webHidden/>
          </w:rPr>
          <w:fldChar w:fldCharType="end"/>
        </w:r>
      </w:hyperlink>
    </w:p>
    <w:p w14:paraId="56431923" w14:textId="5FB52E04" w:rsidR="005740F7" w:rsidRDefault="00963848">
      <w:pPr>
        <w:pStyle w:val="TOC2"/>
        <w:rPr>
          <w:rFonts w:asciiTheme="minorHAnsi" w:hAnsiTheme="minorHAnsi"/>
          <w:lang w:eastAsia="en-AU"/>
        </w:rPr>
      </w:pPr>
      <w:hyperlink w:anchor="_Toc43890232" w:history="1">
        <w:r w:rsidR="005740F7" w:rsidRPr="00E85D10">
          <w:rPr>
            <w:rStyle w:val="Hyperlink"/>
          </w:rPr>
          <w:t>6.31</w:t>
        </w:r>
        <w:r w:rsidR="005740F7">
          <w:rPr>
            <w:rFonts w:asciiTheme="minorHAnsi" w:hAnsiTheme="minorHAnsi"/>
            <w:lang w:eastAsia="en-AU"/>
          </w:rPr>
          <w:tab/>
        </w:r>
        <w:r w:rsidR="005740F7" w:rsidRPr="00E85D10">
          <w:rPr>
            <w:rStyle w:val="Hyperlink"/>
          </w:rPr>
          <w:t>Bioaccumulation potential – Environment hazard band A</w:t>
        </w:r>
        <w:r w:rsidR="005740F7">
          <w:rPr>
            <w:webHidden/>
          </w:rPr>
          <w:tab/>
        </w:r>
        <w:r w:rsidR="005740F7">
          <w:rPr>
            <w:webHidden/>
          </w:rPr>
          <w:fldChar w:fldCharType="begin"/>
        </w:r>
        <w:r w:rsidR="005740F7">
          <w:rPr>
            <w:webHidden/>
          </w:rPr>
          <w:instrText xml:space="preserve"> PAGEREF _Toc43890232 \h </w:instrText>
        </w:r>
        <w:r w:rsidR="005740F7">
          <w:rPr>
            <w:webHidden/>
          </w:rPr>
        </w:r>
        <w:r w:rsidR="005740F7">
          <w:rPr>
            <w:webHidden/>
          </w:rPr>
          <w:fldChar w:fldCharType="separate"/>
        </w:r>
        <w:r w:rsidR="005740F7">
          <w:rPr>
            <w:webHidden/>
          </w:rPr>
          <w:t>61</w:t>
        </w:r>
        <w:r w:rsidR="005740F7">
          <w:rPr>
            <w:webHidden/>
          </w:rPr>
          <w:fldChar w:fldCharType="end"/>
        </w:r>
      </w:hyperlink>
    </w:p>
    <w:p w14:paraId="6728272F" w14:textId="37DA4ED7" w:rsidR="005740F7" w:rsidRDefault="00963848">
      <w:pPr>
        <w:pStyle w:val="TOC2"/>
        <w:rPr>
          <w:rFonts w:asciiTheme="minorHAnsi" w:hAnsiTheme="minorHAnsi"/>
          <w:lang w:eastAsia="en-AU"/>
        </w:rPr>
      </w:pPr>
      <w:hyperlink w:anchor="_Toc43890233" w:history="1">
        <w:r w:rsidR="005740F7" w:rsidRPr="00E85D10">
          <w:rPr>
            <w:rStyle w:val="Hyperlink"/>
          </w:rPr>
          <w:t>6.32</w:t>
        </w:r>
        <w:r w:rsidR="005740F7">
          <w:rPr>
            <w:rFonts w:asciiTheme="minorHAnsi" w:hAnsiTheme="minorHAnsi"/>
            <w:lang w:eastAsia="en-AU"/>
          </w:rPr>
          <w:tab/>
        </w:r>
        <w:r w:rsidR="005740F7" w:rsidRPr="00E85D10">
          <w:rPr>
            <w:rStyle w:val="Hyperlink"/>
          </w:rPr>
          <w:t>Industrial chemical (other than a polymer) that does not meet the criteria for ready biodegradability – Environment hazard band A</w:t>
        </w:r>
        <w:r w:rsidR="005740F7">
          <w:rPr>
            <w:webHidden/>
          </w:rPr>
          <w:tab/>
        </w:r>
        <w:r w:rsidR="005740F7">
          <w:rPr>
            <w:webHidden/>
          </w:rPr>
          <w:fldChar w:fldCharType="begin"/>
        </w:r>
        <w:r w:rsidR="005740F7">
          <w:rPr>
            <w:webHidden/>
          </w:rPr>
          <w:instrText xml:space="preserve"> PAGEREF _Toc43890233 \h </w:instrText>
        </w:r>
        <w:r w:rsidR="005740F7">
          <w:rPr>
            <w:webHidden/>
          </w:rPr>
        </w:r>
        <w:r w:rsidR="005740F7">
          <w:rPr>
            <w:webHidden/>
          </w:rPr>
          <w:fldChar w:fldCharType="separate"/>
        </w:r>
        <w:r w:rsidR="005740F7">
          <w:rPr>
            <w:webHidden/>
          </w:rPr>
          <w:t>63</w:t>
        </w:r>
        <w:r w:rsidR="005740F7">
          <w:rPr>
            <w:webHidden/>
          </w:rPr>
          <w:fldChar w:fldCharType="end"/>
        </w:r>
      </w:hyperlink>
    </w:p>
    <w:p w14:paraId="0A741D41" w14:textId="36C312DF" w:rsidR="005740F7" w:rsidRDefault="00963848">
      <w:pPr>
        <w:pStyle w:val="TOC2"/>
        <w:rPr>
          <w:rFonts w:asciiTheme="minorHAnsi" w:hAnsiTheme="minorHAnsi"/>
          <w:lang w:eastAsia="en-AU"/>
        </w:rPr>
      </w:pPr>
      <w:hyperlink w:anchor="_Toc43890234" w:history="1">
        <w:r w:rsidR="005740F7" w:rsidRPr="00E85D10">
          <w:rPr>
            <w:rStyle w:val="Hyperlink"/>
          </w:rPr>
          <w:t>6.33</w:t>
        </w:r>
        <w:r w:rsidR="005740F7">
          <w:rPr>
            <w:rFonts w:asciiTheme="minorHAnsi" w:hAnsiTheme="minorHAnsi"/>
            <w:lang w:eastAsia="en-AU"/>
          </w:rPr>
          <w:tab/>
        </w:r>
        <w:r w:rsidR="005740F7" w:rsidRPr="00E85D10">
          <w:rPr>
            <w:rStyle w:val="Hyperlink"/>
          </w:rPr>
          <w:t>Harmful to any aquatic life – Environment hazard band A</w:t>
        </w:r>
        <w:r w:rsidR="005740F7">
          <w:rPr>
            <w:webHidden/>
          </w:rPr>
          <w:tab/>
        </w:r>
        <w:r w:rsidR="005740F7">
          <w:rPr>
            <w:webHidden/>
          </w:rPr>
          <w:fldChar w:fldCharType="begin"/>
        </w:r>
        <w:r w:rsidR="005740F7">
          <w:rPr>
            <w:webHidden/>
          </w:rPr>
          <w:instrText xml:space="preserve"> PAGEREF _Toc43890234 \h </w:instrText>
        </w:r>
        <w:r w:rsidR="005740F7">
          <w:rPr>
            <w:webHidden/>
          </w:rPr>
        </w:r>
        <w:r w:rsidR="005740F7">
          <w:rPr>
            <w:webHidden/>
          </w:rPr>
          <w:fldChar w:fldCharType="separate"/>
        </w:r>
        <w:r w:rsidR="005740F7">
          <w:rPr>
            <w:webHidden/>
          </w:rPr>
          <w:t>64</w:t>
        </w:r>
        <w:r w:rsidR="005740F7">
          <w:rPr>
            <w:webHidden/>
          </w:rPr>
          <w:fldChar w:fldCharType="end"/>
        </w:r>
      </w:hyperlink>
    </w:p>
    <w:p w14:paraId="2392FEA9" w14:textId="4D9CC439" w:rsidR="005740F7" w:rsidRDefault="00963848">
      <w:pPr>
        <w:pStyle w:val="TOC1"/>
        <w:rPr>
          <w:rFonts w:asciiTheme="minorHAnsi" w:hAnsiTheme="minorHAnsi"/>
          <w:b w:val="0"/>
          <w:color w:val="auto"/>
          <w:sz w:val="22"/>
          <w:lang w:eastAsia="en-AU"/>
        </w:rPr>
      </w:pPr>
      <w:hyperlink w:anchor="_Toc43890235" w:history="1">
        <w:r w:rsidR="005740F7" w:rsidRPr="00E85D10">
          <w:rPr>
            <w:rStyle w:val="Hyperlink"/>
            <w:rFonts w:cs="Segoe UI"/>
          </w:rPr>
          <w:t>7</w:t>
        </w:r>
        <w:r w:rsidR="005740F7">
          <w:rPr>
            <w:rFonts w:asciiTheme="minorHAnsi" w:hAnsiTheme="minorHAnsi"/>
            <w:b w:val="0"/>
            <w:color w:val="auto"/>
            <w:sz w:val="22"/>
            <w:lang w:eastAsia="en-AU"/>
          </w:rPr>
          <w:tab/>
        </w:r>
        <w:r w:rsidR="005740F7" w:rsidRPr="00E85D10">
          <w:rPr>
            <w:rStyle w:val="Hyperlink"/>
            <w:rFonts w:cs="Segoe UI"/>
          </w:rPr>
          <w:t>Definitions of terms in Schedule 2 to the IC General Rules</w:t>
        </w:r>
        <w:r w:rsidR="005740F7">
          <w:rPr>
            <w:webHidden/>
          </w:rPr>
          <w:tab/>
        </w:r>
        <w:r w:rsidR="005740F7">
          <w:rPr>
            <w:webHidden/>
          </w:rPr>
          <w:fldChar w:fldCharType="begin"/>
        </w:r>
        <w:r w:rsidR="005740F7">
          <w:rPr>
            <w:webHidden/>
          </w:rPr>
          <w:instrText xml:space="preserve"> PAGEREF _Toc43890235 \h </w:instrText>
        </w:r>
        <w:r w:rsidR="005740F7">
          <w:rPr>
            <w:webHidden/>
          </w:rPr>
        </w:r>
        <w:r w:rsidR="005740F7">
          <w:rPr>
            <w:webHidden/>
          </w:rPr>
          <w:fldChar w:fldCharType="separate"/>
        </w:r>
        <w:r w:rsidR="005740F7">
          <w:rPr>
            <w:webHidden/>
          </w:rPr>
          <w:t>65</w:t>
        </w:r>
        <w:r w:rsidR="005740F7">
          <w:rPr>
            <w:webHidden/>
          </w:rPr>
          <w:fldChar w:fldCharType="end"/>
        </w:r>
      </w:hyperlink>
    </w:p>
    <w:p w14:paraId="59406E23" w14:textId="1542E7C7" w:rsidR="005740F7" w:rsidRDefault="00963848">
      <w:pPr>
        <w:pStyle w:val="TOC2"/>
        <w:rPr>
          <w:rFonts w:asciiTheme="minorHAnsi" w:hAnsiTheme="minorHAnsi"/>
          <w:lang w:eastAsia="en-AU"/>
        </w:rPr>
      </w:pPr>
      <w:hyperlink w:anchor="_Toc43890236" w:history="1">
        <w:r w:rsidR="005740F7" w:rsidRPr="00E85D10">
          <w:rPr>
            <w:rStyle w:val="Hyperlink"/>
          </w:rPr>
          <w:t>7.1</w:t>
        </w:r>
        <w:r w:rsidR="005740F7">
          <w:rPr>
            <w:rFonts w:asciiTheme="minorHAnsi" w:hAnsiTheme="minorHAnsi"/>
            <w:lang w:eastAsia="en-AU"/>
          </w:rPr>
          <w:tab/>
        </w:r>
        <w:r w:rsidR="005740F7" w:rsidRPr="00E85D10">
          <w:rPr>
            <w:rStyle w:val="Hyperlink"/>
          </w:rPr>
          <w:t>Clause 1 of Part 1, Schedule 2 to the IC General Rules</w:t>
        </w:r>
        <w:r w:rsidR="005740F7">
          <w:rPr>
            <w:webHidden/>
          </w:rPr>
          <w:tab/>
        </w:r>
        <w:r w:rsidR="005740F7">
          <w:rPr>
            <w:webHidden/>
          </w:rPr>
          <w:fldChar w:fldCharType="begin"/>
        </w:r>
        <w:r w:rsidR="005740F7">
          <w:rPr>
            <w:webHidden/>
          </w:rPr>
          <w:instrText xml:space="preserve"> PAGEREF _Toc43890236 \h </w:instrText>
        </w:r>
        <w:r w:rsidR="005740F7">
          <w:rPr>
            <w:webHidden/>
          </w:rPr>
        </w:r>
        <w:r w:rsidR="005740F7">
          <w:rPr>
            <w:webHidden/>
          </w:rPr>
          <w:fldChar w:fldCharType="separate"/>
        </w:r>
        <w:r w:rsidR="005740F7">
          <w:rPr>
            <w:webHidden/>
          </w:rPr>
          <w:t>65</w:t>
        </w:r>
        <w:r w:rsidR="005740F7">
          <w:rPr>
            <w:webHidden/>
          </w:rPr>
          <w:fldChar w:fldCharType="end"/>
        </w:r>
      </w:hyperlink>
    </w:p>
    <w:p w14:paraId="17CE1F44" w14:textId="19CD45DF" w:rsidR="005740F7" w:rsidRDefault="00963848">
      <w:pPr>
        <w:pStyle w:val="TOC1"/>
        <w:rPr>
          <w:rFonts w:asciiTheme="minorHAnsi" w:hAnsiTheme="minorHAnsi"/>
          <w:b w:val="0"/>
          <w:color w:val="auto"/>
          <w:sz w:val="22"/>
          <w:lang w:eastAsia="en-AU"/>
        </w:rPr>
      </w:pPr>
      <w:hyperlink w:anchor="_Toc43890237" w:history="1">
        <w:r w:rsidR="005740F7" w:rsidRPr="00E85D10">
          <w:rPr>
            <w:rStyle w:val="Hyperlink"/>
          </w:rPr>
          <w:t>8</w:t>
        </w:r>
        <w:r w:rsidR="005740F7">
          <w:rPr>
            <w:rFonts w:asciiTheme="minorHAnsi" w:hAnsiTheme="minorHAnsi"/>
            <w:b w:val="0"/>
            <w:color w:val="auto"/>
            <w:sz w:val="22"/>
            <w:lang w:eastAsia="en-AU"/>
          </w:rPr>
          <w:tab/>
        </w:r>
        <w:r w:rsidR="005740F7" w:rsidRPr="00E85D10">
          <w:rPr>
            <w:rStyle w:val="Hyperlink"/>
          </w:rPr>
          <w:t>Appendices</w:t>
        </w:r>
        <w:r w:rsidR="005740F7">
          <w:rPr>
            <w:webHidden/>
          </w:rPr>
          <w:tab/>
        </w:r>
        <w:r w:rsidR="005740F7">
          <w:rPr>
            <w:webHidden/>
          </w:rPr>
          <w:fldChar w:fldCharType="begin"/>
        </w:r>
        <w:r w:rsidR="005740F7">
          <w:rPr>
            <w:webHidden/>
          </w:rPr>
          <w:instrText xml:space="preserve"> PAGEREF _Toc43890237 \h </w:instrText>
        </w:r>
        <w:r w:rsidR="005740F7">
          <w:rPr>
            <w:webHidden/>
          </w:rPr>
        </w:r>
        <w:r w:rsidR="005740F7">
          <w:rPr>
            <w:webHidden/>
          </w:rPr>
          <w:fldChar w:fldCharType="separate"/>
        </w:r>
        <w:r w:rsidR="005740F7">
          <w:rPr>
            <w:webHidden/>
          </w:rPr>
          <w:t>67</w:t>
        </w:r>
        <w:r w:rsidR="005740F7">
          <w:rPr>
            <w:webHidden/>
          </w:rPr>
          <w:fldChar w:fldCharType="end"/>
        </w:r>
      </w:hyperlink>
    </w:p>
    <w:p w14:paraId="5992326B" w14:textId="23BECD9E" w:rsidR="005740F7" w:rsidRDefault="00963848">
      <w:pPr>
        <w:pStyle w:val="TOC2"/>
        <w:rPr>
          <w:rFonts w:asciiTheme="minorHAnsi" w:hAnsiTheme="minorHAnsi"/>
          <w:lang w:eastAsia="en-AU"/>
        </w:rPr>
      </w:pPr>
      <w:hyperlink w:anchor="_Toc43890238" w:history="1">
        <w:r w:rsidR="005740F7" w:rsidRPr="00E85D10">
          <w:rPr>
            <w:rStyle w:val="Hyperlink"/>
          </w:rPr>
          <w:t>8.1</w:t>
        </w:r>
        <w:r w:rsidR="005740F7">
          <w:rPr>
            <w:rFonts w:asciiTheme="minorHAnsi" w:hAnsiTheme="minorHAnsi"/>
            <w:lang w:eastAsia="en-AU"/>
          </w:rPr>
          <w:tab/>
        </w:r>
        <w:r w:rsidR="005740F7" w:rsidRPr="00E85D10">
          <w:rPr>
            <w:rStyle w:val="Hyperlink"/>
          </w:rPr>
          <w:t>List of chemicals with high hazards for categorisation</w:t>
        </w:r>
        <w:r w:rsidR="005740F7">
          <w:rPr>
            <w:webHidden/>
          </w:rPr>
          <w:tab/>
        </w:r>
        <w:r w:rsidR="005740F7">
          <w:rPr>
            <w:webHidden/>
          </w:rPr>
          <w:fldChar w:fldCharType="begin"/>
        </w:r>
        <w:r w:rsidR="005740F7">
          <w:rPr>
            <w:webHidden/>
          </w:rPr>
          <w:instrText xml:space="preserve"> PAGEREF _Toc43890238 \h </w:instrText>
        </w:r>
        <w:r w:rsidR="005740F7">
          <w:rPr>
            <w:webHidden/>
          </w:rPr>
        </w:r>
        <w:r w:rsidR="005740F7">
          <w:rPr>
            <w:webHidden/>
          </w:rPr>
          <w:fldChar w:fldCharType="separate"/>
        </w:r>
        <w:r w:rsidR="005740F7">
          <w:rPr>
            <w:webHidden/>
          </w:rPr>
          <w:t>67</w:t>
        </w:r>
        <w:r w:rsidR="005740F7">
          <w:rPr>
            <w:webHidden/>
          </w:rPr>
          <w:fldChar w:fldCharType="end"/>
        </w:r>
      </w:hyperlink>
    </w:p>
    <w:p w14:paraId="58A50DFC" w14:textId="2BA98468" w:rsidR="005740F7" w:rsidRDefault="00963848">
      <w:pPr>
        <w:pStyle w:val="TOC2"/>
        <w:rPr>
          <w:rFonts w:asciiTheme="minorHAnsi" w:hAnsiTheme="minorHAnsi"/>
          <w:lang w:eastAsia="en-AU"/>
        </w:rPr>
      </w:pPr>
      <w:hyperlink w:anchor="_Toc43890239" w:history="1">
        <w:r w:rsidR="005740F7" w:rsidRPr="00E85D10">
          <w:rPr>
            <w:rStyle w:val="Hyperlink"/>
          </w:rPr>
          <w:t>8.2</w:t>
        </w:r>
        <w:r w:rsidR="005740F7">
          <w:rPr>
            <w:rFonts w:asciiTheme="minorHAnsi" w:hAnsiTheme="minorHAnsi"/>
            <w:lang w:eastAsia="en-AU"/>
          </w:rPr>
          <w:tab/>
        </w:r>
        <w:r w:rsidR="005740F7" w:rsidRPr="00E85D10">
          <w:rPr>
            <w:rStyle w:val="Hyperlink"/>
          </w:rPr>
          <w:t>In silico information</w:t>
        </w:r>
        <w:r w:rsidR="005740F7">
          <w:rPr>
            <w:webHidden/>
          </w:rPr>
          <w:tab/>
        </w:r>
        <w:r w:rsidR="005740F7">
          <w:rPr>
            <w:webHidden/>
          </w:rPr>
          <w:fldChar w:fldCharType="begin"/>
        </w:r>
        <w:r w:rsidR="005740F7">
          <w:rPr>
            <w:webHidden/>
          </w:rPr>
          <w:instrText xml:space="preserve"> PAGEREF _Toc43890239 \h </w:instrText>
        </w:r>
        <w:r w:rsidR="005740F7">
          <w:rPr>
            <w:webHidden/>
          </w:rPr>
        </w:r>
        <w:r w:rsidR="005740F7">
          <w:rPr>
            <w:webHidden/>
          </w:rPr>
          <w:fldChar w:fldCharType="separate"/>
        </w:r>
        <w:r w:rsidR="005740F7">
          <w:rPr>
            <w:webHidden/>
          </w:rPr>
          <w:t>69</w:t>
        </w:r>
        <w:r w:rsidR="005740F7">
          <w:rPr>
            <w:webHidden/>
          </w:rPr>
          <w:fldChar w:fldCharType="end"/>
        </w:r>
      </w:hyperlink>
    </w:p>
    <w:p w14:paraId="4F165197" w14:textId="3787FD3B" w:rsidR="005740F7" w:rsidRDefault="00963848">
      <w:pPr>
        <w:pStyle w:val="TOC2"/>
        <w:rPr>
          <w:rFonts w:asciiTheme="minorHAnsi" w:hAnsiTheme="minorHAnsi"/>
          <w:lang w:eastAsia="en-AU"/>
        </w:rPr>
      </w:pPr>
      <w:hyperlink w:anchor="_Toc43890240" w:history="1">
        <w:r w:rsidR="005740F7" w:rsidRPr="00E85D10">
          <w:rPr>
            <w:rStyle w:val="Hyperlink"/>
          </w:rPr>
          <w:t>8.3</w:t>
        </w:r>
        <w:r w:rsidR="005740F7">
          <w:rPr>
            <w:rFonts w:asciiTheme="minorHAnsi" w:hAnsiTheme="minorHAnsi"/>
            <w:lang w:eastAsia="en-AU"/>
          </w:rPr>
          <w:tab/>
        </w:r>
        <w:r w:rsidR="005740F7" w:rsidRPr="00E85D10">
          <w:rPr>
            <w:rStyle w:val="Hyperlink"/>
          </w:rPr>
          <w:t>Suitable read across information</w:t>
        </w:r>
        <w:r w:rsidR="005740F7">
          <w:rPr>
            <w:webHidden/>
          </w:rPr>
          <w:tab/>
        </w:r>
        <w:r w:rsidR="005740F7">
          <w:rPr>
            <w:webHidden/>
          </w:rPr>
          <w:fldChar w:fldCharType="begin"/>
        </w:r>
        <w:r w:rsidR="005740F7">
          <w:rPr>
            <w:webHidden/>
          </w:rPr>
          <w:instrText xml:space="preserve"> PAGEREF _Toc43890240 \h </w:instrText>
        </w:r>
        <w:r w:rsidR="005740F7">
          <w:rPr>
            <w:webHidden/>
          </w:rPr>
        </w:r>
        <w:r w:rsidR="005740F7">
          <w:rPr>
            <w:webHidden/>
          </w:rPr>
          <w:fldChar w:fldCharType="separate"/>
        </w:r>
        <w:r w:rsidR="005740F7">
          <w:rPr>
            <w:webHidden/>
          </w:rPr>
          <w:t>73</w:t>
        </w:r>
        <w:r w:rsidR="005740F7">
          <w:rPr>
            <w:webHidden/>
          </w:rPr>
          <w:fldChar w:fldCharType="end"/>
        </w:r>
      </w:hyperlink>
    </w:p>
    <w:p w14:paraId="2644EDEA" w14:textId="4351BA17" w:rsidR="005740F7" w:rsidRDefault="00963848">
      <w:pPr>
        <w:pStyle w:val="TOC2"/>
        <w:rPr>
          <w:rFonts w:asciiTheme="minorHAnsi" w:hAnsiTheme="minorHAnsi"/>
          <w:lang w:eastAsia="en-AU"/>
        </w:rPr>
      </w:pPr>
      <w:hyperlink w:anchor="_Toc43890241" w:history="1">
        <w:r w:rsidR="005740F7" w:rsidRPr="00E85D10">
          <w:rPr>
            <w:rStyle w:val="Hyperlink"/>
          </w:rPr>
          <w:t>8.4</w:t>
        </w:r>
        <w:r w:rsidR="005740F7">
          <w:rPr>
            <w:rFonts w:asciiTheme="minorHAnsi" w:hAnsiTheme="minorHAnsi"/>
            <w:lang w:eastAsia="en-AU"/>
          </w:rPr>
          <w:tab/>
        </w:r>
        <w:r w:rsidR="005740F7" w:rsidRPr="00E85D10">
          <w:rPr>
            <w:rStyle w:val="Hyperlink"/>
          </w:rPr>
          <w:t>Acceptable test guidelines</w:t>
        </w:r>
        <w:r w:rsidR="005740F7">
          <w:rPr>
            <w:webHidden/>
          </w:rPr>
          <w:tab/>
        </w:r>
        <w:r w:rsidR="005740F7">
          <w:rPr>
            <w:webHidden/>
          </w:rPr>
          <w:fldChar w:fldCharType="begin"/>
        </w:r>
        <w:r w:rsidR="005740F7">
          <w:rPr>
            <w:webHidden/>
          </w:rPr>
          <w:instrText xml:space="preserve"> PAGEREF _Toc43890241 \h </w:instrText>
        </w:r>
        <w:r w:rsidR="005740F7">
          <w:rPr>
            <w:webHidden/>
          </w:rPr>
        </w:r>
        <w:r w:rsidR="005740F7">
          <w:rPr>
            <w:webHidden/>
          </w:rPr>
          <w:fldChar w:fldCharType="separate"/>
        </w:r>
        <w:r w:rsidR="005740F7">
          <w:rPr>
            <w:webHidden/>
          </w:rPr>
          <w:t>73</w:t>
        </w:r>
        <w:r w:rsidR="005740F7">
          <w:rPr>
            <w:webHidden/>
          </w:rPr>
          <w:fldChar w:fldCharType="end"/>
        </w:r>
      </w:hyperlink>
    </w:p>
    <w:p w14:paraId="09F44428" w14:textId="20EF1C46" w:rsidR="007E3A65" w:rsidRPr="00485858" w:rsidRDefault="000C31C2" w:rsidP="00330376">
      <w:pPr>
        <w:rPr>
          <w:rFonts w:cs="Segoe UI"/>
        </w:rPr>
      </w:pPr>
      <w:r w:rsidRPr="00485858">
        <w:rPr>
          <w:rFonts w:cs="Segoe UI"/>
        </w:rPr>
        <w:fldChar w:fldCharType="end"/>
      </w:r>
    </w:p>
    <w:p w14:paraId="7AE765B4" w14:textId="77777777" w:rsidR="007E3A65" w:rsidRPr="00485858" w:rsidRDefault="007E3A65" w:rsidP="00330376">
      <w:pPr>
        <w:rPr>
          <w:rFonts w:cs="Segoe UI"/>
        </w:rPr>
        <w:sectPr w:rsidR="007E3A65" w:rsidRPr="00485858" w:rsidSect="0021060F">
          <w:headerReference w:type="default" r:id="rId17"/>
          <w:footerReference w:type="default" r:id="rId18"/>
          <w:pgSz w:w="11906" w:h="16838"/>
          <w:pgMar w:top="1440" w:right="1080" w:bottom="1440" w:left="1080" w:header="708" w:footer="708" w:gutter="0"/>
          <w:pgNumType w:start="2"/>
          <w:cols w:space="708"/>
          <w:docGrid w:linePitch="360"/>
        </w:sectPr>
      </w:pPr>
    </w:p>
    <w:p w14:paraId="1A35ACEB" w14:textId="77777777" w:rsidR="00CA3F02" w:rsidRDefault="007366A9" w:rsidP="00692746">
      <w:pPr>
        <w:pStyle w:val="Heading1"/>
      </w:pPr>
      <w:bookmarkStart w:id="0" w:name="_Toc43890187"/>
      <w:r>
        <w:lastRenderedPageBreak/>
        <w:t>About these Guidelines</w:t>
      </w:r>
      <w:bookmarkEnd w:id="0"/>
    </w:p>
    <w:p w14:paraId="18377709" w14:textId="77777777" w:rsidR="008A594F" w:rsidRDefault="008A594F" w:rsidP="008A594F">
      <w:pPr>
        <w:rPr>
          <w:u w:color="436EE4" w:themeColor="text2" w:themeTint="99"/>
        </w:rPr>
      </w:pPr>
      <w:r>
        <w:rPr>
          <w:u w:color="436EE4" w:themeColor="text2" w:themeTint="99"/>
        </w:rPr>
        <w:t xml:space="preserve">These Guidelines </w:t>
      </w:r>
      <w:r w:rsidR="00D40E07">
        <w:rPr>
          <w:u w:color="436EE4" w:themeColor="text2" w:themeTint="99"/>
        </w:rPr>
        <w:t xml:space="preserve">are designed to help an introducer to categorise an industrial chemical introduction for the purposes of the </w:t>
      </w:r>
      <w:r w:rsidR="00D40E07" w:rsidRPr="007D180B">
        <w:rPr>
          <w:i/>
          <w:u w:color="436EE4" w:themeColor="text2" w:themeTint="99"/>
        </w:rPr>
        <w:t>Industrial Chemicals Act 2019</w:t>
      </w:r>
      <w:r w:rsidR="00D40E07" w:rsidRPr="00D40E07">
        <w:rPr>
          <w:u w:color="436EE4" w:themeColor="text2" w:themeTint="99"/>
        </w:rPr>
        <w:t xml:space="preserve"> </w:t>
      </w:r>
      <w:r w:rsidR="00D40E07">
        <w:rPr>
          <w:u w:color="436EE4" w:themeColor="text2" w:themeTint="99"/>
        </w:rPr>
        <w:t xml:space="preserve">and </w:t>
      </w:r>
      <w:r>
        <w:rPr>
          <w:u w:color="436EE4" w:themeColor="text2" w:themeTint="99"/>
        </w:rPr>
        <w:t xml:space="preserve">must be used in conjunction with the </w:t>
      </w:r>
      <w:r w:rsidRPr="007D180B">
        <w:rPr>
          <w:i/>
          <w:u w:color="436EE4" w:themeColor="text2" w:themeTint="99"/>
        </w:rPr>
        <w:t>Industrial Chemicals (General) Rules</w:t>
      </w:r>
      <w:r w:rsidR="00633E3F">
        <w:rPr>
          <w:i/>
          <w:u w:color="436EE4" w:themeColor="text2" w:themeTint="99"/>
        </w:rPr>
        <w:t xml:space="preserve"> 2019 </w:t>
      </w:r>
      <w:r>
        <w:rPr>
          <w:u w:color="436EE4" w:themeColor="text2" w:themeTint="99"/>
        </w:rPr>
        <w:t xml:space="preserve">(the IC General </w:t>
      </w:r>
      <w:r w:rsidR="006D4C79">
        <w:rPr>
          <w:u w:color="436EE4" w:themeColor="text2" w:themeTint="99"/>
        </w:rPr>
        <w:t>R</w:t>
      </w:r>
      <w:r>
        <w:rPr>
          <w:u w:color="436EE4" w:themeColor="text2" w:themeTint="99"/>
        </w:rPr>
        <w:t>ules)</w:t>
      </w:r>
      <w:r w:rsidR="00D40E07">
        <w:rPr>
          <w:u w:color="436EE4" w:themeColor="text2" w:themeTint="99"/>
        </w:rPr>
        <w:t>.</w:t>
      </w:r>
    </w:p>
    <w:p w14:paraId="22DE4892" w14:textId="77777777" w:rsidR="008A594F" w:rsidRPr="00A95E63" w:rsidRDefault="002867EA" w:rsidP="008A594F">
      <w:pPr>
        <w:rPr>
          <w:u w:color="436EE4" w:themeColor="text2" w:themeTint="99"/>
        </w:rPr>
      </w:pPr>
      <w:r>
        <w:rPr>
          <w:u w:color="436EE4" w:themeColor="text2" w:themeTint="99"/>
        </w:rPr>
        <w:t>Part</w:t>
      </w:r>
      <w:r w:rsidRPr="00A95E63">
        <w:rPr>
          <w:u w:color="436EE4" w:themeColor="text2" w:themeTint="99"/>
        </w:rPr>
        <w:t xml:space="preserve"> </w:t>
      </w:r>
      <w:r w:rsidR="008A594F" w:rsidRPr="00A95E63">
        <w:rPr>
          <w:u w:color="436EE4" w:themeColor="text2" w:themeTint="99"/>
        </w:rPr>
        <w:t xml:space="preserve">2 of these Guidelines provides the meanings for certain terms from sections 5 and 6 of the IC General Rules. The terms in this </w:t>
      </w:r>
      <w:r w:rsidR="005D78AC">
        <w:rPr>
          <w:u w:color="436EE4" w:themeColor="text2" w:themeTint="99"/>
        </w:rPr>
        <w:t>part</w:t>
      </w:r>
      <w:r w:rsidR="008A594F" w:rsidRPr="00A95E63">
        <w:rPr>
          <w:u w:color="436EE4" w:themeColor="text2" w:themeTint="99"/>
        </w:rPr>
        <w:t xml:space="preserve"> are those that require technical detail and description for their definitions</w:t>
      </w:r>
      <w:r w:rsidR="005D78AC">
        <w:rPr>
          <w:u w:color="436EE4" w:themeColor="text2" w:themeTint="99"/>
        </w:rPr>
        <w:t>.</w:t>
      </w:r>
      <w:r w:rsidR="008A594F" w:rsidRPr="00A95E63">
        <w:rPr>
          <w:u w:color="436EE4" w:themeColor="text2" w:themeTint="99"/>
        </w:rPr>
        <w:t xml:space="preserve"> </w:t>
      </w:r>
      <w:r w:rsidR="005D78AC">
        <w:rPr>
          <w:u w:color="436EE4" w:themeColor="text2" w:themeTint="99"/>
        </w:rPr>
        <w:t>For example, the methods to work out the</w:t>
      </w:r>
      <w:r w:rsidR="008A594F" w:rsidRPr="00A95E63">
        <w:rPr>
          <w:u w:color="436EE4" w:themeColor="text2" w:themeTint="99"/>
        </w:rPr>
        <w:t xml:space="preserve"> environment categorisation volume and human health categorisation volume </w:t>
      </w:r>
      <w:r w:rsidR="005D78AC">
        <w:rPr>
          <w:u w:color="436EE4" w:themeColor="text2" w:themeTint="99"/>
        </w:rPr>
        <w:t>are</w:t>
      </w:r>
      <w:r w:rsidR="008A594F" w:rsidRPr="00A95E63">
        <w:rPr>
          <w:u w:color="436EE4" w:themeColor="text2" w:themeTint="99"/>
        </w:rPr>
        <w:t xml:space="preserve"> described</w:t>
      </w:r>
      <w:r w:rsidR="005D78AC">
        <w:rPr>
          <w:u w:color="436EE4" w:themeColor="text2" w:themeTint="99"/>
        </w:rPr>
        <w:t xml:space="preserve"> in this part</w:t>
      </w:r>
      <w:r w:rsidR="008A594F" w:rsidRPr="00A95E63">
        <w:rPr>
          <w:u w:color="436EE4" w:themeColor="text2" w:themeTint="99"/>
        </w:rPr>
        <w:t>.</w:t>
      </w:r>
    </w:p>
    <w:p w14:paraId="4492DAA3" w14:textId="77777777" w:rsidR="008A594F" w:rsidRPr="00A95E63" w:rsidRDefault="002867EA" w:rsidP="008A594F">
      <w:pPr>
        <w:rPr>
          <w:u w:color="436EE4" w:themeColor="text2" w:themeTint="99"/>
        </w:rPr>
      </w:pPr>
      <w:r>
        <w:rPr>
          <w:u w:color="436EE4" w:themeColor="text2" w:themeTint="99"/>
        </w:rPr>
        <w:t>Parts</w:t>
      </w:r>
      <w:r w:rsidR="008A594F" w:rsidRPr="00A95E63">
        <w:rPr>
          <w:u w:color="436EE4" w:themeColor="text2" w:themeTint="99"/>
        </w:rPr>
        <w:t xml:space="preserve"> 3 and 4 of these Guidelines provide meanings for terms that appear in Chapter 2 of the IC General Rules</w:t>
      </w:r>
      <w:r w:rsidR="005D78AC">
        <w:rPr>
          <w:u w:color="436EE4" w:themeColor="text2" w:themeTint="99"/>
        </w:rPr>
        <w:t>. These terms</w:t>
      </w:r>
      <w:r w:rsidR="008A594F" w:rsidRPr="00A95E63">
        <w:rPr>
          <w:u w:color="436EE4" w:themeColor="text2" w:themeTint="99"/>
        </w:rPr>
        <w:t xml:space="preserve"> relat</w:t>
      </w:r>
      <w:r w:rsidR="005D78AC">
        <w:rPr>
          <w:u w:color="436EE4" w:themeColor="text2" w:themeTint="99"/>
        </w:rPr>
        <w:t>e</w:t>
      </w:r>
      <w:r w:rsidR="008A594F" w:rsidRPr="00A95E63">
        <w:rPr>
          <w:u w:color="436EE4" w:themeColor="text2" w:themeTint="99"/>
        </w:rPr>
        <w:t xml:space="preserve"> to the categorisation of introductions of industrial chemicals.</w:t>
      </w:r>
    </w:p>
    <w:p w14:paraId="50DA71A3" w14:textId="77777777" w:rsidR="008A594F" w:rsidRPr="00A95E63" w:rsidRDefault="002867EA" w:rsidP="008A594F">
      <w:pPr>
        <w:rPr>
          <w:u w:color="436EE4" w:themeColor="text2" w:themeTint="99"/>
        </w:rPr>
      </w:pPr>
      <w:r>
        <w:rPr>
          <w:u w:color="436EE4" w:themeColor="text2" w:themeTint="99"/>
        </w:rPr>
        <w:t>Part</w:t>
      </w:r>
      <w:r w:rsidR="008A594F" w:rsidRPr="00A95E63">
        <w:rPr>
          <w:u w:color="436EE4" w:themeColor="text2" w:themeTint="99"/>
        </w:rPr>
        <w:t xml:space="preserve"> 5 of these Guidelines provide</w:t>
      </w:r>
      <w:r w:rsidR="006D4C79">
        <w:rPr>
          <w:u w:color="436EE4" w:themeColor="text2" w:themeTint="99"/>
        </w:rPr>
        <w:t>s</w:t>
      </w:r>
      <w:r w:rsidR="008A594F" w:rsidRPr="00A95E63">
        <w:rPr>
          <w:u w:color="436EE4" w:themeColor="text2" w:themeTint="99"/>
        </w:rPr>
        <w:t xml:space="preserve"> meanings for terms that appear in Chapter 4 of the IC General Rules</w:t>
      </w:r>
      <w:r w:rsidR="005D78AC">
        <w:rPr>
          <w:u w:color="436EE4" w:themeColor="text2" w:themeTint="99"/>
        </w:rPr>
        <w:t>. These terms</w:t>
      </w:r>
      <w:r w:rsidR="008A594F" w:rsidRPr="00A95E63">
        <w:rPr>
          <w:u w:color="436EE4" w:themeColor="text2" w:themeTint="99"/>
        </w:rPr>
        <w:t xml:space="preserve"> relat</w:t>
      </w:r>
      <w:r w:rsidR="005D78AC">
        <w:rPr>
          <w:u w:color="436EE4" w:themeColor="text2" w:themeTint="99"/>
        </w:rPr>
        <w:t>e</w:t>
      </w:r>
      <w:r w:rsidR="008A594F" w:rsidRPr="00A95E63">
        <w:rPr>
          <w:u w:color="436EE4" w:themeColor="text2" w:themeTint="99"/>
        </w:rPr>
        <w:t xml:space="preserve"> to record keeping obligations for introductions of industrial chemicals.</w:t>
      </w:r>
    </w:p>
    <w:p w14:paraId="67464C8F" w14:textId="77777777" w:rsidR="008A594F" w:rsidRPr="00A95E63" w:rsidRDefault="002867EA" w:rsidP="008A594F">
      <w:pPr>
        <w:rPr>
          <w:u w:color="436EE4" w:themeColor="text2" w:themeTint="99"/>
        </w:rPr>
      </w:pPr>
      <w:r>
        <w:rPr>
          <w:u w:color="436EE4" w:themeColor="text2" w:themeTint="99"/>
        </w:rPr>
        <w:t>Part</w:t>
      </w:r>
      <w:r w:rsidR="008A594F" w:rsidRPr="00A95E63">
        <w:rPr>
          <w:u w:color="436EE4" w:themeColor="text2" w:themeTint="99"/>
        </w:rPr>
        <w:t xml:space="preserve"> 6 of these Guidelines provide</w:t>
      </w:r>
      <w:r w:rsidR="006D4C79">
        <w:rPr>
          <w:u w:color="436EE4" w:themeColor="text2" w:themeTint="99"/>
        </w:rPr>
        <w:t>s</w:t>
      </w:r>
      <w:r w:rsidR="008A594F" w:rsidRPr="00A95E63">
        <w:rPr>
          <w:u w:color="436EE4" w:themeColor="text2" w:themeTint="99"/>
        </w:rPr>
        <w:t xml:space="preserve"> meanings for terms that appear in Schedule 1 of the IC General Rules. These include definitions of human health hazard characteristics and environment hazard characteristics used for determining indicative human health</w:t>
      </w:r>
      <w:r w:rsidR="00615D6B">
        <w:rPr>
          <w:u w:color="436EE4" w:themeColor="text2" w:themeTint="99"/>
        </w:rPr>
        <w:t xml:space="preserve"> risk</w:t>
      </w:r>
      <w:r w:rsidR="008A594F" w:rsidRPr="00A95E63">
        <w:rPr>
          <w:u w:color="436EE4" w:themeColor="text2" w:themeTint="99"/>
        </w:rPr>
        <w:t xml:space="preserve"> and indicative environment risk. This section also provides definitions of certain terms that are used within section 6 of these Guidelines</w:t>
      </w:r>
      <w:r w:rsidR="00615D6B">
        <w:rPr>
          <w:u w:color="436EE4" w:themeColor="text2" w:themeTint="99"/>
        </w:rPr>
        <w:t>, such as ‘suitable read across information’ and ‘acceptable test guideline’</w:t>
      </w:r>
      <w:r w:rsidR="008A594F" w:rsidRPr="00A95E63">
        <w:rPr>
          <w:u w:color="436EE4" w:themeColor="text2" w:themeTint="99"/>
        </w:rPr>
        <w:t>.</w:t>
      </w:r>
    </w:p>
    <w:p w14:paraId="0EF3FBB2" w14:textId="77777777" w:rsidR="008A594F" w:rsidRPr="00A95E63" w:rsidRDefault="002867EA" w:rsidP="008A594F">
      <w:pPr>
        <w:rPr>
          <w:u w:color="436EE4" w:themeColor="text2" w:themeTint="99"/>
        </w:rPr>
      </w:pPr>
      <w:r>
        <w:rPr>
          <w:u w:color="436EE4" w:themeColor="text2" w:themeTint="99"/>
        </w:rPr>
        <w:t>Part</w:t>
      </w:r>
      <w:r w:rsidR="008A594F" w:rsidRPr="00A95E63">
        <w:rPr>
          <w:u w:color="436EE4" w:themeColor="text2" w:themeTint="99"/>
        </w:rPr>
        <w:t xml:space="preserve"> 7 of these Guidelines provide</w:t>
      </w:r>
      <w:r w:rsidR="002A17E3">
        <w:rPr>
          <w:u w:color="436EE4" w:themeColor="text2" w:themeTint="99"/>
        </w:rPr>
        <w:t>s</w:t>
      </w:r>
      <w:r w:rsidR="008A594F" w:rsidRPr="00A95E63">
        <w:rPr>
          <w:u w:color="436EE4" w:themeColor="text2" w:themeTint="99"/>
        </w:rPr>
        <w:t xml:space="preserve"> meanings for terms that appear in Schedule 2 of the IC General Rules.</w:t>
      </w:r>
    </w:p>
    <w:p w14:paraId="410B84CD" w14:textId="77777777" w:rsidR="008A594F" w:rsidRDefault="008A594F" w:rsidP="008A594F">
      <w:pPr>
        <w:rPr>
          <w:u w:color="436EE4" w:themeColor="text2" w:themeTint="99"/>
        </w:rPr>
      </w:pPr>
      <w:r>
        <w:rPr>
          <w:u w:color="436EE4" w:themeColor="text2" w:themeTint="99"/>
        </w:rPr>
        <w:t>The appendices provide further detail for certain definitions or concepts in these Guidelines:</w:t>
      </w:r>
    </w:p>
    <w:p w14:paraId="71F27B98" w14:textId="77777777" w:rsidR="008A594F" w:rsidRPr="00A95E63" w:rsidRDefault="008A594F" w:rsidP="008A594F">
      <w:pPr>
        <w:pStyle w:val="ListParagraph"/>
        <w:numPr>
          <w:ilvl w:val="0"/>
          <w:numId w:val="18"/>
        </w:numPr>
        <w:rPr>
          <w:lang w:val="en"/>
        </w:rPr>
      </w:pPr>
      <w:r w:rsidRPr="00A95E63">
        <w:rPr>
          <w:lang w:val="en"/>
        </w:rPr>
        <w:t>List of chemicals with high hazards for categorisation</w:t>
      </w:r>
    </w:p>
    <w:p w14:paraId="7E7C6F39" w14:textId="77777777" w:rsidR="008A594F" w:rsidRPr="00A95E63" w:rsidRDefault="008A594F" w:rsidP="008A594F">
      <w:pPr>
        <w:pStyle w:val="ListParagraph"/>
        <w:numPr>
          <w:ilvl w:val="0"/>
          <w:numId w:val="18"/>
        </w:numPr>
        <w:rPr>
          <w:lang w:val="en"/>
        </w:rPr>
      </w:pPr>
      <w:r w:rsidRPr="00A95E63">
        <w:rPr>
          <w:lang w:val="en"/>
        </w:rPr>
        <w:t>In silico information</w:t>
      </w:r>
    </w:p>
    <w:p w14:paraId="06C3EB66" w14:textId="77777777" w:rsidR="008A594F" w:rsidRPr="00A95E63" w:rsidRDefault="008A594F" w:rsidP="008A594F">
      <w:pPr>
        <w:pStyle w:val="ListParagraph"/>
        <w:numPr>
          <w:ilvl w:val="0"/>
          <w:numId w:val="18"/>
        </w:numPr>
        <w:rPr>
          <w:lang w:val="en"/>
        </w:rPr>
      </w:pPr>
      <w:r w:rsidRPr="00A95E63">
        <w:rPr>
          <w:lang w:val="en"/>
        </w:rPr>
        <w:t>Suitable read across information</w:t>
      </w:r>
    </w:p>
    <w:p w14:paraId="252A6E1D" w14:textId="77777777" w:rsidR="008A594F" w:rsidRPr="00A95E63" w:rsidRDefault="008A594F" w:rsidP="008A594F">
      <w:pPr>
        <w:pStyle w:val="ListParagraph"/>
        <w:numPr>
          <w:ilvl w:val="0"/>
          <w:numId w:val="18"/>
        </w:numPr>
        <w:rPr>
          <w:lang w:val="en"/>
        </w:rPr>
      </w:pPr>
      <w:r w:rsidRPr="00A95E63">
        <w:rPr>
          <w:lang w:val="en"/>
        </w:rPr>
        <w:t>Acceptable test guidelines</w:t>
      </w:r>
    </w:p>
    <w:p w14:paraId="67CF2201" w14:textId="77777777" w:rsidR="007D180B" w:rsidRDefault="0072365D" w:rsidP="0072365D">
      <w:pPr>
        <w:spacing w:before="0" w:after="200" w:line="276" w:lineRule="auto"/>
        <w:rPr>
          <w:u w:color="436EE4" w:themeColor="text2" w:themeTint="99"/>
        </w:rPr>
      </w:pPr>
      <w:r>
        <w:rPr>
          <w:u w:color="436EE4" w:themeColor="text2" w:themeTint="99"/>
        </w:rPr>
        <w:br w:type="page"/>
      </w:r>
    </w:p>
    <w:p w14:paraId="1058678B" w14:textId="77777777" w:rsidR="005610F1" w:rsidRDefault="003F02EC" w:rsidP="00692746">
      <w:pPr>
        <w:pStyle w:val="Heading1"/>
      </w:pPr>
      <w:bookmarkStart w:id="1" w:name="_Toc43890188"/>
      <w:r>
        <w:lastRenderedPageBreak/>
        <w:t xml:space="preserve">Definitions of terms in Chapter 1, Part 1 of the </w:t>
      </w:r>
      <w:r w:rsidR="007D180B">
        <w:t xml:space="preserve">IC </w:t>
      </w:r>
      <w:r>
        <w:t>General Rules</w:t>
      </w:r>
      <w:bookmarkEnd w:id="1"/>
    </w:p>
    <w:p w14:paraId="2A88F78B" w14:textId="77777777" w:rsidR="00692746" w:rsidRDefault="003F02EC" w:rsidP="00692746">
      <w:pPr>
        <w:pStyle w:val="Heading2"/>
      </w:pPr>
      <w:bookmarkStart w:id="2" w:name="_Toc43890189"/>
      <w:r w:rsidRPr="00692746">
        <w:t>Section</w:t>
      </w:r>
      <w:r w:rsidR="00C45F57">
        <w:t xml:space="preserve"> </w:t>
      </w:r>
      <w:r>
        <w:t xml:space="preserve">5 of the </w:t>
      </w:r>
      <w:r w:rsidR="007D180B">
        <w:t xml:space="preserve">IC </w:t>
      </w:r>
      <w:r>
        <w:t>General Rules</w:t>
      </w:r>
      <w:bookmarkEnd w:id="2"/>
    </w:p>
    <w:p w14:paraId="638D643D" w14:textId="77777777" w:rsidR="003F02EC" w:rsidRDefault="003F02EC" w:rsidP="00230B69">
      <w:pPr>
        <w:pStyle w:val="Heading3"/>
        <w:ind w:left="709" w:hanging="709"/>
      </w:pPr>
      <w:r w:rsidRPr="00692746">
        <w:t>Chemical</w:t>
      </w:r>
      <w:r>
        <w:t xml:space="preserve"> identity holder</w:t>
      </w:r>
    </w:p>
    <w:p w14:paraId="424B62B5" w14:textId="77777777" w:rsidR="006F61C9" w:rsidRDefault="006F61C9" w:rsidP="00330376">
      <w:r w:rsidRPr="003A0333">
        <w:rPr>
          <w:b/>
          <w:u w:color="436EE4" w:themeColor="text2" w:themeTint="99"/>
        </w:rPr>
        <w:t>Chemical identity holder</w:t>
      </w:r>
      <w:r w:rsidR="008A594F">
        <w:rPr>
          <w:u w:color="436EE4" w:themeColor="text2" w:themeTint="99"/>
        </w:rPr>
        <w:t>, in relation to an industrial chemical,</w:t>
      </w:r>
      <w:r>
        <w:t xml:space="preserve"> </w:t>
      </w:r>
      <w:r w:rsidRPr="00E046B5">
        <w:t xml:space="preserve">means a person who </w:t>
      </w:r>
      <w:r w:rsidR="00031B34">
        <w:t>knows</w:t>
      </w:r>
      <w:r w:rsidRPr="00E046B5">
        <w:t xml:space="preserve"> the </w:t>
      </w:r>
      <w:r w:rsidR="008A594F">
        <w:t xml:space="preserve">chemical </w:t>
      </w:r>
      <w:r w:rsidRPr="00E046B5">
        <w:t>identity of the </w:t>
      </w:r>
      <w:r w:rsidRPr="00455469">
        <w:rPr>
          <w:u w:color="436EE4" w:themeColor="text2" w:themeTint="99"/>
        </w:rPr>
        <w:t>industrial chemical</w:t>
      </w:r>
      <w:r w:rsidRPr="00E046B5">
        <w:t>, including its proper name and Chemical Abstracts Service Registry Number (CAS number), if assigned.</w:t>
      </w:r>
    </w:p>
    <w:p w14:paraId="61169ED5" w14:textId="77777777" w:rsidR="008A594F" w:rsidRDefault="008A594F" w:rsidP="008A594F">
      <w:r>
        <w:rPr>
          <w:b/>
        </w:rPr>
        <w:t>Chemical identity holder</w:t>
      </w:r>
      <w:r>
        <w:t>, in relation to a flavour or fragrance blend introduction, means a person who knows the chemical identity of the industrial chemicals in the flavour or fragrance blend, including the proper names and Chemical Abstracts Service Registry Numbers (CAS numbers), if assigned.</w:t>
      </w:r>
    </w:p>
    <w:p w14:paraId="3BD82C7E" w14:textId="77777777" w:rsidR="008A594F" w:rsidRPr="008A594F" w:rsidRDefault="008A594F" w:rsidP="00330376"/>
    <w:p w14:paraId="6F2FB2D1" w14:textId="77777777" w:rsidR="003F02EC" w:rsidRDefault="003F02EC" w:rsidP="006C2ED3">
      <w:pPr>
        <w:pStyle w:val="Heading3"/>
        <w:ind w:left="709" w:hanging="709"/>
      </w:pPr>
      <w:r>
        <w:t>Environment categorisation volume</w:t>
      </w:r>
    </w:p>
    <w:p w14:paraId="13EBDBFD" w14:textId="77777777" w:rsidR="007C3901" w:rsidRPr="007C3901" w:rsidRDefault="009F6464" w:rsidP="007C3901">
      <w:pPr>
        <w:rPr>
          <w:lang w:val="en"/>
        </w:rPr>
      </w:pPr>
      <w:r>
        <w:rPr>
          <w:lang w:val="en"/>
        </w:rPr>
        <w:t>You use t</w:t>
      </w:r>
      <w:r w:rsidR="00134B42">
        <w:rPr>
          <w:lang w:val="en"/>
        </w:rPr>
        <w:t xml:space="preserve">he environment categorisation volume </w:t>
      </w:r>
      <w:r w:rsidR="00316A50">
        <w:rPr>
          <w:lang w:val="en"/>
        </w:rPr>
        <w:t xml:space="preserve">(ECV) </w:t>
      </w:r>
      <w:r w:rsidR="00134B42">
        <w:rPr>
          <w:lang w:val="en"/>
        </w:rPr>
        <w:t xml:space="preserve">to determine the </w:t>
      </w:r>
      <w:r w:rsidR="007C3901">
        <w:rPr>
          <w:lang w:val="en"/>
        </w:rPr>
        <w:t xml:space="preserve">environment exposure band for </w:t>
      </w:r>
      <w:r>
        <w:rPr>
          <w:lang w:val="en"/>
        </w:rPr>
        <w:t>your</w:t>
      </w:r>
      <w:r w:rsidR="007C3901">
        <w:rPr>
          <w:lang w:val="en"/>
        </w:rPr>
        <w:t xml:space="preserve"> introduction. </w:t>
      </w:r>
      <w:r w:rsidR="007C3901" w:rsidRPr="007C3901">
        <w:rPr>
          <w:lang w:val="en"/>
        </w:rPr>
        <w:t xml:space="preserve">There are two methods for working out the </w:t>
      </w:r>
      <w:r w:rsidR="00316A50">
        <w:rPr>
          <w:lang w:val="en"/>
        </w:rPr>
        <w:t>ECV</w:t>
      </w:r>
      <w:r w:rsidR="007C3901" w:rsidRPr="007C3901">
        <w:rPr>
          <w:lang w:val="en"/>
        </w:rPr>
        <w:t>.</w:t>
      </w:r>
      <w:r w:rsidR="007C3901">
        <w:rPr>
          <w:lang w:val="en"/>
        </w:rPr>
        <w:t xml:space="preserve"> You can use either method, </w:t>
      </w:r>
      <w:r w:rsidR="009E1569">
        <w:rPr>
          <w:lang w:val="en"/>
        </w:rPr>
        <w:t xml:space="preserve">and </w:t>
      </w:r>
      <w:r w:rsidR="00316A50">
        <w:rPr>
          <w:lang w:val="en"/>
        </w:rPr>
        <w:t xml:space="preserve">you must keep records to </w:t>
      </w:r>
      <w:r w:rsidR="00B22834">
        <w:rPr>
          <w:lang w:val="en"/>
        </w:rPr>
        <w:t>demonstrate</w:t>
      </w:r>
      <w:r w:rsidR="00316A50">
        <w:rPr>
          <w:lang w:val="en"/>
        </w:rPr>
        <w:t xml:space="preserve"> how you worked out your ECV</w:t>
      </w:r>
      <w:r w:rsidR="007C3901">
        <w:rPr>
          <w:lang w:val="en"/>
        </w:rPr>
        <w:t>.</w:t>
      </w:r>
    </w:p>
    <w:p w14:paraId="5A63274A" w14:textId="77777777" w:rsidR="007C3901" w:rsidRPr="007C3901" w:rsidRDefault="007C3901" w:rsidP="007C3901">
      <w:pPr>
        <w:rPr>
          <w:b/>
          <w:lang w:val="en"/>
        </w:rPr>
      </w:pPr>
      <w:r w:rsidRPr="007C3901">
        <w:rPr>
          <w:b/>
          <w:lang w:val="en"/>
        </w:rPr>
        <w:t>Method 1</w:t>
      </w:r>
    </w:p>
    <w:p w14:paraId="28E72C6F" w14:textId="77777777" w:rsidR="007C3901" w:rsidRPr="007C3901" w:rsidRDefault="007C3901" w:rsidP="007C3901">
      <w:pPr>
        <w:rPr>
          <w:lang w:val="en"/>
        </w:rPr>
      </w:pPr>
      <w:r w:rsidRPr="007C3901">
        <w:rPr>
          <w:lang w:val="en"/>
        </w:rPr>
        <w:t xml:space="preserve">The </w:t>
      </w:r>
      <w:r w:rsidR="00316A50">
        <w:rPr>
          <w:lang w:val="en"/>
        </w:rPr>
        <w:t>ECV</w:t>
      </w:r>
      <w:r w:rsidRPr="007C3901">
        <w:rPr>
          <w:lang w:val="en"/>
        </w:rPr>
        <w:t xml:space="preserve"> is </w:t>
      </w:r>
      <w:r>
        <w:rPr>
          <w:lang w:val="en"/>
        </w:rPr>
        <w:t xml:space="preserve">equal to </w:t>
      </w:r>
      <w:r w:rsidRPr="007C3901">
        <w:rPr>
          <w:lang w:val="en"/>
        </w:rPr>
        <w:t>the total volume of the industrial chemical that you will introduce in a registration year</w:t>
      </w:r>
      <w:r w:rsidR="00666DA1">
        <w:rPr>
          <w:lang w:val="en"/>
        </w:rPr>
        <w:t>. It is</w:t>
      </w:r>
      <w:r w:rsidRPr="007C3901">
        <w:rPr>
          <w:lang w:val="en"/>
        </w:rPr>
        <w:t xml:space="preserve"> the total introduction volume</w:t>
      </w:r>
      <w:r>
        <w:rPr>
          <w:lang w:val="en"/>
        </w:rPr>
        <w:t xml:space="preserve"> across all end uses</w:t>
      </w:r>
      <w:r w:rsidRPr="007C3901">
        <w:rPr>
          <w:lang w:val="en"/>
        </w:rPr>
        <w:t>.</w:t>
      </w:r>
    </w:p>
    <w:p w14:paraId="47A05D0A" w14:textId="77777777" w:rsidR="007C3901" w:rsidRPr="007C3901" w:rsidRDefault="007C3901" w:rsidP="007C3901">
      <w:pPr>
        <w:rPr>
          <w:b/>
          <w:lang w:val="en"/>
        </w:rPr>
      </w:pPr>
      <w:r w:rsidRPr="007C3901">
        <w:rPr>
          <w:b/>
          <w:lang w:val="en"/>
        </w:rPr>
        <w:t>Method 2</w:t>
      </w:r>
    </w:p>
    <w:p w14:paraId="6E1E23BE" w14:textId="77777777" w:rsidR="00666DA1" w:rsidRDefault="00666DA1" w:rsidP="00330376">
      <w:pPr>
        <w:rPr>
          <w:lang w:val="en"/>
        </w:rPr>
      </w:pPr>
      <w:r>
        <w:rPr>
          <w:lang w:val="en"/>
        </w:rPr>
        <w:t>Work out th</w:t>
      </w:r>
      <w:r w:rsidR="00C80F0D" w:rsidRPr="00C20D77">
        <w:rPr>
          <w:lang w:val="en"/>
        </w:rPr>
        <w:t xml:space="preserve">e </w:t>
      </w:r>
      <w:r w:rsidR="00C80F0D">
        <w:rPr>
          <w:lang w:val="en"/>
        </w:rPr>
        <w:t xml:space="preserve">ECV </w:t>
      </w:r>
      <w:r w:rsidR="00C80F0D" w:rsidRPr="00C20D77">
        <w:rPr>
          <w:lang w:val="en"/>
        </w:rPr>
        <w:t xml:space="preserve">by multiplying the introduction volume </w:t>
      </w:r>
      <w:r w:rsidR="00C80F0D">
        <w:rPr>
          <w:lang w:val="en"/>
        </w:rPr>
        <w:t xml:space="preserve">(IV) </w:t>
      </w:r>
      <w:r w:rsidR="00C80F0D" w:rsidRPr="00C20D77">
        <w:rPr>
          <w:lang w:val="en"/>
        </w:rPr>
        <w:t xml:space="preserve">by the default </w:t>
      </w:r>
      <w:r w:rsidR="006F53CB">
        <w:rPr>
          <w:lang w:val="en"/>
        </w:rPr>
        <w:t xml:space="preserve">release </w:t>
      </w:r>
      <w:r w:rsidR="00C80F0D" w:rsidRPr="00C20D77">
        <w:rPr>
          <w:lang w:val="en"/>
        </w:rPr>
        <w:t xml:space="preserve">reduction factor </w:t>
      </w:r>
      <w:r w:rsidR="00C80F0D">
        <w:rPr>
          <w:lang w:val="en"/>
        </w:rPr>
        <w:t>(R</w:t>
      </w:r>
      <w:r w:rsidR="006F53CB">
        <w:rPr>
          <w:lang w:val="en"/>
        </w:rPr>
        <w:t>R</w:t>
      </w:r>
      <w:r w:rsidR="00C80F0D">
        <w:rPr>
          <w:lang w:val="en"/>
        </w:rPr>
        <w:t xml:space="preserve">F) </w:t>
      </w:r>
      <w:r w:rsidR="00C80F0D" w:rsidRPr="00C20D77">
        <w:rPr>
          <w:lang w:val="en"/>
        </w:rPr>
        <w:t>relevant for the intended end use</w:t>
      </w:r>
      <w:r w:rsidR="00C80F0D">
        <w:rPr>
          <w:lang w:val="en"/>
        </w:rPr>
        <w:t xml:space="preserve"> scenario</w:t>
      </w:r>
      <w:r w:rsidR="00004CD2">
        <w:rPr>
          <w:lang w:val="en"/>
        </w:rPr>
        <w:t xml:space="preserve"> (refer to Table 1)</w:t>
      </w:r>
      <w:r w:rsidR="00C80F0D" w:rsidRPr="00C20D77">
        <w:rPr>
          <w:lang w:val="en"/>
        </w:rPr>
        <w:t xml:space="preserve">. </w:t>
      </w:r>
      <w:r w:rsidR="00BD5F85">
        <w:rPr>
          <w:lang w:val="en"/>
        </w:rPr>
        <w:t xml:space="preserve">That is, </w:t>
      </w:r>
    </w:p>
    <w:p w14:paraId="154E2B6F" w14:textId="77777777" w:rsidR="00C80F0D" w:rsidRPr="00666DA1" w:rsidRDefault="00C80F0D" w:rsidP="00330376">
      <w:pPr>
        <w:rPr>
          <w:rStyle w:val="Strong"/>
          <w:i/>
        </w:rPr>
      </w:pPr>
      <w:r w:rsidRPr="00666DA1">
        <w:rPr>
          <w:rStyle w:val="Strong"/>
          <w:i/>
        </w:rPr>
        <w:t xml:space="preserve">Environment categorisation volume (ECV) = introduction volume (IV) x </w:t>
      </w:r>
      <w:r w:rsidR="006F53CB" w:rsidRPr="00666DA1">
        <w:rPr>
          <w:rStyle w:val="Strong"/>
          <w:i/>
        </w:rPr>
        <w:t xml:space="preserve">release </w:t>
      </w:r>
      <w:r w:rsidRPr="00666DA1">
        <w:rPr>
          <w:rStyle w:val="Strong"/>
          <w:i/>
        </w:rPr>
        <w:t>reduction factor (R</w:t>
      </w:r>
      <w:r w:rsidR="006F53CB" w:rsidRPr="00666DA1">
        <w:rPr>
          <w:rStyle w:val="Strong"/>
          <w:i/>
        </w:rPr>
        <w:t>R</w:t>
      </w:r>
      <w:r w:rsidRPr="00666DA1">
        <w:rPr>
          <w:rStyle w:val="Strong"/>
          <w:i/>
        </w:rPr>
        <w:t>F)</w:t>
      </w:r>
    </w:p>
    <w:p w14:paraId="72E4FB17" w14:textId="77777777" w:rsidR="008362B6" w:rsidRDefault="00666DA1" w:rsidP="007106F2">
      <w:pPr>
        <w:rPr>
          <w:lang w:val="en"/>
        </w:rPr>
      </w:pPr>
      <w:r>
        <w:rPr>
          <w:lang w:val="en"/>
        </w:rPr>
        <w:t xml:space="preserve">Where </w:t>
      </w:r>
      <w:r w:rsidR="008362B6">
        <w:rPr>
          <w:lang w:val="en"/>
        </w:rPr>
        <w:t xml:space="preserve">the industrial chemical </w:t>
      </w:r>
      <w:r w:rsidR="000E4963">
        <w:rPr>
          <w:lang w:val="en"/>
        </w:rPr>
        <w:t xml:space="preserve">will have </w:t>
      </w:r>
      <w:r w:rsidR="008362B6">
        <w:rPr>
          <w:lang w:val="en"/>
        </w:rPr>
        <w:t xml:space="preserve">a </w:t>
      </w:r>
      <w:r w:rsidR="008362B6" w:rsidRPr="009F6464">
        <w:rPr>
          <w:i/>
          <w:lang w:val="en"/>
        </w:rPr>
        <w:t>single end use scenario</w:t>
      </w:r>
      <w:r w:rsidR="008362B6">
        <w:rPr>
          <w:lang w:val="en"/>
        </w:rPr>
        <w:t xml:space="preserve">, the introduction volume </w:t>
      </w:r>
      <w:r w:rsidR="007C3901">
        <w:rPr>
          <w:lang w:val="en"/>
        </w:rPr>
        <w:t xml:space="preserve">you </w:t>
      </w:r>
      <w:r w:rsidR="009B408B">
        <w:rPr>
          <w:lang w:val="en"/>
        </w:rPr>
        <w:t xml:space="preserve">should </w:t>
      </w:r>
      <w:r w:rsidR="007C3901">
        <w:rPr>
          <w:lang w:val="en"/>
        </w:rPr>
        <w:t>use</w:t>
      </w:r>
      <w:r w:rsidR="008362B6">
        <w:rPr>
          <w:lang w:val="en"/>
        </w:rPr>
        <w:t xml:space="preserve"> </w:t>
      </w:r>
      <w:r w:rsidR="000E4963">
        <w:rPr>
          <w:lang w:val="en"/>
        </w:rPr>
        <w:t>to calculate</w:t>
      </w:r>
      <w:r w:rsidR="008362B6">
        <w:rPr>
          <w:lang w:val="en"/>
        </w:rPr>
        <w:t xml:space="preserve"> the </w:t>
      </w:r>
      <w:r w:rsidR="00316A50">
        <w:rPr>
          <w:lang w:val="en"/>
        </w:rPr>
        <w:t>ECV</w:t>
      </w:r>
      <w:r w:rsidR="008362B6">
        <w:rPr>
          <w:lang w:val="en"/>
        </w:rPr>
        <w:t xml:space="preserve"> is the total </w:t>
      </w:r>
      <w:r w:rsidR="008362B6" w:rsidRPr="00C20D77">
        <w:rPr>
          <w:lang w:val="en"/>
        </w:rPr>
        <w:t>volume that you will introduce in a registration year.</w:t>
      </w:r>
      <w:r w:rsidR="009D2870">
        <w:rPr>
          <w:lang w:val="en"/>
        </w:rPr>
        <w:t xml:space="preserve"> The release reduction factor you should use is the relevant release reduction factor for your end use scenario.</w:t>
      </w:r>
    </w:p>
    <w:p w14:paraId="5581A348" w14:textId="77777777" w:rsidR="00C80F0D" w:rsidRPr="00C20D77" w:rsidRDefault="000E4963" w:rsidP="007106F2">
      <w:pPr>
        <w:rPr>
          <w:lang w:val="en"/>
        </w:rPr>
      </w:pPr>
      <w:r>
        <w:rPr>
          <w:lang w:val="en"/>
        </w:rPr>
        <w:t xml:space="preserve">Where </w:t>
      </w:r>
      <w:r w:rsidR="00C80F0D" w:rsidRPr="00C20D77">
        <w:rPr>
          <w:lang w:val="en"/>
        </w:rPr>
        <w:t xml:space="preserve">the industrial chemical </w:t>
      </w:r>
      <w:r>
        <w:rPr>
          <w:lang w:val="en"/>
        </w:rPr>
        <w:t>will have</w:t>
      </w:r>
      <w:r w:rsidR="00C80F0D" w:rsidRPr="00C20D77">
        <w:rPr>
          <w:lang w:val="en"/>
        </w:rPr>
        <w:t xml:space="preserve"> </w:t>
      </w:r>
      <w:r w:rsidR="00C80F0D" w:rsidRPr="009F6464">
        <w:rPr>
          <w:i/>
          <w:lang w:val="en"/>
        </w:rPr>
        <w:t xml:space="preserve">multiple end use </w:t>
      </w:r>
      <w:r w:rsidR="009F6464" w:rsidRPr="009F6464">
        <w:rPr>
          <w:i/>
          <w:lang w:val="en"/>
        </w:rPr>
        <w:t>scenarios</w:t>
      </w:r>
      <w:r w:rsidR="009F6464">
        <w:rPr>
          <w:lang w:val="en"/>
        </w:rPr>
        <w:t>,</w:t>
      </w:r>
      <w:r w:rsidR="00C80F0D" w:rsidRPr="00C20D77">
        <w:rPr>
          <w:lang w:val="en"/>
        </w:rPr>
        <w:t xml:space="preserve"> there are two options</w:t>
      </w:r>
      <w:r>
        <w:rPr>
          <w:lang w:val="en"/>
        </w:rPr>
        <w:t xml:space="preserve"> to calculate</w:t>
      </w:r>
      <w:r w:rsidR="00C80F0D" w:rsidRPr="00C20D77">
        <w:rPr>
          <w:lang w:val="en"/>
        </w:rPr>
        <w:t xml:space="preserve"> the </w:t>
      </w:r>
      <w:r w:rsidR="00316A50">
        <w:rPr>
          <w:lang w:val="en"/>
        </w:rPr>
        <w:t>ECV</w:t>
      </w:r>
      <w:r w:rsidR="00C80F0D" w:rsidRPr="00C20D77">
        <w:rPr>
          <w:lang w:val="en"/>
        </w:rPr>
        <w:t>:</w:t>
      </w:r>
    </w:p>
    <w:p w14:paraId="6961D9CB" w14:textId="77777777" w:rsidR="00C80F0D" w:rsidRPr="007106F2" w:rsidRDefault="009F6464" w:rsidP="000D0955">
      <w:pPr>
        <w:pStyle w:val="ListParagraph"/>
        <w:numPr>
          <w:ilvl w:val="0"/>
          <w:numId w:val="18"/>
        </w:numPr>
        <w:rPr>
          <w:lang w:val="en"/>
        </w:rPr>
      </w:pPr>
      <w:r>
        <w:rPr>
          <w:lang w:val="en"/>
        </w:rPr>
        <w:lastRenderedPageBreak/>
        <w:t xml:space="preserve">Option 1: </w:t>
      </w:r>
      <w:r w:rsidR="00C80F0D" w:rsidRPr="007106F2">
        <w:rPr>
          <w:lang w:val="en"/>
        </w:rPr>
        <w:t xml:space="preserve">The simplest approach is to allocate the total introduction volume to the end use </w:t>
      </w:r>
      <w:r w:rsidR="000272E2">
        <w:rPr>
          <w:lang w:val="en"/>
        </w:rPr>
        <w:t xml:space="preserve">scenario </w:t>
      </w:r>
      <w:r w:rsidR="00C80F0D" w:rsidRPr="007106F2">
        <w:rPr>
          <w:lang w:val="en"/>
        </w:rPr>
        <w:t xml:space="preserve">that has the highest </w:t>
      </w:r>
      <w:r w:rsidR="006F53CB">
        <w:rPr>
          <w:lang w:val="en"/>
        </w:rPr>
        <w:t xml:space="preserve">release </w:t>
      </w:r>
      <w:r w:rsidR="00C80F0D" w:rsidRPr="007106F2">
        <w:rPr>
          <w:lang w:val="en"/>
        </w:rPr>
        <w:t>reduction factor, and use the equation above.</w:t>
      </w:r>
    </w:p>
    <w:p w14:paraId="69ED3C60" w14:textId="77777777" w:rsidR="00666DA1" w:rsidRDefault="009F6464" w:rsidP="000D0955">
      <w:pPr>
        <w:pStyle w:val="ListParagraph"/>
        <w:numPr>
          <w:ilvl w:val="0"/>
          <w:numId w:val="18"/>
        </w:numPr>
        <w:rPr>
          <w:lang w:val="en"/>
        </w:rPr>
      </w:pPr>
      <w:r>
        <w:rPr>
          <w:lang w:val="en"/>
        </w:rPr>
        <w:t xml:space="preserve">Option 2: </w:t>
      </w:r>
      <w:r w:rsidR="00C80F0D" w:rsidRPr="007106F2">
        <w:rPr>
          <w:lang w:val="en"/>
        </w:rPr>
        <w:t>If you know the introduction volume to be allocated to each end use scenario, you can calculate a separate environment categorisation volume for each end use scenario</w:t>
      </w:r>
      <w:r w:rsidR="009D2870">
        <w:rPr>
          <w:lang w:val="en"/>
        </w:rPr>
        <w:t xml:space="preserve"> (using the introduction volumes</w:t>
      </w:r>
      <w:r w:rsidR="00004CD2">
        <w:rPr>
          <w:lang w:val="en"/>
        </w:rPr>
        <w:t xml:space="preserve"> allocated to each end use scenario</w:t>
      </w:r>
      <w:r w:rsidR="009D2870">
        <w:rPr>
          <w:lang w:val="en"/>
        </w:rPr>
        <w:t xml:space="preserve"> and </w:t>
      </w:r>
      <w:r w:rsidR="00004CD2">
        <w:rPr>
          <w:lang w:val="en"/>
        </w:rPr>
        <w:t xml:space="preserve">the relevant </w:t>
      </w:r>
      <w:r w:rsidR="009D2870">
        <w:rPr>
          <w:lang w:val="en"/>
        </w:rPr>
        <w:t>release reduction factors for each end use scenario)</w:t>
      </w:r>
      <w:r w:rsidR="00C80F0D" w:rsidRPr="007106F2">
        <w:rPr>
          <w:lang w:val="en"/>
        </w:rPr>
        <w:t xml:space="preserve">, and then add these together to get a total </w:t>
      </w:r>
      <w:r w:rsidR="00316A50" w:rsidRPr="007106F2">
        <w:rPr>
          <w:lang w:val="en"/>
        </w:rPr>
        <w:t>ECV</w:t>
      </w:r>
      <w:r w:rsidR="00C80F0D" w:rsidRPr="007106F2">
        <w:rPr>
          <w:lang w:val="en"/>
        </w:rPr>
        <w:t xml:space="preserve">, using the equation: </w:t>
      </w:r>
    </w:p>
    <w:p w14:paraId="4D3223D6" w14:textId="77777777" w:rsidR="00C80F0D" w:rsidRPr="00666DA1" w:rsidRDefault="00C80F0D" w:rsidP="00666DA1">
      <w:pPr>
        <w:pStyle w:val="ListParagraph"/>
        <w:numPr>
          <w:ilvl w:val="0"/>
          <w:numId w:val="0"/>
        </w:numPr>
        <w:ind w:left="360"/>
        <w:rPr>
          <w:rStyle w:val="Strong"/>
          <w:bCs w:val="0"/>
          <w:i/>
          <w:lang w:val="en"/>
        </w:rPr>
      </w:pPr>
      <w:r w:rsidRPr="00666DA1">
        <w:rPr>
          <w:rStyle w:val="Strong"/>
          <w:i/>
        </w:rPr>
        <w:t>ECV = (IV</w:t>
      </w:r>
      <w:r w:rsidR="008362B6" w:rsidRPr="00666DA1">
        <w:rPr>
          <w:rStyle w:val="Strong"/>
          <w:i/>
          <w:vertAlign w:val="subscript"/>
        </w:rPr>
        <w:t>1</w:t>
      </w:r>
      <w:r w:rsidRPr="00666DA1">
        <w:rPr>
          <w:rStyle w:val="Strong"/>
          <w:i/>
        </w:rPr>
        <w:t xml:space="preserve"> x R</w:t>
      </w:r>
      <w:r w:rsidR="006F53CB" w:rsidRPr="00666DA1">
        <w:rPr>
          <w:rStyle w:val="Strong"/>
          <w:i/>
        </w:rPr>
        <w:t>R</w:t>
      </w:r>
      <w:r w:rsidRPr="00666DA1">
        <w:rPr>
          <w:rStyle w:val="Strong"/>
          <w:i/>
        </w:rPr>
        <w:t>F</w:t>
      </w:r>
      <w:r w:rsidRPr="00666DA1">
        <w:rPr>
          <w:rStyle w:val="Strong"/>
          <w:i/>
          <w:vertAlign w:val="subscript"/>
        </w:rPr>
        <w:t>1</w:t>
      </w:r>
      <w:r w:rsidRPr="00666DA1">
        <w:rPr>
          <w:rStyle w:val="Strong"/>
          <w:i/>
        </w:rPr>
        <w:t>) + (I</w:t>
      </w:r>
      <w:r w:rsidR="008362B6" w:rsidRPr="00666DA1">
        <w:rPr>
          <w:rStyle w:val="Strong"/>
          <w:i/>
        </w:rPr>
        <w:t>V</w:t>
      </w:r>
      <w:r w:rsidR="008362B6" w:rsidRPr="00666DA1">
        <w:rPr>
          <w:rStyle w:val="Strong"/>
          <w:i/>
          <w:vertAlign w:val="subscript"/>
        </w:rPr>
        <w:t>2</w:t>
      </w:r>
      <w:r w:rsidR="008362B6" w:rsidRPr="00666DA1">
        <w:rPr>
          <w:rStyle w:val="Strong"/>
          <w:i/>
        </w:rPr>
        <w:t xml:space="preserve"> x R</w:t>
      </w:r>
      <w:r w:rsidR="006F53CB" w:rsidRPr="00666DA1">
        <w:rPr>
          <w:rStyle w:val="Strong"/>
          <w:i/>
        </w:rPr>
        <w:t>R</w:t>
      </w:r>
      <w:r w:rsidR="008362B6" w:rsidRPr="00666DA1">
        <w:rPr>
          <w:rStyle w:val="Strong"/>
          <w:i/>
        </w:rPr>
        <w:t>F</w:t>
      </w:r>
      <w:r w:rsidR="008362B6" w:rsidRPr="00666DA1">
        <w:rPr>
          <w:rStyle w:val="Strong"/>
          <w:i/>
          <w:vertAlign w:val="subscript"/>
        </w:rPr>
        <w:t>2</w:t>
      </w:r>
      <w:r w:rsidR="008362B6" w:rsidRPr="00666DA1">
        <w:rPr>
          <w:rStyle w:val="Strong"/>
          <w:i/>
        </w:rPr>
        <w:t>) + … + (IV</w:t>
      </w:r>
      <w:r w:rsidR="008362B6" w:rsidRPr="00666DA1">
        <w:rPr>
          <w:rStyle w:val="Strong"/>
          <w:i/>
          <w:vertAlign w:val="subscript"/>
        </w:rPr>
        <w:t>n</w:t>
      </w:r>
      <w:r w:rsidR="008362B6" w:rsidRPr="00666DA1">
        <w:rPr>
          <w:rStyle w:val="Strong"/>
          <w:i/>
        </w:rPr>
        <w:t xml:space="preserve"> x R</w:t>
      </w:r>
      <w:r w:rsidR="006F53CB" w:rsidRPr="00666DA1">
        <w:rPr>
          <w:rStyle w:val="Strong"/>
          <w:i/>
        </w:rPr>
        <w:t>R</w:t>
      </w:r>
      <w:r w:rsidR="008362B6" w:rsidRPr="00666DA1">
        <w:rPr>
          <w:rStyle w:val="Strong"/>
          <w:i/>
        </w:rPr>
        <w:t>F</w:t>
      </w:r>
      <w:r w:rsidR="008362B6" w:rsidRPr="00666DA1">
        <w:rPr>
          <w:rStyle w:val="Strong"/>
          <w:i/>
          <w:vertAlign w:val="subscript"/>
        </w:rPr>
        <w:t>n</w:t>
      </w:r>
      <w:r w:rsidR="008362B6" w:rsidRPr="00666DA1">
        <w:rPr>
          <w:rStyle w:val="Strong"/>
          <w:i/>
        </w:rPr>
        <w:t>)</w:t>
      </w:r>
    </w:p>
    <w:p w14:paraId="1795B757" w14:textId="77777777" w:rsidR="00C80F0D" w:rsidRDefault="00C80F0D" w:rsidP="007106F2">
      <w:pPr>
        <w:rPr>
          <w:lang w:val="en"/>
        </w:rPr>
      </w:pPr>
      <w:r w:rsidRPr="00C20D77">
        <w:rPr>
          <w:lang w:val="en"/>
        </w:rPr>
        <w:t xml:space="preserve">The </w:t>
      </w:r>
      <w:r w:rsidR="006F53CB">
        <w:rPr>
          <w:lang w:val="en"/>
        </w:rPr>
        <w:t xml:space="preserve">release </w:t>
      </w:r>
      <w:r w:rsidRPr="00C20D77">
        <w:rPr>
          <w:lang w:val="en"/>
        </w:rPr>
        <w:t xml:space="preserve">reduction factors you need to calculate your introduction’s </w:t>
      </w:r>
      <w:r w:rsidR="00316A50">
        <w:rPr>
          <w:lang w:val="en"/>
        </w:rPr>
        <w:t>ECV</w:t>
      </w:r>
      <w:r w:rsidRPr="00C20D77">
        <w:rPr>
          <w:lang w:val="en"/>
        </w:rPr>
        <w:t xml:space="preserve"> </w:t>
      </w:r>
      <w:r w:rsidR="00004CD2">
        <w:rPr>
          <w:lang w:val="en"/>
        </w:rPr>
        <w:t xml:space="preserve">for each end use scenario </w:t>
      </w:r>
      <w:r w:rsidRPr="00C20D77">
        <w:rPr>
          <w:lang w:val="en"/>
        </w:rPr>
        <w:t xml:space="preserve">are set out in </w:t>
      </w:r>
      <w:r w:rsidR="00DD2C07">
        <w:rPr>
          <w:lang w:val="en"/>
        </w:rPr>
        <w:t xml:space="preserve">Table </w:t>
      </w:r>
      <w:r w:rsidR="005276FF">
        <w:rPr>
          <w:lang w:val="en"/>
        </w:rPr>
        <w:t>1</w:t>
      </w:r>
      <w:r w:rsidR="00DD2C07">
        <w:rPr>
          <w:lang w:val="en"/>
        </w:rPr>
        <w:t>. The end use scenarios are defined below the table</w:t>
      </w:r>
      <w:r w:rsidRPr="00C20D77">
        <w:rPr>
          <w:lang w:val="en"/>
        </w:rPr>
        <w:t>.</w:t>
      </w:r>
    </w:p>
    <w:p w14:paraId="65A73BFA" w14:textId="77777777" w:rsidR="00C80F0D" w:rsidRPr="007106F2" w:rsidRDefault="00C80F0D" w:rsidP="007106F2">
      <w:pPr>
        <w:rPr>
          <w:b/>
          <w:lang w:val="en"/>
        </w:rPr>
      </w:pPr>
      <w:r w:rsidRPr="007106F2">
        <w:rPr>
          <w:b/>
          <w:lang w:val="en"/>
        </w:rPr>
        <w:t>Table</w:t>
      </w:r>
      <w:r w:rsidR="005276FF" w:rsidRPr="007106F2">
        <w:rPr>
          <w:b/>
          <w:lang w:val="en"/>
        </w:rPr>
        <w:t xml:space="preserve"> 1</w:t>
      </w:r>
      <w:r w:rsidRPr="007106F2">
        <w:rPr>
          <w:b/>
          <w:lang w:val="en"/>
        </w:rPr>
        <w:t xml:space="preserve">: The </w:t>
      </w:r>
      <w:r w:rsidR="006F53CB">
        <w:rPr>
          <w:b/>
          <w:lang w:val="en"/>
        </w:rPr>
        <w:t xml:space="preserve">release </w:t>
      </w:r>
      <w:r w:rsidRPr="007106F2">
        <w:rPr>
          <w:b/>
          <w:lang w:val="en"/>
        </w:rPr>
        <w:t>reduction factor you need</w:t>
      </w:r>
      <w:r w:rsidR="00316A50" w:rsidRPr="007106F2">
        <w:rPr>
          <w:b/>
          <w:lang w:val="en"/>
        </w:rPr>
        <w:t xml:space="preserve"> to work out ECV</w:t>
      </w:r>
      <w:r w:rsidRPr="007106F2">
        <w:rPr>
          <w:b/>
          <w:lang w:val="en"/>
        </w:rPr>
        <w:t>, depending on end use scenario</w:t>
      </w:r>
    </w:p>
    <w:tbl>
      <w:tblPr>
        <w:tblStyle w:val="TableGrid"/>
        <w:tblW w:w="5000" w:type="pct"/>
        <w:tblLook w:val="04A0" w:firstRow="1" w:lastRow="0" w:firstColumn="1" w:lastColumn="0" w:noHBand="0" w:noVBand="1"/>
        <w:tblCaption w:val="Table - Reduction Factors"/>
        <w:tblDescription w:val="Table: The reduction factor you need to use, depending on end use"/>
      </w:tblPr>
      <w:tblGrid>
        <w:gridCol w:w="6024"/>
        <w:gridCol w:w="2992"/>
      </w:tblGrid>
      <w:tr w:rsidR="00C80F0D" w:rsidRPr="005C2AD2" w14:paraId="5711068E" w14:textId="77777777" w:rsidTr="2ED36212">
        <w:trPr>
          <w:cantSplit/>
          <w:tblHeader/>
        </w:trPr>
        <w:tc>
          <w:tcPr>
            <w:tcW w:w="3341" w:type="pct"/>
            <w:shd w:val="clear" w:color="auto" w:fill="133286" w:themeFill="text2"/>
          </w:tcPr>
          <w:p w14:paraId="5BB4C893" w14:textId="77777777" w:rsidR="00C80F0D" w:rsidRPr="00377E56" w:rsidRDefault="00C80F0D" w:rsidP="00336A73">
            <w:pPr>
              <w:spacing w:beforeLines="60" w:before="144" w:afterLines="60" w:after="144"/>
              <w:rPr>
                <w:b/>
                <w:color w:val="FFFFFF" w:themeColor="background1"/>
              </w:rPr>
            </w:pPr>
            <w:r w:rsidRPr="00377E56">
              <w:rPr>
                <w:b/>
                <w:color w:val="FFFFFF" w:themeColor="background1"/>
              </w:rPr>
              <w:t xml:space="preserve">If your introduction's end use </w:t>
            </w:r>
            <w:r>
              <w:rPr>
                <w:b/>
                <w:color w:val="FFFFFF" w:themeColor="background1"/>
              </w:rPr>
              <w:t xml:space="preserve">scenario </w:t>
            </w:r>
            <w:r w:rsidRPr="00377E56">
              <w:rPr>
                <w:b/>
                <w:color w:val="FFFFFF" w:themeColor="background1"/>
              </w:rPr>
              <w:t>is...</w:t>
            </w:r>
          </w:p>
        </w:tc>
        <w:tc>
          <w:tcPr>
            <w:tcW w:w="1659" w:type="pct"/>
            <w:shd w:val="clear" w:color="auto" w:fill="133286" w:themeFill="text2"/>
          </w:tcPr>
          <w:p w14:paraId="417F98AD" w14:textId="77777777" w:rsidR="00C80F0D" w:rsidRPr="00377E56" w:rsidRDefault="00C80F0D" w:rsidP="00336A73">
            <w:pPr>
              <w:spacing w:beforeLines="60" w:before="144" w:afterLines="60" w:after="144"/>
              <w:rPr>
                <w:b/>
                <w:color w:val="FFFFFF" w:themeColor="background1"/>
              </w:rPr>
            </w:pPr>
            <w:r w:rsidRPr="00377E56">
              <w:rPr>
                <w:b/>
                <w:color w:val="FFFFFF" w:themeColor="background1"/>
              </w:rPr>
              <w:t xml:space="preserve">The </w:t>
            </w:r>
            <w:r w:rsidR="006F53CB">
              <w:rPr>
                <w:b/>
                <w:color w:val="FFFFFF" w:themeColor="background1"/>
              </w:rPr>
              <w:t xml:space="preserve">release </w:t>
            </w:r>
            <w:r w:rsidRPr="00377E56">
              <w:rPr>
                <w:b/>
                <w:color w:val="FFFFFF" w:themeColor="background1"/>
              </w:rPr>
              <w:t xml:space="preserve">reduction factor </w:t>
            </w:r>
            <w:r>
              <w:rPr>
                <w:b/>
                <w:color w:val="FFFFFF" w:themeColor="background1"/>
              </w:rPr>
              <w:t>(R</w:t>
            </w:r>
            <w:r w:rsidR="006F53CB">
              <w:rPr>
                <w:b/>
                <w:color w:val="FFFFFF" w:themeColor="background1"/>
              </w:rPr>
              <w:t>R</w:t>
            </w:r>
            <w:r>
              <w:rPr>
                <w:b/>
                <w:color w:val="FFFFFF" w:themeColor="background1"/>
              </w:rPr>
              <w:t xml:space="preserve">F) </w:t>
            </w:r>
            <w:r w:rsidRPr="00377E56">
              <w:rPr>
                <w:b/>
                <w:color w:val="FFFFFF" w:themeColor="background1"/>
              </w:rPr>
              <w:t>you need to use is</w:t>
            </w:r>
            <w:r w:rsidR="007B12A0">
              <w:rPr>
                <w:b/>
                <w:color w:val="FFFFFF" w:themeColor="background1"/>
              </w:rPr>
              <w:t>…</w:t>
            </w:r>
          </w:p>
        </w:tc>
      </w:tr>
      <w:tr w:rsidR="00C80F0D" w:rsidRPr="004B3609" w14:paraId="55D89A54" w14:textId="77777777" w:rsidTr="2ED36212">
        <w:trPr>
          <w:cantSplit/>
        </w:trPr>
        <w:tc>
          <w:tcPr>
            <w:tcW w:w="3341" w:type="pct"/>
          </w:tcPr>
          <w:p w14:paraId="43354A08" w14:textId="77777777" w:rsidR="00C80F0D" w:rsidRDefault="00C80F0D" w:rsidP="009D1903">
            <w:pPr>
              <w:spacing w:beforeLines="60" w:before="144" w:afterLines="60" w:after="144"/>
              <w:rPr>
                <w:rFonts w:cs="Segoe UI"/>
              </w:rPr>
            </w:pPr>
            <w:r>
              <w:rPr>
                <w:rFonts w:cs="Segoe UI"/>
              </w:rPr>
              <w:t xml:space="preserve">Chemical imported into Australia; </w:t>
            </w:r>
            <w:r w:rsidR="009D1903">
              <w:rPr>
                <w:rFonts w:cs="Segoe UI"/>
              </w:rPr>
              <w:t>import containers remain closed; then</w:t>
            </w:r>
            <w:r>
              <w:rPr>
                <w:rFonts w:cs="Segoe UI"/>
              </w:rPr>
              <w:t xml:space="preserve"> exported for end use overseas</w:t>
            </w:r>
          </w:p>
        </w:tc>
        <w:tc>
          <w:tcPr>
            <w:tcW w:w="1659" w:type="pct"/>
          </w:tcPr>
          <w:p w14:paraId="6E65E394" w14:textId="77777777" w:rsidR="00C80F0D" w:rsidRDefault="00C80F0D" w:rsidP="009D1903">
            <w:pPr>
              <w:spacing w:beforeLines="60" w:before="144" w:afterLines="60" w:after="144"/>
              <w:jc w:val="center"/>
              <w:rPr>
                <w:rFonts w:cs="Segoe UI"/>
              </w:rPr>
            </w:pPr>
            <w:r>
              <w:rPr>
                <w:rFonts w:cs="Segoe UI"/>
              </w:rPr>
              <w:t xml:space="preserve">0 </w:t>
            </w:r>
          </w:p>
        </w:tc>
      </w:tr>
      <w:tr w:rsidR="00C80F0D" w:rsidRPr="004B3609" w14:paraId="76A4218A" w14:textId="77777777" w:rsidTr="2ED36212">
        <w:trPr>
          <w:cantSplit/>
        </w:trPr>
        <w:tc>
          <w:tcPr>
            <w:tcW w:w="3341" w:type="pct"/>
          </w:tcPr>
          <w:p w14:paraId="71A56234" w14:textId="77777777" w:rsidR="00C80F0D" w:rsidRDefault="00C80F0D" w:rsidP="009D1903">
            <w:pPr>
              <w:spacing w:beforeLines="60" w:before="144" w:afterLines="60" w:after="144"/>
              <w:rPr>
                <w:rFonts w:cs="Segoe UI"/>
              </w:rPr>
            </w:pPr>
            <w:r>
              <w:rPr>
                <w:rFonts w:cs="Segoe UI"/>
              </w:rPr>
              <w:t>Chemical imported into Australia;</w:t>
            </w:r>
            <w:r w:rsidR="001061B6">
              <w:rPr>
                <w:rFonts w:cs="Segoe UI"/>
              </w:rPr>
              <w:t xml:space="preserve"> limited</w:t>
            </w:r>
            <w:r>
              <w:rPr>
                <w:rFonts w:cs="Segoe UI"/>
              </w:rPr>
              <w:t xml:space="preserve"> handling of the chemical (such that import containers are opened); then exported for end use overseas</w:t>
            </w:r>
          </w:p>
        </w:tc>
        <w:tc>
          <w:tcPr>
            <w:tcW w:w="1659" w:type="pct"/>
          </w:tcPr>
          <w:p w14:paraId="70B54EFD" w14:textId="77777777" w:rsidR="00C80F0D" w:rsidRDefault="00C80F0D" w:rsidP="009D1903">
            <w:pPr>
              <w:spacing w:beforeLines="60" w:before="144" w:afterLines="60" w:after="144"/>
              <w:jc w:val="center"/>
              <w:rPr>
                <w:rFonts w:cs="Segoe UI"/>
              </w:rPr>
            </w:pPr>
            <w:r>
              <w:rPr>
                <w:rFonts w:cs="Segoe UI"/>
              </w:rPr>
              <w:t xml:space="preserve">0.05 </w:t>
            </w:r>
          </w:p>
        </w:tc>
      </w:tr>
      <w:tr w:rsidR="00C80F0D" w:rsidRPr="004B3609" w14:paraId="5A099B33" w14:textId="77777777" w:rsidTr="2ED36212">
        <w:trPr>
          <w:cantSplit/>
        </w:trPr>
        <w:tc>
          <w:tcPr>
            <w:tcW w:w="3341" w:type="pct"/>
          </w:tcPr>
          <w:p w14:paraId="11A79F0D" w14:textId="77777777" w:rsidR="00C80F0D" w:rsidRPr="00377E56" w:rsidRDefault="00C80F0D" w:rsidP="000272E2">
            <w:pPr>
              <w:spacing w:beforeLines="60" w:before="144" w:afterLines="60" w:after="144"/>
              <w:rPr>
                <w:rFonts w:cs="Segoe UI"/>
              </w:rPr>
            </w:pPr>
            <w:r>
              <w:rPr>
                <w:rFonts w:cs="Segoe UI"/>
              </w:rPr>
              <w:t>Chemical manufactured in Australia; exported for end use overseas</w:t>
            </w:r>
          </w:p>
        </w:tc>
        <w:tc>
          <w:tcPr>
            <w:tcW w:w="1659" w:type="pct"/>
          </w:tcPr>
          <w:p w14:paraId="668D6932" w14:textId="77777777" w:rsidR="00C80F0D" w:rsidRPr="00377E56" w:rsidRDefault="00C80F0D" w:rsidP="000272E2">
            <w:pPr>
              <w:spacing w:beforeLines="60" w:before="144" w:afterLines="60" w:after="144"/>
              <w:jc w:val="center"/>
              <w:rPr>
                <w:rFonts w:cs="Segoe UI"/>
              </w:rPr>
            </w:pPr>
            <w:r>
              <w:rPr>
                <w:rFonts w:cs="Segoe UI"/>
              </w:rPr>
              <w:t xml:space="preserve">0.05 </w:t>
            </w:r>
          </w:p>
        </w:tc>
      </w:tr>
      <w:tr w:rsidR="00C80F0D" w:rsidRPr="004B3609" w14:paraId="46FAB656" w14:textId="77777777" w:rsidTr="2ED36212">
        <w:trPr>
          <w:cantSplit/>
        </w:trPr>
        <w:tc>
          <w:tcPr>
            <w:tcW w:w="3341" w:type="pct"/>
          </w:tcPr>
          <w:p w14:paraId="3D93CCEB" w14:textId="77777777" w:rsidR="00C80F0D" w:rsidRPr="00377E56" w:rsidRDefault="00C80F0D" w:rsidP="007706DB">
            <w:pPr>
              <w:spacing w:beforeLines="60" w:before="144" w:afterLines="60" w:after="144"/>
              <w:rPr>
                <w:rFonts w:cs="Segoe UI"/>
              </w:rPr>
            </w:pPr>
            <w:r w:rsidRPr="00377E56">
              <w:rPr>
                <w:rFonts w:cs="Segoe UI"/>
              </w:rPr>
              <w:t>Adhesive and sealant</w:t>
            </w:r>
            <w:r>
              <w:rPr>
                <w:rFonts w:cs="Segoe UI"/>
              </w:rPr>
              <w:t xml:space="preserve"> product</w:t>
            </w:r>
            <w:r w:rsidRPr="00377E56">
              <w:rPr>
                <w:rFonts w:cs="Segoe UI"/>
              </w:rPr>
              <w:t>s</w:t>
            </w:r>
            <w:r w:rsidR="00BC195B">
              <w:rPr>
                <w:rFonts w:cs="Segoe UI"/>
              </w:rPr>
              <w:t xml:space="preserve"> </w:t>
            </w:r>
            <w:r w:rsidR="007706DB">
              <w:rPr>
                <w:rFonts w:cs="Segoe UI"/>
              </w:rPr>
              <w:t>(</w:t>
            </w:r>
            <w:r w:rsidR="00BC195B">
              <w:rPr>
                <w:rFonts w:cs="Segoe UI"/>
              </w:rPr>
              <w:t>end use in Australia</w:t>
            </w:r>
            <w:r w:rsidR="007706DB">
              <w:rPr>
                <w:rFonts w:cs="Segoe UI"/>
              </w:rPr>
              <w:t>)</w:t>
            </w:r>
            <w:r w:rsidRPr="00377E56">
              <w:rPr>
                <w:rFonts w:cs="Segoe UI"/>
              </w:rPr>
              <w:tab/>
            </w:r>
          </w:p>
        </w:tc>
        <w:tc>
          <w:tcPr>
            <w:tcW w:w="1659" w:type="pct"/>
          </w:tcPr>
          <w:p w14:paraId="6A292198"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2B808B97" w14:textId="77777777" w:rsidTr="2ED36212">
        <w:trPr>
          <w:cantSplit/>
        </w:trPr>
        <w:tc>
          <w:tcPr>
            <w:tcW w:w="3341" w:type="pct"/>
          </w:tcPr>
          <w:p w14:paraId="1B31CD39" w14:textId="77777777" w:rsidR="00C80F0D" w:rsidRPr="00377E56" w:rsidRDefault="00C80F0D" w:rsidP="00336A73">
            <w:pPr>
              <w:spacing w:beforeLines="60" w:before="144" w:afterLines="60" w:after="144"/>
              <w:rPr>
                <w:rFonts w:cs="Segoe UI"/>
              </w:rPr>
            </w:pPr>
            <w:r w:rsidRPr="00377E56">
              <w:rPr>
                <w:rFonts w:cs="Segoe UI"/>
              </w:rPr>
              <w:t>Apparel and footwear care products</w:t>
            </w:r>
            <w:r w:rsidR="00BC195B">
              <w:rPr>
                <w:rFonts w:cs="Segoe UI"/>
              </w:rPr>
              <w:t xml:space="preserve"> </w:t>
            </w:r>
            <w:r w:rsidR="007706DB">
              <w:rPr>
                <w:rFonts w:cs="Segoe UI"/>
              </w:rPr>
              <w:t>(</w:t>
            </w:r>
            <w:r w:rsidR="00BC195B">
              <w:rPr>
                <w:rFonts w:cs="Segoe UI"/>
              </w:rPr>
              <w:t>end use in Australia</w:t>
            </w:r>
            <w:r w:rsidR="007706DB">
              <w:rPr>
                <w:rFonts w:cs="Segoe UI"/>
              </w:rPr>
              <w:t>)</w:t>
            </w:r>
            <w:r w:rsidRPr="00377E56">
              <w:rPr>
                <w:rFonts w:cs="Segoe UI"/>
              </w:rPr>
              <w:tab/>
            </w:r>
          </w:p>
        </w:tc>
        <w:tc>
          <w:tcPr>
            <w:tcW w:w="1659" w:type="pct"/>
          </w:tcPr>
          <w:p w14:paraId="609ABE39"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12C6D9E8" w14:textId="77777777" w:rsidTr="2ED36212">
        <w:trPr>
          <w:cantSplit/>
        </w:trPr>
        <w:tc>
          <w:tcPr>
            <w:tcW w:w="3341" w:type="pct"/>
          </w:tcPr>
          <w:p w14:paraId="7D77F57F" w14:textId="77777777" w:rsidR="00C80F0D" w:rsidRPr="00377E56" w:rsidRDefault="00C80F0D" w:rsidP="00336A73">
            <w:pPr>
              <w:spacing w:beforeLines="60" w:before="144" w:afterLines="60" w:after="144"/>
              <w:rPr>
                <w:rFonts w:cs="Segoe UI"/>
              </w:rPr>
            </w:pPr>
            <w:r w:rsidRPr="00377E56">
              <w:rPr>
                <w:rFonts w:cs="Segoe UI"/>
              </w:rPr>
              <w:t xml:space="preserve">Arts, crafts and hobby </w:t>
            </w:r>
            <w:r>
              <w:rPr>
                <w:rFonts w:cs="Segoe UI"/>
              </w:rPr>
              <w:t>products</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7E11FA93"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28493E7B" w14:textId="77777777" w:rsidTr="2ED36212">
        <w:trPr>
          <w:cantSplit/>
        </w:trPr>
        <w:tc>
          <w:tcPr>
            <w:tcW w:w="3341" w:type="pct"/>
          </w:tcPr>
          <w:p w14:paraId="71A26089" w14:textId="77777777" w:rsidR="00C80F0D" w:rsidRPr="00377E56" w:rsidRDefault="00C80F0D" w:rsidP="00336A73">
            <w:pPr>
              <w:spacing w:beforeLines="60" w:before="144" w:afterLines="60" w:after="144"/>
              <w:rPr>
                <w:rFonts w:cs="Segoe UI"/>
              </w:rPr>
            </w:pPr>
            <w:r w:rsidRPr="00377E56">
              <w:rPr>
                <w:rFonts w:cs="Segoe UI"/>
              </w:rPr>
              <w:t xml:space="preserve">Explosive </w:t>
            </w:r>
            <w:r>
              <w:rPr>
                <w:rFonts w:cs="Segoe UI"/>
              </w:rPr>
              <w:t>products</w:t>
            </w:r>
            <w:r w:rsidR="00BC195B">
              <w:rPr>
                <w:rFonts w:cs="Segoe UI"/>
              </w:rPr>
              <w:t xml:space="preserve"> </w:t>
            </w:r>
            <w:r w:rsidR="007706DB">
              <w:rPr>
                <w:rFonts w:cs="Segoe UI"/>
              </w:rPr>
              <w:t>(</w:t>
            </w:r>
            <w:r w:rsidR="00BC195B">
              <w:rPr>
                <w:rFonts w:cs="Segoe UI"/>
              </w:rPr>
              <w:t>end use in Australia</w:t>
            </w:r>
            <w:r w:rsidR="007706DB">
              <w:rPr>
                <w:rFonts w:cs="Segoe UI"/>
              </w:rPr>
              <w:t>)</w:t>
            </w:r>
            <w:r w:rsidRPr="00377E56">
              <w:rPr>
                <w:rFonts w:cs="Segoe UI"/>
              </w:rPr>
              <w:tab/>
            </w:r>
          </w:p>
        </w:tc>
        <w:tc>
          <w:tcPr>
            <w:tcW w:w="1659" w:type="pct"/>
          </w:tcPr>
          <w:p w14:paraId="7D5E5E01"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4D2B8634" w14:textId="77777777" w:rsidTr="2ED36212">
        <w:trPr>
          <w:cantSplit/>
        </w:trPr>
        <w:tc>
          <w:tcPr>
            <w:tcW w:w="3341" w:type="pct"/>
          </w:tcPr>
          <w:p w14:paraId="1CEEC0BD" w14:textId="77777777" w:rsidR="00C80F0D" w:rsidRPr="00377E56" w:rsidRDefault="00C80F0D" w:rsidP="00336A73">
            <w:pPr>
              <w:spacing w:beforeLines="60" w:before="144" w:afterLines="60" w:after="144"/>
              <w:rPr>
                <w:rFonts w:cs="Segoe UI"/>
              </w:rPr>
            </w:pPr>
            <w:r w:rsidRPr="00377E56">
              <w:rPr>
                <w:rFonts w:cs="Segoe UI"/>
              </w:rPr>
              <w:t>Fuel, oil, fuel oil additives and related products</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0E64D427"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61AF7846" w14:textId="77777777" w:rsidTr="2ED36212">
        <w:trPr>
          <w:cantSplit/>
        </w:trPr>
        <w:tc>
          <w:tcPr>
            <w:tcW w:w="3341" w:type="pct"/>
          </w:tcPr>
          <w:p w14:paraId="19C84EE9" w14:textId="77777777" w:rsidR="00C80F0D" w:rsidRPr="00377E56" w:rsidRDefault="00C80F0D" w:rsidP="00336A73">
            <w:pPr>
              <w:spacing w:beforeLines="60" w:before="144" w:afterLines="60" w:after="144"/>
              <w:rPr>
                <w:rFonts w:cs="Segoe UI"/>
              </w:rPr>
            </w:pPr>
            <w:r w:rsidRPr="00377E56">
              <w:rPr>
                <w:rFonts w:cs="Segoe UI"/>
              </w:rPr>
              <w:t>Lubricant and grease</w:t>
            </w:r>
            <w:r>
              <w:rPr>
                <w:rFonts w:cs="Segoe UI"/>
              </w:rPr>
              <w:t xml:space="preserve"> products</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34880834"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224C8BE6" w14:textId="77777777" w:rsidTr="2ED36212">
        <w:trPr>
          <w:cantSplit/>
        </w:trPr>
        <w:tc>
          <w:tcPr>
            <w:tcW w:w="3341" w:type="pct"/>
          </w:tcPr>
          <w:p w14:paraId="23A5F6EA" w14:textId="77777777" w:rsidR="00C80F0D" w:rsidRPr="00377E56" w:rsidRDefault="00C80F0D" w:rsidP="00336A73">
            <w:pPr>
              <w:spacing w:beforeLines="60" w:before="144" w:afterLines="60" w:after="144"/>
              <w:rPr>
                <w:rFonts w:cs="Segoe UI"/>
              </w:rPr>
            </w:pPr>
            <w:r w:rsidRPr="00377E56">
              <w:rPr>
                <w:rFonts w:cs="Segoe UI"/>
              </w:rPr>
              <w:t>Personal care products - limited environmental release</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30FE2E8C"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3855CC6B" w14:textId="77777777" w:rsidTr="2ED36212">
        <w:trPr>
          <w:cantSplit/>
        </w:trPr>
        <w:tc>
          <w:tcPr>
            <w:tcW w:w="3341" w:type="pct"/>
          </w:tcPr>
          <w:p w14:paraId="6D9FC4A1" w14:textId="77777777" w:rsidR="00C80F0D" w:rsidRPr="00377E56" w:rsidRDefault="00C80F0D" w:rsidP="00336A73">
            <w:pPr>
              <w:spacing w:beforeLines="60" w:before="144" w:afterLines="60" w:after="144"/>
              <w:rPr>
                <w:rFonts w:cs="Segoe UI"/>
              </w:rPr>
            </w:pPr>
            <w:r w:rsidRPr="00377E56">
              <w:rPr>
                <w:rFonts w:cs="Segoe UI"/>
              </w:rPr>
              <w:t>Tattoo ink</w:t>
            </w:r>
            <w:r>
              <w:rPr>
                <w:rFonts w:cs="Segoe UI"/>
              </w:rPr>
              <w:t xml:space="preserve"> products</w:t>
            </w:r>
            <w:r w:rsidR="00BC195B">
              <w:rPr>
                <w:rFonts w:cs="Segoe UI"/>
              </w:rPr>
              <w:t xml:space="preserve"> </w:t>
            </w:r>
            <w:r w:rsidR="007706DB">
              <w:rPr>
                <w:rFonts w:cs="Segoe UI"/>
              </w:rPr>
              <w:t>(</w:t>
            </w:r>
            <w:r w:rsidR="00BC195B">
              <w:rPr>
                <w:rFonts w:cs="Segoe UI"/>
              </w:rPr>
              <w:t>end use in Australia</w:t>
            </w:r>
            <w:r w:rsidR="007706DB">
              <w:rPr>
                <w:rFonts w:cs="Segoe UI"/>
              </w:rPr>
              <w:t>)</w:t>
            </w:r>
            <w:r w:rsidRPr="00377E56">
              <w:rPr>
                <w:rFonts w:cs="Segoe UI"/>
              </w:rPr>
              <w:tab/>
            </w:r>
          </w:p>
        </w:tc>
        <w:tc>
          <w:tcPr>
            <w:tcW w:w="1659" w:type="pct"/>
          </w:tcPr>
          <w:p w14:paraId="254738AB"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1D955667" w14:textId="77777777" w:rsidTr="2ED36212">
        <w:trPr>
          <w:cantSplit/>
        </w:trPr>
        <w:tc>
          <w:tcPr>
            <w:tcW w:w="3341" w:type="pct"/>
          </w:tcPr>
          <w:p w14:paraId="4E8FE59C" w14:textId="77777777" w:rsidR="00C80F0D" w:rsidRPr="00377E56" w:rsidRDefault="00C80F0D" w:rsidP="007706DB">
            <w:pPr>
              <w:spacing w:beforeLines="60" w:before="144" w:afterLines="60" w:after="144"/>
              <w:rPr>
                <w:rFonts w:cs="Segoe UI"/>
              </w:rPr>
            </w:pPr>
            <w:r w:rsidRPr="00377E56">
              <w:rPr>
                <w:rFonts w:cs="Segoe UI"/>
              </w:rPr>
              <w:lastRenderedPageBreak/>
              <w:t>Paint and coating</w:t>
            </w:r>
            <w:r>
              <w:rPr>
                <w:rFonts w:cs="Segoe UI"/>
              </w:rPr>
              <w:t xml:space="preserve"> products</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0168691E"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715419FC" w14:textId="77777777" w:rsidTr="2ED36212">
        <w:trPr>
          <w:cantSplit/>
        </w:trPr>
        <w:tc>
          <w:tcPr>
            <w:tcW w:w="3341" w:type="pct"/>
          </w:tcPr>
          <w:p w14:paraId="0520713C" w14:textId="77777777" w:rsidR="00C80F0D" w:rsidRPr="00377E56" w:rsidRDefault="00C80F0D" w:rsidP="00336A73">
            <w:pPr>
              <w:spacing w:beforeLines="60" w:before="144" w:afterLines="60" w:after="144"/>
              <w:rPr>
                <w:rFonts w:cs="Segoe UI"/>
              </w:rPr>
            </w:pPr>
            <w:r w:rsidRPr="00377E56">
              <w:rPr>
                <w:rFonts w:cs="Segoe UI"/>
              </w:rPr>
              <w:t xml:space="preserve">Plastic and polymer </w:t>
            </w:r>
            <w:r>
              <w:rPr>
                <w:rFonts w:cs="Segoe UI"/>
              </w:rPr>
              <w:t>products</w:t>
            </w:r>
            <w:r w:rsidR="00BC195B">
              <w:rPr>
                <w:rFonts w:cs="Segoe UI"/>
              </w:rPr>
              <w:t xml:space="preserve"> </w:t>
            </w:r>
            <w:r w:rsidR="007706DB">
              <w:rPr>
                <w:rFonts w:cs="Segoe UI"/>
              </w:rPr>
              <w:t>(</w:t>
            </w:r>
            <w:r w:rsidR="00BC195B">
              <w:rPr>
                <w:rFonts w:cs="Segoe UI"/>
              </w:rPr>
              <w:t>end use in Australia</w:t>
            </w:r>
            <w:r w:rsidR="007706DB">
              <w:rPr>
                <w:rFonts w:cs="Segoe UI"/>
              </w:rPr>
              <w:t>)</w:t>
            </w:r>
            <w:r w:rsidRPr="00377E56">
              <w:rPr>
                <w:rFonts w:cs="Segoe UI"/>
              </w:rPr>
              <w:tab/>
            </w:r>
          </w:p>
        </w:tc>
        <w:tc>
          <w:tcPr>
            <w:tcW w:w="1659" w:type="pct"/>
          </w:tcPr>
          <w:p w14:paraId="48A4B22C" w14:textId="77777777" w:rsidR="00C80F0D" w:rsidRPr="00377E56" w:rsidRDefault="00C80F0D" w:rsidP="00336A73">
            <w:pPr>
              <w:spacing w:beforeLines="60" w:before="144" w:afterLines="60" w:after="144"/>
              <w:jc w:val="center"/>
              <w:rPr>
                <w:rFonts w:cs="Segoe UI"/>
              </w:rPr>
            </w:pPr>
            <w:r w:rsidRPr="00377E56">
              <w:rPr>
                <w:rFonts w:cs="Segoe UI"/>
              </w:rPr>
              <w:t>0.05</w:t>
            </w:r>
          </w:p>
        </w:tc>
      </w:tr>
      <w:tr w:rsidR="00C80F0D" w:rsidRPr="004B3609" w14:paraId="3BCD26B3" w14:textId="77777777" w:rsidTr="2ED36212">
        <w:trPr>
          <w:cantSplit/>
        </w:trPr>
        <w:tc>
          <w:tcPr>
            <w:tcW w:w="3341" w:type="pct"/>
          </w:tcPr>
          <w:p w14:paraId="4275D288" w14:textId="77777777" w:rsidR="00C80F0D" w:rsidRPr="00377E56" w:rsidRDefault="00C80F0D" w:rsidP="00336A73">
            <w:pPr>
              <w:spacing w:beforeLines="60" w:before="144" w:afterLines="60" w:after="144"/>
              <w:rPr>
                <w:rFonts w:cs="Segoe UI"/>
              </w:rPr>
            </w:pPr>
            <w:r w:rsidRPr="00377E56">
              <w:rPr>
                <w:rFonts w:cs="Segoe UI"/>
              </w:rPr>
              <w:t xml:space="preserve">Construction </w:t>
            </w:r>
            <w:r>
              <w:rPr>
                <w:rFonts w:cs="Segoe UI"/>
              </w:rPr>
              <w:t xml:space="preserve">products </w:t>
            </w:r>
            <w:r w:rsidRPr="00377E56">
              <w:rPr>
                <w:rFonts w:cs="Segoe UI"/>
              </w:rPr>
              <w:t>not covered by other end uses</w:t>
            </w:r>
            <w:r w:rsidR="00BC195B">
              <w:rPr>
                <w:rFonts w:cs="Segoe UI"/>
              </w:rPr>
              <w:t xml:space="preserve"> </w:t>
            </w:r>
            <w:r w:rsidR="007706DB">
              <w:rPr>
                <w:rFonts w:cs="Segoe UI"/>
              </w:rPr>
              <w:t>(</w:t>
            </w:r>
            <w:r w:rsidR="00BC195B">
              <w:rPr>
                <w:rFonts w:cs="Segoe UI"/>
              </w:rPr>
              <w:t>end use in Australia</w:t>
            </w:r>
            <w:r w:rsidR="007706DB">
              <w:rPr>
                <w:rFonts w:cs="Segoe UI"/>
              </w:rPr>
              <w:t>)</w:t>
            </w:r>
          </w:p>
        </w:tc>
        <w:tc>
          <w:tcPr>
            <w:tcW w:w="1659" w:type="pct"/>
          </w:tcPr>
          <w:p w14:paraId="3D1A7A28" w14:textId="77777777" w:rsidR="00C80F0D" w:rsidRPr="00377E56" w:rsidRDefault="00C80F0D" w:rsidP="00336A73">
            <w:pPr>
              <w:spacing w:beforeLines="60" w:before="144" w:afterLines="60" w:after="144"/>
              <w:jc w:val="center"/>
              <w:rPr>
                <w:rFonts w:cs="Segoe UI"/>
              </w:rPr>
            </w:pPr>
            <w:r w:rsidRPr="00377E56">
              <w:rPr>
                <w:rFonts w:cs="Segoe UI"/>
              </w:rPr>
              <w:t>0.2</w:t>
            </w:r>
          </w:p>
        </w:tc>
      </w:tr>
      <w:tr w:rsidR="00C80F0D" w:rsidRPr="004B3609" w14:paraId="08FAED86" w14:textId="77777777" w:rsidTr="2ED36212">
        <w:trPr>
          <w:cantSplit/>
        </w:trPr>
        <w:tc>
          <w:tcPr>
            <w:tcW w:w="3341" w:type="pct"/>
          </w:tcPr>
          <w:p w14:paraId="48527685" w14:textId="77777777" w:rsidR="00C80F0D" w:rsidRPr="00377E56" w:rsidRDefault="00C80F0D" w:rsidP="00336A73">
            <w:pPr>
              <w:spacing w:beforeLines="60" w:before="144" w:afterLines="60" w:after="144"/>
              <w:rPr>
                <w:rFonts w:cs="Segoe UI"/>
              </w:rPr>
            </w:pPr>
            <w:r w:rsidRPr="00377E56">
              <w:rPr>
                <w:rFonts w:cs="Segoe UI"/>
              </w:rPr>
              <w:t>Fabric, textile and leather products not covered by other end uses</w:t>
            </w:r>
            <w:r w:rsidR="007706DB">
              <w:rPr>
                <w:rFonts w:cs="Segoe UI"/>
              </w:rPr>
              <w:t xml:space="preserve"> (end use in Australia)</w:t>
            </w:r>
          </w:p>
        </w:tc>
        <w:tc>
          <w:tcPr>
            <w:tcW w:w="1659" w:type="pct"/>
          </w:tcPr>
          <w:p w14:paraId="1E99AFD3" w14:textId="77777777" w:rsidR="00C80F0D" w:rsidRPr="00377E56" w:rsidRDefault="00C80F0D" w:rsidP="00336A73">
            <w:pPr>
              <w:spacing w:beforeLines="60" w:before="144" w:afterLines="60" w:after="144"/>
              <w:jc w:val="center"/>
              <w:rPr>
                <w:rFonts w:cs="Segoe UI"/>
              </w:rPr>
            </w:pPr>
            <w:r w:rsidRPr="00377E56">
              <w:rPr>
                <w:rFonts w:cs="Segoe UI"/>
              </w:rPr>
              <w:t>0.4</w:t>
            </w:r>
          </w:p>
        </w:tc>
      </w:tr>
      <w:tr w:rsidR="00C80F0D" w:rsidRPr="004B3609" w14:paraId="5DAB93F4" w14:textId="77777777" w:rsidTr="2ED36212">
        <w:trPr>
          <w:cantSplit/>
        </w:trPr>
        <w:tc>
          <w:tcPr>
            <w:tcW w:w="3341" w:type="pct"/>
          </w:tcPr>
          <w:p w14:paraId="1D76E62E" w14:textId="77777777" w:rsidR="00C80F0D" w:rsidRPr="00377E56" w:rsidRDefault="00C80F0D" w:rsidP="007706DB">
            <w:pPr>
              <w:spacing w:beforeLines="60" w:before="144" w:afterLines="60" w:after="144"/>
              <w:rPr>
                <w:rFonts w:cs="Segoe UI"/>
              </w:rPr>
            </w:pPr>
            <w:r w:rsidRPr="00377E56">
              <w:rPr>
                <w:rFonts w:cs="Segoe UI"/>
              </w:rPr>
              <w:t xml:space="preserve">Electronic </w:t>
            </w:r>
            <w:r>
              <w:rPr>
                <w:rFonts w:cs="Segoe UI"/>
              </w:rPr>
              <w:t>products</w:t>
            </w:r>
            <w:r w:rsidR="007706DB">
              <w:rPr>
                <w:rFonts w:cs="Segoe UI"/>
              </w:rPr>
              <w:t xml:space="preserve"> (end use in Australia)</w:t>
            </w:r>
          </w:p>
        </w:tc>
        <w:tc>
          <w:tcPr>
            <w:tcW w:w="1659" w:type="pct"/>
          </w:tcPr>
          <w:p w14:paraId="75692489" w14:textId="77777777" w:rsidR="00C80F0D" w:rsidRPr="00377E56" w:rsidRDefault="00C80F0D" w:rsidP="00336A73">
            <w:pPr>
              <w:spacing w:beforeLines="60" w:before="144" w:afterLines="60" w:after="144"/>
              <w:jc w:val="center"/>
              <w:rPr>
                <w:rFonts w:cs="Segoe UI"/>
              </w:rPr>
            </w:pPr>
            <w:r w:rsidRPr="00377E56">
              <w:rPr>
                <w:rFonts w:cs="Segoe UI"/>
              </w:rPr>
              <w:t>0.5</w:t>
            </w:r>
          </w:p>
        </w:tc>
      </w:tr>
      <w:tr w:rsidR="00C80F0D" w:rsidRPr="004B3609" w14:paraId="15B749C5" w14:textId="77777777" w:rsidTr="2ED36212">
        <w:trPr>
          <w:cantSplit/>
        </w:trPr>
        <w:tc>
          <w:tcPr>
            <w:tcW w:w="3341" w:type="pct"/>
          </w:tcPr>
          <w:p w14:paraId="1A57DEF8" w14:textId="77777777" w:rsidR="00C80F0D" w:rsidRPr="00377E56" w:rsidRDefault="00C80F0D" w:rsidP="00336A73">
            <w:pPr>
              <w:spacing w:beforeLines="60" w:before="144" w:afterLines="60" w:after="144"/>
              <w:rPr>
                <w:rFonts w:cs="Segoe UI"/>
              </w:rPr>
            </w:pPr>
            <w:r w:rsidRPr="00377E56">
              <w:rPr>
                <w:rFonts w:cs="Segoe UI"/>
              </w:rPr>
              <w:t>Ink, toner and colourant products</w:t>
            </w:r>
            <w:r w:rsidR="007706DB">
              <w:rPr>
                <w:rFonts w:cs="Segoe UI"/>
              </w:rPr>
              <w:t xml:space="preserve"> (end use in Australia)</w:t>
            </w:r>
          </w:p>
        </w:tc>
        <w:tc>
          <w:tcPr>
            <w:tcW w:w="1659" w:type="pct"/>
          </w:tcPr>
          <w:p w14:paraId="38119614" w14:textId="77777777" w:rsidR="00C80F0D" w:rsidRPr="00377E56" w:rsidRDefault="00C80F0D" w:rsidP="00336A73">
            <w:pPr>
              <w:spacing w:beforeLines="60" w:before="144" w:afterLines="60" w:after="144"/>
              <w:jc w:val="center"/>
              <w:rPr>
                <w:rFonts w:cs="Segoe UI"/>
              </w:rPr>
            </w:pPr>
            <w:r w:rsidRPr="00377E56">
              <w:rPr>
                <w:rFonts w:cs="Segoe UI"/>
              </w:rPr>
              <w:t>0.8</w:t>
            </w:r>
          </w:p>
        </w:tc>
      </w:tr>
      <w:tr w:rsidR="00C80F0D" w:rsidRPr="004B3609" w14:paraId="43004309" w14:textId="77777777" w:rsidTr="2ED36212">
        <w:trPr>
          <w:cantSplit/>
        </w:trPr>
        <w:tc>
          <w:tcPr>
            <w:tcW w:w="3341" w:type="pct"/>
          </w:tcPr>
          <w:p w14:paraId="3395CF80" w14:textId="77777777" w:rsidR="00C80F0D" w:rsidRPr="00377E56" w:rsidRDefault="00C80F0D" w:rsidP="00336A73">
            <w:pPr>
              <w:spacing w:beforeLines="60" w:before="144" w:afterLines="60" w:after="144"/>
              <w:rPr>
                <w:rFonts w:cs="Segoe UI"/>
              </w:rPr>
            </w:pPr>
            <w:r w:rsidRPr="00377E56">
              <w:rPr>
                <w:rFonts w:cs="Segoe UI"/>
              </w:rPr>
              <w:t>Air care products</w:t>
            </w:r>
            <w:r w:rsidR="007706DB">
              <w:rPr>
                <w:rFonts w:cs="Segoe UI"/>
              </w:rPr>
              <w:t xml:space="preserve"> (end use in Australia)</w:t>
            </w:r>
          </w:p>
        </w:tc>
        <w:tc>
          <w:tcPr>
            <w:tcW w:w="1659" w:type="pct"/>
          </w:tcPr>
          <w:p w14:paraId="15463F8A"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7219DE63" w14:textId="77777777" w:rsidTr="2ED36212">
        <w:trPr>
          <w:cantSplit/>
        </w:trPr>
        <w:tc>
          <w:tcPr>
            <w:tcW w:w="3341" w:type="pct"/>
          </w:tcPr>
          <w:p w14:paraId="7C18890E" w14:textId="77777777" w:rsidR="00C80F0D" w:rsidRPr="00377E56" w:rsidRDefault="00C80F0D" w:rsidP="00336A73">
            <w:pPr>
              <w:spacing w:beforeLines="60" w:before="144" w:afterLines="60" w:after="144"/>
              <w:rPr>
                <w:rFonts w:cs="Segoe UI"/>
              </w:rPr>
            </w:pPr>
            <w:r w:rsidRPr="00377E56">
              <w:rPr>
                <w:rFonts w:cs="Segoe UI"/>
              </w:rPr>
              <w:t>Anti-freeze and de-icing products</w:t>
            </w:r>
            <w:r w:rsidR="007706DB">
              <w:rPr>
                <w:rFonts w:cs="Segoe UI"/>
              </w:rPr>
              <w:t xml:space="preserve"> (end use in Australia)</w:t>
            </w:r>
          </w:p>
        </w:tc>
        <w:tc>
          <w:tcPr>
            <w:tcW w:w="1659" w:type="pct"/>
          </w:tcPr>
          <w:p w14:paraId="544EE7A7"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4AF677FA" w14:textId="77777777" w:rsidTr="2ED36212">
        <w:trPr>
          <w:cantSplit/>
        </w:trPr>
        <w:tc>
          <w:tcPr>
            <w:tcW w:w="3341" w:type="pct"/>
          </w:tcPr>
          <w:p w14:paraId="65756B4E" w14:textId="77777777" w:rsidR="00C80F0D" w:rsidRPr="00377E56" w:rsidRDefault="00C80F0D" w:rsidP="00336A73">
            <w:pPr>
              <w:spacing w:beforeLines="60" w:before="144" w:afterLines="60" w:after="144"/>
              <w:rPr>
                <w:rFonts w:cs="Segoe UI"/>
              </w:rPr>
            </w:pPr>
            <w:r w:rsidRPr="00377E56">
              <w:rPr>
                <w:rFonts w:cs="Segoe UI"/>
              </w:rPr>
              <w:t>Automotive care products</w:t>
            </w:r>
            <w:r w:rsidR="007706DB">
              <w:rPr>
                <w:rFonts w:cs="Segoe UI"/>
              </w:rPr>
              <w:t xml:space="preserve"> (end use in Australia)</w:t>
            </w:r>
          </w:p>
        </w:tc>
        <w:tc>
          <w:tcPr>
            <w:tcW w:w="1659" w:type="pct"/>
          </w:tcPr>
          <w:p w14:paraId="64A28C8A"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4DEA5D9A" w14:textId="77777777" w:rsidTr="2ED36212">
        <w:trPr>
          <w:cantSplit/>
        </w:trPr>
        <w:tc>
          <w:tcPr>
            <w:tcW w:w="3341" w:type="pct"/>
          </w:tcPr>
          <w:p w14:paraId="6C659699" w14:textId="77777777" w:rsidR="00C80F0D" w:rsidRPr="00377E56" w:rsidRDefault="00C80F0D" w:rsidP="007706DB">
            <w:pPr>
              <w:spacing w:beforeLines="60" w:before="144" w:afterLines="60" w:after="144"/>
              <w:rPr>
                <w:rFonts w:cs="Segoe UI"/>
              </w:rPr>
            </w:pPr>
            <w:r w:rsidRPr="00377E56">
              <w:rPr>
                <w:rFonts w:cs="Segoe UI"/>
              </w:rPr>
              <w:t>Cleaning and furniture care products</w:t>
            </w:r>
            <w:r w:rsidR="007706DB">
              <w:rPr>
                <w:rFonts w:cs="Segoe UI"/>
              </w:rPr>
              <w:t xml:space="preserve"> (end use in Australia)</w:t>
            </w:r>
          </w:p>
        </w:tc>
        <w:tc>
          <w:tcPr>
            <w:tcW w:w="1659" w:type="pct"/>
          </w:tcPr>
          <w:p w14:paraId="104F5130"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6A1E84CD" w14:textId="77777777" w:rsidTr="2ED36212">
        <w:trPr>
          <w:cantSplit/>
        </w:trPr>
        <w:tc>
          <w:tcPr>
            <w:tcW w:w="3341" w:type="pct"/>
          </w:tcPr>
          <w:p w14:paraId="3315BB82" w14:textId="77777777" w:rsidR="00C80F0D" w:rsidRPr="00377E56" w:rsidRDefault="00C80F0D" w:rsidP="007706DB">
            <w:pPr>
              <w:spacing w:beforeLines="60" w:before="144" w:afterLines="60" w:after="144"/>
              <w:rPr>
                <w:rFonts w:cs="Segoe UI"/>
              </w:rPr>
            </w:pPr>
            <w:r w:rsidRPr="00377E56">
              <w:rPr>
                <w:rFonts w:cs="Segoe UI"/>
              </w:rPr>
              <w:t>Laundry and dishwashing products</w:t>
            </w:r>
            <w:r w:rsidR="007706DB">
              <w:rPr>
                <w:rFonts w:cs="Segoe UI"/>
              </w:rPr>
              <w:t xml:space="preserve"> (end use in Australia)</w:t>
            </w:r>
          </w:p>
        </w:tc>
        <w:tc>
          <w:tcPr>
            <w:tcW w:w="1659" w:type="pct"/>
          </w:tcPr>
          <w:p w14:paraId="63C7268B"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317A4032" w14:textId="77777777" w:rsidTr="2ED36212">
        <w:trPr>
          <w:cantSplit/>
        </w:trPr>
        <w:tc>
          <w:tcPr>
            <w:tcW w:w="3341" w:type="pct"/>
          </w:tcPr>
          <w:p w14:paraId="2FD9924D" w14:textId="77777777" w:rsidR="00C80F0D" w:rsidRPr="00377E56" w:rsidRDefault="00C80F0D" w:rsidP="00336A73">
            <w:pPr>
              <w:spacing w:beforeLines="60" w:before="144" w:afterLines="60" w:after="144"/>
              <w:rPr>
                <w:rFonts w:cs="Segoe UI"/>
              </w:rPr>
            </w:pPr>
            <w:r>
              <w:rPr>
                <w:rFonts w:cs="Segoe UI"/>
              </w:rPr>
              <w:t>E</w:t>
            </w:r>
            <w:r w:rsidRPr="00377E56">
              <w:rPr>
                <w:rFonts w:cs="Segoe UI"/>
              </w:rPr>
              <w:t xml:space="preserve">xtractive </w:t>
            </w:r>
            <w:r>
              <w:rPr>
                <w:rFonts w:cs="Segoe UI"/>
              </w:rPr>
              <w:t xml:space="preserve">products </w:t>
            </w:r>
            <w:r w:rsidRPr="00377E56">
              <w:rPr>
                <w:rFonts w:cs="Segoe UI"/>
              </w:rPr>
              <w:t>not covered by other end uses</w:t>
            </w:r>
            <w:r w:rsidR="007706DB">
              <w:rPr>
                <w:rFonts w:cs="Segoe UI"/>
              </w:rPr>
              <w:t xml:space="preserve"> (end use in Australia)</w:t>
            </w:r>
          </w:p>
        </w:tc>
        <w:tc>
          <w:tcPr>
            <w:tcW w:w="1659" w:type="pct"/>
          </w:tcPr>
          <w:p w14:paraId="48CE680B"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42A9DE19" w14:textId="77777777" w:rsidTr="2ED36212">
        <w:trPr>
          <w:cantSplit/>
        </w:trPr>
        <w:tc>
          <w:tcPr>
            <w:tcW w:w="3341" w:type="pct"/>
          </w:tcPr>
          <w:p w14:paraId="39FD7B9B" w14:textId="77777777" w:rsidR="00C80F0D" w:rsidRPr="00377E56" w:rsidRDefault="00C80F0D" w:rsidP="007706DB">
            <w:pPr>
              <w:spacing w:beforeLines="60" w:before="144" w:afterLines="60" w:after="144"/>
              <w:rPr>
                <w:rFonts w:cs="Segoe UI"/>
              </w:rPr>
            </w:pPr>
            <w:r w:rsidRPr="00377E56">
              <w:rPr>
                <w:rFonts w:cs="Segoe UI"/>
              </w:rPr>
              <w:t xml:space="preserve">Paper </w:t>
            </w:r>
            <w:r>
              <w:rPr>
                <w:rFonts w:cs="Segoe UI"/>
              </w:rPr>
              <w:t>products</w:t>
            </w:r>
            <w:r w:rsidR="007706DB">
              <w:rPr>
                <w:rFonts w:cs="Segoe UI"/>
              </w:rPr>
              <w:t xml:space="preserve"> (end use in Australia)</w:t>
            </w:r>
          </w:p>
        </w:tc>
        <w:tc>
          <w:tcPr>
            <w:tcW w:w="1659" w:type="pct"/>
          </w:tcPr>
          <w:p w14:paraId="4C7BC10D"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2B0B5C64" w14:textId="77777777" w:rsidTr="2ED36212">
        <w:trPr>
          <w:cantSplit/>
        </w:trPr>
        <w:tc>
          <w:tcPr>
            <w:tcW w:w="3341" w:type="pct"/>
          </w:tcPr>
          <w:p w14:paraId="09BA3EC6" w14:textId="3A1F7418" w:rsidR="00C80F0D" w:rsidRPr="00377E56" w:rsidRDefault="00C80F0D" w:rsidP="00336A73">
            <w:pPr>
              <w:spacing w:beforeLines="60" w:before="144" w:afterLines="60" w:after="144"/>
              <w:rPr>
                <w:rFonts w:cs="Segoe UI"/>
              </w:rPr>
            </w:pPr>
            <w:r w:rsidRPr="2ED36212">
              <w:rPr>
                <w:rFonts w:cs="Segoe UI"/>
              </w:rPr>
              <w:t>Personal care products not covered by other end use</w:t>
            </w:r>
            <w:r w:rsidR="21DF0707" w:rsidRPr="2ED36212">
              <w:rPr>
                <w:rFonts w:cs="Segoe UI"/>
              </w:rPr>
              <w:t xml:space="preserve"> (end use in Australia)</w:t>
            </w:r>
          </w:p>
        </w:tc>
        <w:tc>
          <w:tcPr>
            <w:tcW w:w="1659" w:type="pct"/>
          </w:tcPr>
          <w:p w14:paraId="4906F5AA"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4498FFC0" w14:textId="77777777" w:rsidTr="2ED36212">
        <w:trPr>
          <w:cantSplit/>
        </w:trPr>
        <w:tc>
          <w:tcPr>
            <w:tcW w:w="3341" w:type="pct"/>
          </w:tcPr>
          <w:p w14:paraId="6DE435CD" w14:textId="77777777" w:rsidR="00C80F0D" w:rsidRPr="00377E56" w:rsidRDefault="00C80F0D" w:rsidP="007706DB">
            <w:pPr>
              <w:spacing w:beforeLines="60" w:before="144" w:afterLines="60" w:after="144"/>
              <w:rPr>
                <w:rFonts w:cs="Segoe UI"/>
              </w:rPr>
            </w:pPr>
            <w:r w:rsidRPr="00377E56">
              <w:rPr>
                <w:rFonts w:cs="Segoe UI"/>
              </w:rPr>
              <w:t xml:space="preserve">Photographic </w:t>
            </w:r>
            <w:r w:rsidR="007706DB">
              <w:rPr>
                <w:rFonts w:cs="Segoe UI"/>
              </w:rPr>
              <w:t>products (end use in Australia)</w:t>
            </w:r>
          </w:p>
        </w:tc>
        <w:tc>
          <w:tcPr>
            <w:tcW w:w="1659" w:type="pct"/>
          </w:tcPr>
          <w:p w14:paraId="66F0F2A1"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77E1FB73" w14:textId="77777777" w:rsidTr="2ED36212">
        <w:trPr>
          <w:cantSplit/>
        </w:trPr>
        <w:tc>
          <w:tcPr>
            <w:tcW w:w="3341" w:type="pct"/>
          </w:tcPr>
          <w:p w14:paraId="3C984CDB" w14:textId="77777777" w:rsidR="00C80F0D" w:rsidRPr="00377E56" w:rsidRDefault="00C80F0D" w:rsidP="007706DB">
            <w:pPr>
              <w:spacing w:beforeLines="60" w:before="144" w:afterLines="60" w:after="144"/>
              <w:rPr>
                <w:rFonts w:cs="Segoe UI"/>
              </w:rPr>
            </w:pPr>
            <w:r w:rsidRPr="00377E56">
              <w:rPr>
                <w:rFonts w:cs="Segoe UI"/>
              </w:rPr>
              <w:t>Water treatment products</w:t>
            </w:r>
            <w:r w:rsidR="007706DB">
              <w:rPr>
                <w:rFonts w:cs="Segoe UI"/>
              </w:rPr>
              <w:t xml:space="preserve"> (end use in Australia)</w:t>
            </w:r>
          </w:p>
        </w:tc>
        <w:tc>
          <w:tcPr>
            <w:tcW w:w="1659" w:type="pct"/>
          </w:tcPr>
          <w:p w14:paraId="39C93ACF"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1F972CDA" w14:textId="77777777" w:rsidTr="2ED36212">
        <w:trPr>
          <w:cantSplit/>
        </w:trPr>
        <w:tc>
          <w:tcPr>
            <w:tcW w:w="3341" w:type="pct"/>
          </w:tcPr>
          <w:p w14:paraId="33786C54" w14:textId="77777777" w:rsidR="00C80F0D" w:rsidRPr="00377E56" w:rsidRDefault="00C80F0D" w:rsidP="00336A73">
            <w:pPr>
              <w:spacing w:beforeLines="60" w:before="144" w:afterLines="60" w:after="144"/>
              <w:rPr>
                <w:rFonts w:cs="Segoe UI"/>
              </w:rPr>
            </w:pPr>
            <w:r w:rsidRPr="00377E56">
              <w:rPr>
                <w:rFonts w:cs="Segoe UI"/>
              </w:rPr>
              <w:t>Personal vaporiser</w:t>
            </w:r>
            <w:r>
              <w:rPr>
                <w:rFonts w:cs="Segoe UI"/>
              </w:rPr>
              <w:t xml:space="preserve"> products</w:t>
            </w:r>
            <w:r w:rsidR="007706DB">
              <w:rPr>
                <w:rFonts w:cs="Segoe UI"/>
              </w:rPr>
              <w:t xml:space="preserve"> (end use in Australia)</w:t>
            </w:r>
          </w:p>
        </w:tc>
        <w:tc>
          <w:tcPr>
            <w:tcW w:w="1659" w:type="pct"/>
          </w:tcPr>
          <w:p w14:paraId="2DE0AE9B" w14:textId="77777777" w:rsidR="00C80F0D" w:rsidRPr="00377E56" w:rsidRDefault="00C80F0D" w:rsidP="00336A73">
            <w:pPr>
              <w:spacing w:beforeLines="60" w:before="144" w:afterLines="60" w:after="144"/>
              <w:jc w:val="center"/>
              <w:rPr>
                <w:rFonts w:cs="Segoe UI"/>
              </w:rPr>
            </w:pPr>
            <w:r w:rsidRPr="00377E56">
              <w:rPr>
                <w:rFonts w:cs="Segoe UI"/>
              </w:rPr>
              <w:t>1</w:t>
            </w:r>
          </w:p>
        </w:tc>
      </w:tr>
      <w:tr w:rsidR="00C80F0D" w:rsidRPr="004B3609" w14:paraId="01D2DF11" w14:textId="77777777" w:rsidTr="2ED36212">
        <w:trPr>
          <w:cantSplit/>
        </w:trPr>
        <w:tc>
          <w:tcPr>
            <w:tcW w:w="3341" w:type="pct"/>
          </w:tcPr>
          <w:p w14:paraId="05A0780C" w14:textId="77777777" w:rsidR="00C80F0D" w:rsidRPr="00377E56" w:rsidRDefault="00C80F0D" w:rsidP="007706DB">
            <w:pPr>
              <w:spacing w:beforeLines="60" w:before="144" w:afterLines="60" w:after="144"/>
              <w:rPr>
                <w:rFonts w:cs="Segoe UI"/>
              </w:rPr>
            </w:pPr>
            <w:r w:rsidRPr="00377E56">
              <w:rPr>
                <w:rFonts w:cs="Segoe UI"/>
              </w:rPr>
              <w:t>Any other end use not covered above</w:t>
            </w:r>
            <w:r w:rsidR="007706DB">
              <w:rPr>
                <w:rFonts w:cs="Segoe UI"/>
              </w:rPr>
              <w:t xml:space="preserve"> (end use in Australia)</w:t>
            </w:r>
          </w:p>
        </w:tc>
        <w:tc>
          <w:tcPr>
            <w:tcW w:w="1659" w:type="pct"/>
          </w:tcPr>
          <w:p w14:paraId="782A1775" w14:textId="77777777" w:rsidR="00C80F0D" w:rsidRPr="00377E56" w:rsidRDefault="00C80F0D" w:rsidP="00336A73">
            <w:pPr>
              <w:spacing w:beforeLines="60" w:before="144" w:afterLines="60" w:after="144"/>
              <w:jc w:val="center"/>
              <w:rPr>
                <w:rFonts w:cs="Segoe UI"/>
              </w:rPr>
            </w:pPr>
            <w:r w:rsidRPr="00377E56">
              <w:rPr>
                <w:rFonts w:cs="Segoe UI"/>
              </w:rPr>
              <w:t>1</w:t>
            </w:r>
          </w:p>
        </w:tc>
      </w:tr>
    </w:tbl>
    <w:p w14:paraId="11C43086" w14:textId="77777777" w:rsidR="00907C8B" w:rsidRDefault="00907C8B" w:rsidP="00907C8B">
      <w:pPr>
        <w:rPr>
          <w:rStyle w:val="Strong"/>
        </w:rPr>
      </w:pPr>
    </w:p>
    <w:p w14:paraId="2E8631A4" w14:textId="77777777" w:rsidR="007106F2" w:rsidRDefault="00907C8B" w:rsidP="007106F2">
      <w:pPr>
        <w:rPr>
          <w:lang w:val="en"/>
        </w:rPr>
      </w:pPr>
      <w:r w:rsidRPr="00C20D77">
        <w:rPr>
          <w:b/>
          <w:bCs/>
          <w:lang w:val="en"/>
        </w:rPr>
        <w:lastRenderedPageBreak/>
        <w:t>Adhesive and sealant</w:t>
      </w:r>
      <w:r>
        <w:rPr>
          <w:b/>
          <w:bCs/>
          <w:lang w:val="en"/>
        </w:rPr>
        <w:t xml:space="preserve"> product</w:t>
      </w:r>
      <w:r w:rsidRPr="00C20D77">
        <w:rPr>
          <w:b/>
          <w:bCs/>
          <w:lang w:val="en"/>
        </w:rPr>
        <w:t>s</w:t>
      </w:r>
      <w:r w:rsidRPr="00C20D77">
        <w:rPr>
          <w:lang w:val="en"/>
        </w:rPr>
        <w:t xml:space="preserve"> means an end use to fasten other materials together or stop the passage of liquid or gas. Examples include:</w:t>
      </w:r>
    </w:p>
    <w:p w14:paraId="6D2B2A74" w14:textId="77777777" w:rsidR="007106F2" w:rsidRPr="007106F2" w:rsidRDefault="007106F2" w:rsidP="000D0955">
      <w:pPr>
        <w:pStyle w:val="ListParagraph"/>
        <w:numPr>
          <w:ilvl w:val="0"/>
          <w:numId w:val="19"/>
        </w:numPr>
        <w:rPr>
          <w:lang w:val="en"/>
        </w:rPr>
      </w:pPr>
      <w:r>
        <w:rPr>
          <w:lang w:val="en"/>
        </w:rPr>
        <w:t>g</w:t>
      </w:r>
      <w:r w:rsidR="00907C8B" w:rsidRPr="007106F2">
        <w:rPr>
          <w:lang w:val="en"/>
        </w:rPr>
        <w:t>lues</w:t>
      </w:r>
    </w:p>
    <w:p w14:paraId="2C08A817" w14:textId="77777777" w:rsidR="007106F2" w:rsidRPr="007106F2" w:rsidRDefault="007106F2" w:rsidP="000D0955">
      <w:pPr>
        <w:pStyle w:val="ListParagraph"/>
        <w:numPr>
          <w:ilvl w:val="0"/>
          <w:numId w:val="19"/>
        </w:numPr>
        <w:rPr>
          <w:lang w:val="en"/>
        </w:rPr>
      </w:pPr>
      <w:r>
        <w:rPr>
          <w:lang w:val="en"/>
        </w:rPr>
        <w:t>b</w:t>
      </w:r>
      <w:r w:rsidR="00907C8B" w:rsidRPr="007106F2">
        <w:rPr>
          <w:lang w:val="en"/>
        </w:rPr>
        <w:t>inders</w:t>
      </w:r>
    </w:p>
    <w:p w14:paraId="63254F3F" w14:textId="77777777" w:rsidR="007106F2" w:rsidRPr="007106F2" w:rsidRDefault="007106F2" w:rsidP="000D0955">
      <w:pPr>
        <w:pStyle w:val="ListParagraph"/>
        <w:numPr>
          <w:ilvl w:val="0"/>
          <w:numId w:val="19"/>
        </w:numPr>
        <w:rPr>
          <w:lang w:val="en"/>
        </w:rPr>
      </w:pPr>
      <w:r>
        <w:rPr>
          <w:lang w:val="en"/>
        </w:rPr>
        <w:t>a</w:t>
      </w:r>
      <w:r w:rsidR="00907C8B" w:rsidRPr="007106F2">
        <w:rPr>
          <w:lang w:val="en"/>
        </w:rPr>
        <w:t>dhesives</w:t>
      </w:r>
    </w:p>
    <w:p w14:paraId="295E1C60" w14:textId="77777777" w:rsidR="007106F2" w:rsidRPr="007106F2" w:rsidRDefault="007106F2" w:rsidP="000D0955">
      <w:pPr>
        <w:pStyle w:val="ListParagraph"/>
        <w:numPr>
          <w:ilvl w:val="0"/>
          <w:numId w:val="19"/>
        </w:numPr>
        <w:rPr>
          <w:lang w:val="en"/>
        </w:rPr>
      </w:pPr>
      <w:r>
        <w:rPr>
          <w:lang w:val="en"/>
        </w:rPr>
        <w:t>p</w:t>
      </w:r>
      <w:r w:rsidR="00907C8B" w:rsidRPr="007106F2">
        <w:rPr>
          <w:lang w:val="en"/>
        </w:rPr>
        <w:t>astes</w:t>
      </w:r>
    </w:p>
    <w:p w14:paraId="1A73455A" w14:textId="77777777" w:rsidR="007106F2" w:rsidRPr="007106F2" w:rsidRDefault="007106F2" w:rsidP="000D0955">
      <w:pPr>
        <w:pStyle w:val="ListParagraph"/>
        <w:numPr>
          <w:ilvl w:val="0"/>
          <w:numId w:val="19"/>
        </w:numPr>
        <w:rPr>
          <w:lang w:val="en"/>
        </w:rPr>
      </w:pPr>
      <w:r>
        <w:rPr>
          <w:lang w:val="en"/>
        </w:rPr>
        <w:t>s</w:t>
      </w:r>
      <w:r w:rsidR="00907C8B" w:rsidRPr="007106F2">
        <w:rPr>
          <w:lang w:val="en"/>
        </w:rPr>
        <w:t>ealants</w:t>
      </w:r>
    </w:p>
    <w:p w14:paraId="53384331" w14:textId="77777777" w:rsidR="007106F2" w:rsidRPr="007106F2" w:rsidRDefault="007106F2" w:rsidP="000D0955">
      <w:pPr>
        <w:pStyle w:val="ListParagraph"/>
        <w:numPr>
          <w:ilvl w:val="0"/>
          <w:numId w:val="19"/>
        </w:numPr>
        <w:rPr>
          <w:lang w:val="en"/>
        </w:rPr>
      </w:pPr>
      <w:r>
        <w:rPr>
          <w:lang w:val="en"/>
        </w:rPr>
        <w:t>f</w:t>
      </w:r>
      <w:r w:rsidR="00907C8B" w:rsidRPr="007106F2">
        <w:rPr>
          <w:lang w:val="en"/>
        </w:rPr>
        <w:t>illers</w:t>
      </w:r>
    </w:p>
    <w:p w14:paraId="3076A32A" w14:textId="77777777" w:rsidR="007106F2" w:rsidRPr="007106F2" w:rsidRDefault="007106F2" w:rsidP="000D0955">
      <w:pPr>
        <w:pStyle w:val="ListParagraph"/>
        <w:numPr>
          <w:ilvl w:val="0"/>
          <w:numId w:val="19"/>
        </w:numPr>
        <w:rPr>
          <w:lang w:val="en"/>
        </w:rPr>
      </w:pPr>
      <w:r>
        <w:rPr>
          <w:lang w:val="en"/>
        </w:rPr>
        <w:t>p</w:t>
      </w:r>
      <w:r w:rsidR="00907C8B" w:rsidRPr="007106F2">
        <w:rPr>
          <w:lang w:val="en"/>
        </w:rPr>
        <w:t>utties</w:t>
      </w:r>
    </w:p>
    <w:p w14:paraId="525E5F78" w14:textId="77777777" w:rsidR="00907C8B" w:rsidRPr="007106F2" w:rsidRDefault="00907C8B" w:rsidP="000D0955">
      <w:pPr>
        <w:pStyle w:val="ListParagraph"/>
        <w:numPr>
          <w:ilvl w:val="0"/>
          <w:numId w:val="19"/>
        </w:numPr>
        <w:rPr>
          <w:lang w:val="en"/>
        </w:rPr>
      </w:pPr>
      <w:r w:rsidRPr="007106F2">
        <w:rPr>
          <w:lang w:val="en"/>
        </w:rPr>
        <w:t>solder and caulking compounds</w:t>
      </w:r>
    </w:p>
    <w:p w14:paraId="098156F0" w14:textId="77777777" w:rsidR="007106F2" w:rsidRDefault="00907C8B" w:rsidP="007106F2">
      <w:pPr>
        <w:rPr>
          <w:lang w:val="en"/>
        </w:rPr>
      </w:pPr>
      <w:r w:rsidRPr="00C20D77">
        <w:rPr>
          <w:b/>
          <w:bCs/>
          <w:lang w:val="en"/>
        </w:rPr>
        <w:t xml:space="preserve">Apparel and footwear care products </w:t>
      </w:r>
      <w:r w:rsidRPr="00C20D77">
        <w:rPr>
          <w:lang w:val="en"/>
        </w:rPr>
        <w:t>means an end use to care for apparel and footwear products intended for consumer and commercial use. Examples include:</w:t>
      </w:r>
    </w:p>
    <w:p w14:paraId="41F0EE95" w14:textId="77777777" w:rsidR="007106F2" w:rsidRPr="007106F2" w:rsidRDefault="00907C8B" w:rsidP="000D0955">
      <w:pPr>
        <w:pStyle w:val="ListParagraph"/>
        <w:numPr>
          <w:ilvl w:val="0"/>
          <w:numId w:val="20"/>
        </w:numPr>
        <w:ind w:left="714" w:hanging="357"/>
        <w:rPr>
          <w:lang w:val="en"/>
        </w:rPr>
      </w:pPr>
      <w:r w:rsidRPr="007106F2">
        <w:rPr>
          <w:lang w:val="en"/>
        </w:rPr>
        <w:t>footwear polishes</w:t>
      </w:r>
    </w:p>
    <w:p w14:paraId="52FDA936" w14:textId="77777777" w:rsidR="007106F2" w:rsidRPr="007106F2" w:rsidRDefault="00907C8B" w:rsidP="000D0955">
      <w:pPr>
        <w:pStyle w:val="ListParagraph"/>
        <w:numPr>
          <w:ilvl w:val="0"/>
          <w:numId w:val="20"/>
        </w:numPr>
        <w:ind w:left="714" w:hanging="357"/>
        <w:rPr>
          <w:lang w:val="en"/>
        </w:rPr>
      </w:pPr>
      <w:r w:rsidRPr="007106F2">
        <w:rPr>
          <w:lang w:val="en"/>
        </w:rPr>
        <w:t>waxes and stains to waterproof and improve appearance and other desirable properties</w:t>
      </w:r>
    </w:p>
    <w:p w14:paraId="685169B6" w14:textId="77777777" w:rsidR="00907C8B" w:rsidRPr="007106F2" w:rsidRDefault="00907C8B" w:rsidP="000D0955">
      <w:pPr>
        <w:pStyle w:val="ListParagraph"/>
        <w:numPr>
          <w:ilvl w:val="0"/>
          <w:numId w:val="20"/>
        </w:numPr>
        <w:ind w:left="714" w:hanging="357"/>
        <w:rPr>
          <w:lang w:val="en"/>
        </w:rPr>
      </w:pPr>
      <w:r w:rsidRPr="007106F2">
        <w:rPr>
          <w:lang w:val="en"/>
        </w:rPr>
        <w:t>apparel surface treatment products for water, stain or flame resistance</w:t>
      </w:r>
    </w:p>
    <w:p w14:paraId="165156F1" w14:textId="77777777" w:rsidR="00907C8B" w:rsidRPr="00C20D77" w:rsidRDefault="00907C8B" w:rsidP="005466C9">
      <w:pPr>
        <w:rPr>
          <w:lang w:val="en"/>
        </w:rPr>
      </w:pPr>
      <w:r w:rsidRPr="00C20D77">
        <w:rPr>
          <w:b/>
          <w:bCs/>
          <w:lang w:val="en"/>
        </w:rPr>
        <w:t xml:space="preserve">Arts, crafts and hobby </w:t>
      </w:r>
      <w:r>
        <w:rPr>
          <w:b/>
          <w:bCs/>
          <w:lang w:val="en"/>
        </w:rPr>
        <w:t>products</w:t>
      </w:r>
      <w:r w:rsidRPr="00C20D77">
        <w:rPr>
          <w:lang w:val="en"/>
        </w:rPr>
        <w:t xml:space="preserve"> means an end use in arts, crafts </w:t>
      </w:r>
      <w:r w:rsidR="001944C0">
        <w:rPr>
          <w:lang w:val="en"/>
        </w:rPr>
        <w:t>or</w:t>
      </w:r>
      <w:r w:rsidR="001944C0" w:rsidRPr="00C20D77">
        <w:rPr>
          <w:lang w:val="en"/>
        </w:rPr>
        <w:t xml:space="preserve"> </w:t>
      </w:r>
      <w:r w:rsidRPr="00C20D77">
        <w:rPr>
          <w:lang w:val="en"/>
        </w:rPr>
        <w:t>hobbies. Examples include:</w:t>
      </w:r>
    </w:p>
    <w:p w14:paraId="49811DA3" w14:textId="77777777" w:rsidR="00907C8B" w:rsidRPr="005466C9" w:rsidRDefault="00907C8B" w:rsidP="000D0955">
      <w:pPr>
        <w:pStyle w:val="ListParagraph"/>
        <w:numPr>
          <w:ilvl w:val="0"/>
          <w:numId w:val="21"/>
        </w:numPr>
        <w:ind w:left="714" w:hanging="357"/>
        <w:rPr>
          <w:lang w:val="en"/>
        </w:rPr>
      </w:pPr>
      <w:r w:rsidRPr="005466C9">
        <w:rPr>
          <w:lang w:val="en"/>
        </w:rPr>
        <w:t>crafting paints</w:t>
      </w:r>
    </w:p>
    <w:p w14:paraId="795AD7FE" w14:textId="77777777" w:rsidR="00907C8B" w:rsidRPr="005466C9" w:rsidRDefault="00907C8B" w:rsidP="000D0955">
      <w:pPr>
        <w:pStyle w:val="ListParagraph"/>
        <w:numPr>
          <w:ilvl w:val="0"/>
          <w:numId w:val="21"/>
        </w:numPr>
        <w:ind w:left="714" w:hanging="357"/>
        <w:rPr>
          <w:lang w:val="en"/>
        </w:rPr>
      </w:pPr>
      <w:r w:rsidRPr="005466C9">
        <w:rPr>
          <w:lang w:val="en"/>
        </w:rPr>
        <w:t>crafting glue</w:t>
      </w:r>
    </w:p>
    <w:p w14:paraId="2D1D2D0D" w14:textId="77777777" w:rsidR="00907C8B" w:rsidRPr="005466C9" w:rsidRDefault="00907C8B" w:rsidP="000D0955">
      <w:pPr>
        <w:pStyle w:val="ListParagraph"/>
        <w:numPr>
          <w:ilvl w:val="0"/>
          <w:numId w:val="21"/>
        </w:numPr>
        <w:ind w:left="714" w:hanging="357"/>
        <w:rPr>
          <w:lang w:val="en"/>
        </w:rPr>
      </w:pPr>
      <w:r w:rsidRPr="005466C9">
        <w:rPr>
          <w:lang w:val="en"/>
        </w:rPr>
        <w:t>adhesives (e.g. solder and hot-melt adhesives)</w:t>
      </w:r>
    </w:p>
    <w:p w14:paraId="53561647" w14:textId="77777777" w:rsidR="00907C8B" w:rsidRPr="005466C9" w:rsidRDefault="00907C8B" w:rsidP="000D0955">
      <w:pPr>
        <w:pStyle w:val="ListParagraph"/>
        <w:numPr>
          <w:ilvl w:val="0"/>
          <w:numId w:val="21"/>
        </w:numPr>
        <w:ind w:left="714" w:hanging="357"/>
        <w:rPr>
          <w:lang w:val="en"/>
        </w:rPr>
      </w:pPr>
      <w:r w:rsidRPr="005466C9">
        <w:rPr>
          <w:lang w:val="en"/>
        </w:rPr>
        <w:t>fixatives</w:t>
      </w:r>
    </w:p>
    <w:p w14:paraId="28A1715E" w14:textId="77777777" w:rsidR="00907C8B" w:rsidRPr="005466C9" w:rsidRDefault="00907C8B" w:rsidP="000D0955">
      <w:pPr>
        <w:pStyle w:val="ListParagraph"/>
        <w:numPr>
          <w:ilvl w:val="0"/>
          <w:numId w:val="21"/>
        </w:numPr>
        <w:ind w:left="714" w:hanging="357"/>
        <w:rPr>
          <w:lang w:val="en"/>
        </w:rPr>
      </w:pPr>
      <w:r w:rsidRPr="005466C9">
        <w:rPr>
          <w:lang w:val="en"/>
        </w:rPr>
        <w:t>finishing spray coatings and modelling clay</w:t>
      </w:r>
    </w:p>
    <w:p w14:paraId="5486F93D" w14:textId="77777777" w:rsidR="00907C8B" w:rsidRPr="00C20D77" w:rsidRDefault="00907C8B" w:rsidP="00907C8B">
      <w:pPr>
        <w:rPr>
          <w:lang w:val="en"/>
        </w:rPr>
      </w:pPr>
      <w:r w:rsidRPr="00C20D77">
        <w:rPr>
          <w:b/>
          <w:bCs/>
          <w:lang w:val="en"/>
        </w:rPr>
        <w:t>Explosive</w:t>
      </w:r>
      <w:r>
        <w:rPr>
          <w:b/>
          <w:bCs/>
          <w:lang w:val="en"/>
        </w:rPr>
        <w:t xml:space="preserve"> product</w:t>
      </w:r>
      <w:r w:rsidRPr="00C20D77">
        <w:rPr>
          <w:b/>
          <w:bCs/>
          <w:lang w:val="en"/>
        </w:rPr>
        <w:t xml:space="preserve">s </w:t>
      </w:r>
      <w:r w:rsidRPr="00C20D77">
        <w:rPr>
          <w:lang w:val="en"/>
        </w:rPr>
        <w:t>means an end use for producing a sudden expansion, usually accompanied by production of heat and large changes in pressure. Examples include:</w:t>
      </w:r>
    </w:p>
    <w:p w14:paraId="59148E0C" w14:textId="77777777" w:rsidR="00907C8B" w:rsidRPr="005466C9" w:rsidRDefault="00907C8B" w:rsidP="000D0955">
      <w:pPr>
        <w:pStyle w:val="ListParagraph"/>
        <w:numPr>
          <w:ilvl w:val="0"/>
          <w:numId w:val="22"/>
        </w:numPr>
        <w:ind w:left="714" w:hanging="357"/>
        <w:rPr>
          <w:lang w:val="en"/>
        </w:rPr>
      </w:pPr>
      <w:r w:rsidRPr="005466C9">
        <w:rPr>
          <w:lang w:val="en"/>
        </w:rPr>
        <w:t>pyrotechnics</w:t>
      </w:r>
    </w:p>
    <w:p w14:paraId="049A49FD" w14:textId="77777777" w:rsidR="00907C8B" w:rsidRPr="005466C9" w:rsidRDefault="00907C8B" w:rsidP="000D0955">
      <w:pPr>
        <w:pStyle w:val="ListParagraph"/>
        <w:numPr>
          <w:ilvl w:val="0"/>
          <w:numId w:val="22"/>
        </w:numPr>
        <w:ind w:left="714" w:hanging="357"/>
        <w:rPr>
          <w:lang w:val="en"/>
        </w:rPr>
      </w:pPr>
      <w:r w:rsidRPr="005466C9">
        <w:rPr>
          <w:lang w:val="en"/>
        </w:rPr>
        <w:t>high explosives and propellants</w:t>
      </w:r>
    </w:p>
    <w:p w14:paraId="2E152A68" w14:textId="77777777" w:rsidR="00907C8B" w:rsidRPr="005466C9" w:rsidRDefault="00907C8B" w:rsidP="000D0955">
      <w:pPr>
        <w:pStyle w:val="ListParagraph"/>
        <w:numPr>
          <w:ilvl w:val="0"/>
          <w:numId w:val="22"/>
        </w:numPr>
        <w:ind w:left="714" w:hanging="357"/>
        <w:rPr>
          <w:lang w:val="en"/>
        </w:rPr>
      </w:pPr>
      <w:r w:rsidRPr="005466C9">
        <w:rPr>
          <w:lang w:val="en"/>
        </w:rPr>
        <w:t>igniter</w:t>
      </w:r>
      <w:r w:rsidR="000E4963">
        <w:rPr>
          <w:lang w:val="en"/>
        </w:rPr>
        <w:t>s</w:t>
      </w:r>
    </w:p>
    <w:p w14:paraId="7D0893CC" w14:textId="77777777" w:rsidR="00907C8B" w:rsidRPr="005466C9" w:rsidRDefault="00907C8B" w:rsidP="000D0955">
      <w:pPr>
        <w:pStyle w:val="ListParagraph"/>
        <w:numPr>
          <w:ilvl w:val="0"/>
          <w:numId w:val="22"/>
        </w:numPr>
        <w:ind w:left="714" w:hanging="357"/>
        <w:rPr>
          <w:lang w:val="en"/>
        </w:rPr>
      </w:pPr>
      <w:r w:rsidRPr="005466C9">
        <w:rPr>
          <w:lang w:val="en"/>
        </w:rPr>
        <w:t>primer</w:t>
      </w:r>
      <w:r w:rsidR="000E4963">
        <w:rPr>
          <w:lang w:val="en"/>
        </w:rPr>
        <w:t>s</w:t>
      </w:r>
    </w:p>
    <w:p w14:paraId="4D1AE5E8" w14:textId="77777777" w:rsidR="00907C8B" w:rsidRPr="005466C9" w:rsidRDefault="00907C8B" w:rsidP="000D0955">
      <w:pPr>
        <w:pStyle w:val="ListParagraph"/>
        <w:numPr>
          <w:ilvl w:val="0"/>
          <w:numId w:val="22"/>
        </w:numPr>
        <w:ind w:left="714" w:hanging="357"/>
        <w:rPr>
          <w:lang w:val="en"/>
        </w:rPr>
      </w:pPr>
      <w:r w:rsidRPr="005466C9">
        <w:rPr>
          <w:lang w:val="en"/>
        </w:rPr>
        <w:t>initiatory</w:t>
      </w:r>
    </w:p>
    <w:p w14:paraId="1BF2C53B" w14:textId="77777777" w:rsidR="00907C8B" w:rsidRPr="005466C9" w:rsidRDefault="00907C8B" w:rsidP="000D0955">
      <w:pPr>
        <w:pStyle w:val="ListParagraph"/>
        <w:numPr>
          <w:ilvl w:val="0"/>
          <w:numId w:val="22"/>
        </w:numPr>
        <w:ind w:left="714" w:hanging="357"/>
        <w:rPr>
          <w:lang w:val="en"/>
        </w:rPr>
      </w:pPr>
      <w:r w:rsidRPr="005466C9">
        <w:rPr>
          <w:lang w:val="en"/>
        </w:rPr>
        <w:t>illuminants</w:t>
      </w:r>
    </w:p>
    <w:p w14:paraId="4B853B01" w14:textId="77777777" w:rsidR="00907C8B" w:rsidRPr="005466C9" w:rsidRDefault="00907C8B" w:rsidP="000D0955">
      <w:pPr>
        <w:pStyle w:val="ListParagraph"/>
        <w:numPr>
          <w:ilvl w:val="0"/>
          <w:numId w:val="22"/>
        </w:numPr>
        <w:ind w:left="714" w:hanging="357"/>
        <w:rPr>
          <w:lang w:val="en"/>
        </w:rPr>
      </w:pPr>
      <w:r w:rsidRPr="005466C9">
        <w:rPr>
          <w:lang w:val="en"/>
        </w:rPr>
        <w:t>smoke and decoy flares</w:t>
      </w:r>
    </w:p>
    <w:p w14:paraId="513575A5" w14:textId="77777777" w:rsidR="00907C8B" w:rsidRPr="005466C9" w:rsidRDefault="00907C8B" w:rsidP="000D0955">
      <w:pPr>
        <w:pStyle w:val="ListParagraph"/>
        <w:numPr>
          <w:ilvl w:val="0"/>
          <w:numId w:val="22"/>
        </w:numPr>
        <w:ind w:left="714" w:hanging="357"/>
        <w:rPr>
          <w:lang w:val="en"/>
        </w:rPr>
      </w:pPr>
      <w:r w:rsidRPr="005466C9">
        <w:rPr>
          <w:lang w:val="en"/>
        </w:rPr>
        <w:t>incendiaries</w:t>
      </w:r>
    </w:p>
    <w:p w14:paraId="0AEF2472" w14:textId="77777777" w:rsidR="00907C8B" w:rsidRPr="00C20D77" w:rsidRDefault="00907C8B" w:rsidP="005466C9">
      <w:pPr>
        <w:rPr>
          <w:lang w:val="en"/>
        </w:rPr>
      </w:pPr>
      <w:r w:rsidRPr="00C20D77">
        <w:rPr>
          <w:b/>
          <w:bCs/>
          <w:lang w:val="en"/>
        </w:rPr>
        <w:t>Fuel, oil, fuel</w:t>
      </w:r>
      <w:r>
        <w:rPr>
          <w:b/>
          <w:bCs/>
          <w:lang w:val="en"/>
        </w:rPr>
        <w:t xml:space="preserve"> </w:t>
      </w:r>
      <w:r w:rsidRPr="00C20D77">
        <w:rPr>
          <w:b/>
          <w:bCs/>
          <w:lang w:val="en"/>
        </w:rPr>
        <w:t xml:space="preserve">oil additives and related products </w:t>
      </w:r>
      <w:r w:rsidRPr="00C20D77">
        <w:rPr>
          <w:lang w:val="en"/>
        </w:rPr>
        <w:t>means an end use as:</w:t>
      </w:r>
    </w:p>
    <w:p w14:paraId="1355D34D" w14:textId="77777777" w:rsidR="00907C8B" w:rsidRPr="005466C9" w:rsidRDefault="00427B43" w:rsidP="000D0955">
      <w:pPr>
        <w:pStyle w:val="ListParagraph"/>
        <w:numPr>
          <w:ilvl w:val="0"/>
          <w:numId w:val="23"/>
        </w:numPr>
        <w:ind w:left="714" w:hanging="357"/>
        <w:rPr>
          <w:lang w:val="en"/>
        </w:rPr>
      </w:pPr>
      <w:r>
        <w:rPr>
          <w:lang w:val="en"/>
        </w:rPr>
        <w:t>l</w:t>
      </w:r>
      <w:r w:rsidR="00907C8B" w:rsidRPr="005466C9">
        <w:rPr>
          <w:lang w:val="en"/>
        </w:rPr>
        <w:t>iquid fuel in containers used for cooking, heating or for power in vehicles or appliances</w:t>
      </w:r>
      <w:r>
        <w:rPr>
          <w:lang w:val="en"/>
        </w:rPr>
        <w:t>, or</w:t>
      </w:r>
    </w:p>
    <w:p w14:paraId="5E97F90D" w14:textId="77777777" w:rsidR="00907C8B" w:rsidRPr="005466C9" w:rsidRDefault="00907C8B" w:rsidP="000D0955">
      <w:pPr>
        <w:pStyle w:val="ListParagraph"/>
        <w:numPr>
          <w:ilvl w:val="0"/>
          <w:numId w:val="23"/>
        </w:numPr>
        <w:ind w:left="714" w:hanging="357"/>
        <w:rPr>
          <w:lang w:val="en"/>
        </w:rPr>
      </w:pPr>
      <w:r w:rsidRPr="005466C9">
        <w:rPr>
          <w:lang w:val="en"/>
        </w:rPr>
        <w:t>a fuel additive to inhibit corrosion, provide lubrication, increase efficiency of use, or decrease production of undesirable by-products.</w:t>
      </w:r>
    </w:p>
    <w:p w14:paraId="073A5DE3" w14:textId="77777777" w:rsidR="00907C8B" w:rsidRPr="00C20D77" w:rsidRDefault="00907C8B" w:rsidP="005466C9">
      <w:pPr>
        <w:rPr>
          <w:lang w:val="en"/>
        </w:rPr>
      </w:pPr>
      <w:r w:rsidRPr="00C20D77">
        <w:rPr>
          <w:lang w:val="en"/>
        </w:rPr>
        <w:t>Examples of liquid fuels include:</w:t>
      </w:r>
    </w:p>
    <w:p w14:paraId="65309219" w14:textId="77777777" w:rsidR="00907C8B" w:rsidRPr="005466C9" w:rsidRDefault="00907C8B" w:rsidP="000D0955">
      <w:pPr>
        <w:pStyle w:val="ListParagraph"/>
        <w:numPr>
          <w:ilvl w:val="0"/>
          <w:numId w:val="24"/>
        </w:numPr>
        <w:rPr>
          <w:lang w:val="en"/>
        </w:rPr>
      </w:pPr>
      <w:r w:rsidRPr="005466C9">
        <w:rPr>
          <w:lang w:val="en"/>
        </w:rPr>
        <w:lastRenderedPageBreak/>
        <w:t>gasoline</w:t>
      </w:r>
    </w:p>
    <w:p w14:paraId="1361B19C" w14:textId="77777777" w:rsidR="00907C8B" w:rsidRPr="005466C9" w:rsidRDefault="00907C8B" w:rsidP="000D0955">
      <w:pPr>
        <w:pStyle w:val="ListParagraph"/>
        <w:numPr>
          <w:ilvl w:val="0"/>
          <w:numId w:val="24"/>
        </w:numPr>
        <w:rPr>
          <w:lang w:val="en"/>
        </w:rPr>
      </w:pPr>
      <w:r w:rsidRPr="005466C9">
        <w:rPr>
          <w:lang w:val="en"/>
        </w:rPr>
        <w:t>diesel fuels</w:t>
      </w:r>
    </w:p>
    <w:p w14:paraId="25E7700F" w14:textId="77777777" w:rsidR="00907C8B" w:rsidRPr="005466C9" w:rsidRDefault="00907C8B" w:rsidP="000D0955">
      <w:pPr>
        <w:pStyle w:val="ListParagraph"/>
        <w:numPr>
          <w:ilvl w:val="0"/>
          <w:numId w:val="24"/>
        </w:numPr>
        <w:rPr>
          <w:lang w:val="en"/>
        </w:rPr>
      </w:pPr>
      <w:r w:rsidRPr="005466C9">
        <w:rPr>
          <w:lang w:val="en"/>
        </w:rPr>
        <w:t>kerosene</w:t>
      </w:r>
    </w:p>
    <w:p w14:paraId="3AC2C6BE" w14:textId="77777777" w:rsidR="00907C8B" w:rsidRPr="005466C9" w:rsidRDefault="00907C8B" w:rsidP="000D0955">
      <w:pPr>
        <w:pStyle w:val="ListParagraph"/>
        <w:numPr>
          <w:ilvl w:val="0"/>
          <w:numId w:val="24"/>
        </w:numPr>
        <w:rPr>
          <w:lang w:val="en"/>
        </w:rPr>
      </w:pPr>
      <w:r w:rsidRPr="005466C9">
        <w:rPr>
          <w:lang w:val="en"/>
        </w:rPr>
        <w:t>lamp oils</w:t>
      </w:r>
    </w:p>
    <w:p w14:paraId="5D4F31F3" w14:textId="77777777" w:rsidR="00907C8B" w:rsidRPr="00C20D77" w:rsidRDefault="00907C8B" w:rsidP="005466C9">
      <w:pPr>
        <w:rPr>
          <w:lang w:val="en"/>
        </w:rPr>
      </w:pPr>
      <w:r w:rsidRPr="00C20D77">
        <w:rPr>
          <w:lang w:val="en"/>
        </w:rPr>
        <w:t xml:space="preserve">Examples of </w:t>
      </w:r>
      <w:r w:rsidR="004631A8">
        <w:rPr>
          <w:lang w:val="en"/>
        </w:rPr>
        <w:t xml:space="preserve">fuel oil </w:t>
      </w:r>
      <w:r w:rsidRPr="00C20D77">
        <w:rPr>
          <w:lang w:val="en"/>
        </w:rPr>
        <w:t>additives include:</w:t>
      </w:r>
    </w:p>
    <w:p w14:paraId="423C29B1" w14:textId="77777777" w:rsidR="00907C8B" w:rsidRPr="005466C9" w:rsidRDefault="00907C8B" w:rsidP="000D0955">
      <w:pPr>
        <w:pStyle w:val="ListParagraph"/>
        <w:numPr>
          <w:ilvl w:val="0"/>
          <w:numId w:val="25"/>
        </w:numPr>
        <w:rPr>
          <w:lang w:val="en"/>
        </w:rPr>
      </w:pPr>
      <w:r w:rsidRPr="005466C9">
        <w:rPr>
          <w:lang w:val="en"/>
        </w:rPr>
        <w:t>stabilisers</w:t>
      </w:r>
    </w:p>
    <w:p w14:paraId="19185327" w14:textId="77777777" w:rsidR="00907C8B" w:rsidRPr="005466C9" w:rsidRDefault="00907C8B" w:rsidP="000D0955">
      <w:pPr>
        <w:pStyle w:val="ListParagraph"/>
        <w:numPr>
          <w:ilvl w:val="0"/>
          <w:numId w:val="25"/>
        </w:numPr>
        <w:rPr>
          <w:lang w:val="en"/>
        </w:rPr>
      </w:pPr>
      <w:r w:rsidRPr="005466C9">
        <w:rPr>
          <w:lang w:val="en"/>
        </w:rPr>
        <w:t>anti-knock agents</w:t>
      </w:r>
    </w:p>
    <w:p w14:paraId="553ACF91" w14:textId="77777777" w:rsidR="00907C8B" w:rsidRPr="005466C9" w:rsidRDefault="00907C8B" w:rsidP="000D0955">
      <w:pPr>
        <w:pStyle w:val="ListParagraph"/>
        <w:numPr>
          <w:ilvl w:val="0"/>
          <w:numId w:val="25"/>
        </w:numPr>
        <w:rPr>
          <w:lang w:val="en"/>
        </w:rPr>
      </w:pPr>
      <w:r w:rsidRPr="005466C9">
        <w:rPr>
          <w:lang w:val="en"/>
        </w:rPr>
        <w:t>corrosion inhibitors</w:t>
      </w:r>
    </w:p>
    <w:p w14:paraId="4C39C3B1" w14:textId="77777777" w:rsidR="00907C8B" w:rsidRPr="005466C9" w:rsidRDefault="00907C8B" w:rsidP="000D0955">
      <w:pPr>
        <w:pStyle w:val="ListParagraph"/>
        <w:numPr>
          <w:ilvl w:val="0"/>
          <w:numId w:val="25"/>
        </w:numPr>
        <w:rPr>
          <w:lang w:val="en"/>
        </w:rPr>
      </w:pPr>
      <w:r w:rsidRPr="005466C9">
        <w:rPr>
          <w:lang w:val="en"/>
        </w:rPr>
        <w:t>detergents</w:t>
      </w:r>
    </w:p>
    <w:p w14:paraId="5F154B38" w14:textId="77777777" w:rsidR="00907C8B" w:rsidRPr="005466C9" w:rsidRDefault="00907C8B" w:rsidP="000D0955">
      <w:pPr>
        <w:pStyle w:val="ListParagraph"/>
        <w:numPr>
          <w:ilvl w:val="0"/>
          <w:numId w:val="25"/>
        </w:numPr>
        <w:rPr>
          <w:lang w:val="en"/>
        </w:rPr>
      </w:pPr>
      <w:r w:rsidRPr="005466C9">
        <w:rPr>
          <w:lang w:val="en"/>
        </w:rPr>
        <w:t>fuel dyes</w:t>
      </w:r>
    </w:p>
    <w:p w14:paraId="4EF38F17" w14:textId="77777777" w:rsidR="00907C8B" w:rsidRPr="005466C9" w:rsidRDefault="00907C8B" w:rsidP="000D0955">
      <w:pPr>
        <w:pStyle w:val="ListParagraph"/>
        <w:numPr>
          <w:ilvl w:val="0"/>
          <w:numId w:val="25"/>
        </w:numPr>
        <w:rPr>
          <w:lang w:val="en"/>
        </w:rPr>
      </w:pPr>
      <w:r w:rsidRPr="005466C9">
        <w:rPr>
          <w:lang w:val="en"/>
        </w:rPr>
        <w:t>oxygenates</w:t>
      </w:r>
    </w:p>
    <w:p w14:paraId="70C546D6" w14:textId="77777777" w:rsidR="00907C8B" w:rsidRPr="005466C9" w:rsidRDefault="00907C8B" w:rsidP="000D0955">
      <w:pPr>
        <w:pStyle w:val="ListParagraph"/>
        <w:numPr>
          <w:ilvl w:val="0"/>
          <w:numId w:val="25"/>
        </w:numPr>
        <w:rPr>
          <w:lang w:val="en"/>
        </w:rPr>
      </w:pPr>
      <w:r w:rsidRPr="005466C9">
        <w:rPr>
          <w:lang w:val="en"/>
        </w:rPr>
        <w:t>antioxidants</w:t>
      </w:r>
    </w:p>
    <w:p w14:paraId="5B3B65A5" w14:textId="77777777" w:rsidR="00907C8B" w:rsidRPr="005466C9" w:rsidRDefault="00907C8B" w:rsidP="000D0955">
      <w:pPr>
        <w:pStyle w:val="ListParagraph"/>
        <w:numPr>
          <w:ilvl w:val="0"/>
          <w:numId w:val="25"/>
        </w:numPr>
        <w:rPr>
          <w:lang w:val="en"/>
        </w:rPr>
      </w:pPr>
      <w:r w:rsidRPr="005466C9">
        <w:rPr>
          <w:lang w:val="en"/>
        </w:rPr>
        <w:t>odour agents</w:t>
      </w:r>
    </w:p>
    <w:p w14:paraId="10B745FC" w14:textId="77777777" w:rsidR="00907C8B" w:rsidRPr="00C20D77" w:rsidRDefault="00907C8B" w:rsidP="005466C9">
      <w:pPr>
        <w:rPr>
          <w:lang w:val="en"/>
        </w:rPr>
      </w:pPr>
      <w:r w:rsidRPr="00C20D77">
        <w:rPr>
          <w:b/>
          <w:bCs/>
          <w:lang w:val="en"/>
        </w:rPr>
        <w:t>Lubricant and grease</w:t>
      </w:r>
      <w:r>
        <w:rPr>
          <w:lang w:val="en"/>
        </w:rPr>
        <w:t xml:space="preserve"> </w:t>
      </w:r>
      <w:r w:rsidRPr="0048188E">
        <w:rPr>
          <w:b/>
          <w:lang w:val="en"/>
        </w:rPr>
        <w:t>products</w:t>
      </w:r>
      <w:r>
        <w:rPr>
          <w:lang w:val="en"/>
        </w:rPr>
        <w:t xml:space="preserve"> </w:t>
      </w:r>
      <w:r w:rsidRPr="00C20D77">
        <w:rPr>
          <w:lang w:val="en"/>
        </w:rPr>
        <w:t>means an end use in a liquid, paste or spray to reduce friction, heat generation and wear between solid surfaces. Examples include:</w:t>
      </w:r>
    </w:p>
    <w:p w14:paraId="62047C42" w14:textId="77777777" w:rsidR="00907C8B" w:rsidRPr="005466C9" w:rsidRDefault="00907C8B" w:rsidP="000D0955">
      <w:pPr>
        <w:pStyle w:val="ListParagraph"/>
        <w:numPr>
          <w:ilvl w:val="0"/>
          <w:numId w:val="26"/>
        </w:numPr>
        <w:rPr>
          <w:lang w:val="en"/>
        </w:rPr>
      </w:pPr>
      <w:r w:rsidRPr="005466C9">
        <w:rPr>
          <w:lang w:val="en"/>
        </w:rPr>
        <w:t>engine oils</w:t>
      </w:r>
    </w:p>
    <w:p w14:paraId="611FD427" w14:textId="77777777" w:rsidR="00907C8B" w:rsidRPr="005466C9" w:rsidRDefault="00907C8B" w:rsidP="000D0955">
      <w:pPr>
        <w:pStyle w:val="ListParagraph"/>
        <w:numPr>
          <w:ilvl w:val="0"/>
          <w:numId w:val="26"/>
        </w:numPr>
        <w:rPr>
          <w:lang w:val="en"/>
        </w:rPr>
      </w:pPr>
      <w:r w:rsidRPr="005466C9">
        <w:rPr>
          <w:lang w:val="en"/>
        </w:rPr>
        <w:t>transmission, brake and hydraulic fluids</w:t>
      </w:r>
    </w:p>
    <w:p w14:paraId="1D1AD6C1" w14:textId="77777777" w:rsidR="00907C8B" w:rsidRPr="005466C9" w:rsidRDefault="00907C8B" w:rsidP="000D0955">
      <w:pPr>
        <w:pStyle w:val="ListParagraph"/>
        <w:numPr>
          <w:ilvl w:val="0"/>
          <w:numId w:val="26"/>
        </w:numPr>
        <w:rPr>
          <w:lang w:val="en"/>
        </w:rPr>
      </w:pPr>
      <w:r w:rsidRPr="005466C9">
        <w:rPr>
          <w:lang w:val="en"/>
        </w:rPr>
        <w:t>gear oils</w:t>
      </w:r>
    </w:p>
    <w:p w14:paraId="29AD63E2" w14:textId="77777777" w:rsidR="00907C8B" w:rsidRPr="005466C9" w:rsidRDefault="00907C8B" w:rsidP="000D0955">
      <w:pPr>
        <w:pStyle w:val="ListParagraph"/>
        <w:numPr>
          <w:ilvl w:val="0"/>
          <w:numId w:val="26"/>
        </w:numPr>
        <w:rPr>
          <w:lang w:val="en"/>
        </w:rPr>
      </w:pPr>
      <w:r w:rsidRPr="005466C9">
        <w:rPr>
          <w:lang w:val="en"/>
        </w:rPr>
        <w:t>calcium, sodium, lithium, and silicone-based greases</w:t>
      </w:r>
    </w:p>
    <w:p w14:paraId="7BDDB0A9" w14:textId="77777777" w:rsidR="00907C8B" w:rsidRPr="00C20D77" w:rsidRDefault="00907C8B" w:rsidP="005466C9">
      <w:pPr>
        <w:rPr>
          <w:lang w:val="en"/>
        </w:rPr>
      </w:pPr>
      <w:r w:rsidRPr="00C20D77">
        <w:rPr>
          <w:b/>
          <w:bCs/>
          <w:lang w:val="en"/>
        </w:rPr>
        <w:t xml:space="preserve">Personal care products – limited environmental release </w:t>
      </w:r>
      <w:r w:rsidRPr="00C20D77">
        <w:rPr>
          <w:lang w:val="en"/>
        </w:rPr>
        <w:t>means an end use in solid or hardening personal care products (including cosmetics) that are primarily disposed</w:t>
      </w:r>
      <w:r w:rsidR="000D4B7F">
        <w:rPr>
          <w:lang w:val="en"/>
        </w:rPr>
        <w:t xml:space="preserve"> of</w:t>
      </w:r>
      <w:r w:rsidRPr="00C20D77">
        <w:rPr>
          <w:lang w:val="en"/>
        </w:rPr>
        <w:t xml:space="preserve"> to landfill. Examples include:</w:t>
      </w:r>
    </w:p>
    <w:p w14:paraId="02CF4241" w14:textId="77777777" w:rsidR="00907C8B" w:rsidRPr="005466C9" w:rsidRDefault="00907C8B" w:rsidP="000D0955">
      <w:pPr>
        <w:pStyle w:val="ListParagraph"/>
        <w:numPr>
          <w:ilvl w:val="0"/>
          <w:numId w:val="27"/>
        </w:numPr>
        <w:rPr>
          <w:lang w:val="en"/>
        </w:rPr>
      </w:pPr>
      <w:r w:rsidRPr="005466C9">
        <w:rPr>
          <w:lang w:val="en"/>
        </w:rPr>
        <w:t>baby wipes</w:t>
      </w:r>
    </w:p>
    <w:p w14:paraId="642D58A8" w14:textId="77777777" w:rsidR="00907C8B" w:rsidRPr="005466C9" w:rsidRDefault="00907C8B" w:rsidP="000D0955">
      <w:pPr>
        <w:pStyle w:val="ListParagraph"/>
        <w:numPr>
          <w:ilvl w:val="0"/>
          <w:numId w:val="27"/>
        </w:numPr>
        <w:rPr>
          <w:lang w:val="en"/>
        </w:rPr>
      </w:pPr>
      <w:r w:rsidRPr="005466C9">
        <w:rPr>
          <w:lang w:val="en"/>
        </w:rPr>
        <w:t>facial tissues</w:t>
      </w:r>
    </w:p>
    <w:p w14:paraId="3AAF02D8" w14:textId="77777777" w:rsidR="00907C8B" w:rsidRPr="005466C9" w:rsidRDefault="00907C8B" w:rsidP="000D0955">
      <w:pPr>
        <w:pStyle w:val="ListParagraph"/>
        <w:numPr>
          <w:ilvl w:val="0"/>
          <w:numId w:val="27"/>
        </w:numPr>
        <w:rPr>
          <w:lang w:val="en"/>
        </w:rPr>
      </w:pPr>
      <w:r w:rsidRPr="005466C9">
        <w:rPr>
          <w:lang w:val="en"/>
        </w:rPr>
        <w:t>nail care products including nail polish and remover</w:t>
      </w:r>
    </w:p>
    <w:p w14:paraId="670CF2D5" w14:textId="77777777" w:rsidR="00907C8B" w:rsidRPr="00C20D77" w:rsidRDefault="00907C8B" w:rsidP="005466C9">
      <w:pPr>
        <w:rPr>
          <w:lang w:val="en"/>
        </w:rPr>
      </w:pPr>
      <w:r w:rsidRPr="00C20D77">
        <w:rPr>
          <w:b/>
          <w:bCs/>
          <w:lang w:val="en"/>
        </w:rPr>
        <w:t xml:space="preserve">Tattoo ink </w:t>
      </w:r>
      <w:r>
        <w:rPr>
          <w:b/>
          <w:bCs/>
          <w:lang w:val="en"/>
        </w:rPr>
        <w:t xml:space="preserve">products </w:t>
      </w:r>
      <w:r w:rsidRPr="00C20D77">
        <w:rPr>
          <w:lang w:val="en"/>
        </w:rPr>
        <w:t xml:space="preserve">means an end use in a combination of industrial chemicals that </w:t>
      </w:r>
      <w:r w:rsidR="000E4963">
        <w:rPr>
          <w:lang w:val="en"/>
        </w:rPr>
        <w:t>c</w:t>
      </w:r>
      <w:r w:rsidRPr="00C20D77">
        <w:rPr>
          <w:lang w:val="en"/>
        </w:rPr>
        <w:t>ontains one or more colouring agents and is applied to the dermal layer of the skin for the purposes of colouring the skin. Examples include:</w:t>
      </w:r>
    </w:p>
    <w:p w14:paraId="76CCB176" w14:textId="77777777" w:rsidR="00907C8B" w:rsidRPr="005466C9" w:rsidRDefault="00907C8B" w:rsidP="000D0955">
      <w:pPr>
        <w:pStyle w:val="ListParagraph"/>
        <w:numPr>
          <w:ilvl w:val="0"/>
          <w:numId w:val="28"/>
        </w:numPr>
        <w:rPr>
          <w:lang w:val="en"/>
        </w:rPr>
      </w:pPr>
      <w:r w:rsidRPr="005466C9">
        <w:rPr>
          <w:lang w:val="en"/>
        </w:rPr>
        <w:t>pigments</w:t>
      </w:r>
    </w:p>
    <w:p w14:paraId="25C10523" w14:textId="77777777" w:rsidR="00907C8B" w:rsidRPr="005466C9" w:rsidRDefault="00907C8B" w:rsidP="000D0955">
      <w:pPr>
        <w:pStyle w:val="ListParagraph"/>
        <w:numPr>
          <w:ilvl w:val="0"/>
          <w:numId w:val="28"/>
        </w:numPr>
        <w:rPr>
          <w:lang w:val="en"/>
        </w:rPr>
      </w:pPr>
      <w:r w:rsidRPr="005466C9">
        <w:rPr>
          <w:lang w:val="en"/>
        </w:rPr>
        <w:t>dyes</w:t>
      </w:r>
    </w:p>
    <w:p w14:paraId="78EEE08F" w14:textId="77777777" w:rsidR="00907C8B" w:rsidRPr="005466C9" w:rsidRDefault="00907C8B" w:rsidP="000D0955">
      <w:pPr>
        <w:pStyle w:val="ListParagraph"/>
        <w:numPr>
          <w:ilvl w:val="0"/>
          <w:numId w:val="28"/>
        </w:numPr>
        <w:rPr>
          <w:lang w:val="en"/>
        </w:rPr>
      </w:pPr>
      <w:r w:rsidRPr="005466C9">
        <w:rPr>
          <w:lang w:val="en"/>
        </w:rPr>
        <w:t>resins</w:t>
      </w:r>
    </w:p>
    <w:p w14:paraId="7F29CDC6" w14:textId="77777777" w:rsidR="00907C8B" w:rsidRPr="00C20D77" w:rsidRDefault="00907C8B" w:rsidP="005466C9">
      <w:pPr>
        <w:rPr>
          <w:lang w:val="en"/>
        </w:rPr>
      </w:pPr>
      <w:r w:rsidRPr="00C20D77">
        <w:rPr>
          <w:b/>
          <w:bCs/>
          <w:lang w:val="en"/>
        </w:rPr>
        <w:t xml:space="preserve">Paint and coating </w:t>
      </w:r>
      <w:r>
        <w:rPr>
          <w:b/>
          <w:bCs/>
          <w:lang w:val="en"/>
        </w:rPr>
        <w:t xml:space="preserve">products </w:t>
      </w:r>
      <w:r w:rsidRPr="00C20D77">
        <w:rPr>
          <w:lang w:val="en"/>
        </w:rPr>
        <w:t>means an end use to paint or coat substrates intended for consumer or commercial use. Examples include:</w:t>
      </w:r>
    </w:p>
    <w:p w14:paraId="01C820A4" w14:textId="77777777" w:rsidR="00907C8B" w:rsidRPr="005466C9" w:rsidRDefault="00907C8B" w:rsidP="000D0955">
      <w:pPr>
        <w:pStyle w:val="ListParagraph"/>
        <w:numPr>
          <w:ilvl w:val="0"/>
          <w:numId w:val="29"/>
        </w:numPr>
        <w:rPr>
          <w:lang w:val="en"/>
        </w:rPr>
      </w:pPr>
      <w:r w:rsidRPr="005466C9">
        <w:rPr>
          <w:lang w:val="en"/>
        </w:rPr>
        <w:t>decorative coatings</w:t>
      </w:r>
    </w:p>
    <w:p w14:paraId="7598E2DB" w14:textId="77777777" w:rsidR="00907C8B" w:rsidRPr="005466C9" w:rsidRDefault="00907C8B" w:rsidP="000D0955">
      <w:pPr>
        <w:pStyle w:val="ListParagraph"/>
        <w:numPr>
          <w:ilvl w:val="0"/>
          <w:numId w:val="29"/>
        </w:numPr>
        <w:rPr>
          <w:lang w:val="en"/>
        </w:rPr>
      </w:pPr>
      <w:r w:rsidRPr="005466C9">
        <w:rPr>
          <w:lang w:val="en"/>
        </w:rPr>
        <w:t>automotive coatings</w:t>
      </w:r>
    </w:p>
    <w:p w14:paraId="0543DD02" w14:textId="77777777" w:rsidR="00907C8B" w:rsidRPr="005466C9" w:rsidRDefault="00907C8B" w:rsidP="000D0955">
      <w:pPr>
        <w:pStyle w:val="ListParagraph"/>
        <w:numPr>
          <w:ilvl w:val="0"/>
          <w:numId w:val="29"/>
        </w:numPr>
        <w:rPr>
          <w:lang w:val="en"/>
        </w:rPr>
      </w:pPr>
      <w:r w:rsidRPr="005466C9">
        <w:rPr>
          <w:lang w:val="en"/>
        </w:rPr>
        <w:t>transportation coatings</w:t>
      </w:r>
    </w:p>
    <w:p w14:paraId="17823A12" w14:textId="77777777" w:rsidR="00907C8B" w:rsidRPr="005466C9" w:rsidRDefault="00907C8B" w:rsidP="000D0955">
      <w:pPr>
        <w:pStyle w:val="ListParagraph"/>
        <w:numPr>
          <w:ilvl w:val="0"/>
          <w:numId w:val="29"/>
        </w:numPr>
        <w:rPr>
          <w:lang w:val="en"/>
        </w:rPr>
      </w:pPr>
      <w:r w:rsidRPr="005466C9">
        <w:rPr>
          <w:lang w:val="en"/>
        </w:rPr>
        <w:t>wood finishes</w:t>
      </w:r>
    </w:p>
    <w:p w14:paraId="79FA7BAF" w14:textId="77777777" w:rsidR="00907C8B" w:rsidRPr="005466C9" w:rsidRDefault="00907C8B" w:rsidP="000D0955">
      <w:pPr>
        <w:pStyle w:val="ListParagraph"/>
        <w:numPr>
          <w:ilvl w:val="0"/>
          <w:numId w:val="29"/>
        </w:numPr>
        <w:rPr>
          <w:lang w:val="en"/>
        </w:rPr>
      </w:pPr>
      <w:r w:rsidRPr="005466C9">
        <w:rPr>
          <w:lang w:val="en"/>
        </w:rPr>
        <w:t>powder coatings</w:t>
      </w:r>
    </w:p>
    <w:p w14:paraId="1967DCCA" w14:textId="77777777" w:rsidR="00907C8B" w:rsidRPr="005466C9" w:rsidRDefault="00907C8B" w:rsidP="000D0955">
      <w:pPr>
        <w:pStyle w:val="ListParagraph"/>
        <w:numPr>
          <w:ilvl w:val="0"/>
          <w:numId w:val="29"/>
        </w:numPr>
        <w:rPr>
          <w:lang w:val="en"/>
        </w:rPr>
      </w:pPr>
      <w:r w:rsidRPr="005466C9">
        <w:rPr>
          <w:lang w:val="en"/>
        </w:rPr>
        <w:t>coil coatings</w:t>
      </w:r>
    </w:p>
    <w:p w14:paraId="408E00BB" w14:textId="77777777" w:rsidR="00907C8B" w:rsidRPr="005466C9" w:rsidRDefault="00907C8B" w:rsidP="000D0955">
      <w:pPr>
        <w:pStyle w:val="ListParagraph"/>
        <w:numPr>
          <w:ilvl w:val="0"/>
          <w:numId w:val="29"/>
        </w:numPr>
        <w:rPr>
          <w:lang w:val="en"/>
        </w:rPr>
      </w:pPr>
      <w:r w:rsidRPr="005466C9">
        <w:rPr>
          <w:lang w:val="en"/>
        </w:rPr>
        <w:lastRenderedPageBreak/>
        <w:t>packaging finishes</w:t>
      </w:r>
    </w:p>
    <w:p w14:paraId="22BEED7D" w14:textId="77777777" w:rsidR="00907C8B" w:rsidRPr="005466C9" w:rsidRDefault="00907C8B" w:rsidP="000D0955">
      <w:pPr>
        <w:pStyle w:val="ListParagraph"/>
        <w:numPr>
          <w:ilvl w:val="0"/>
          <w:numId w:val="29"/>
        </w:numPr>
        <w:rPr>
          <w:lang w:val="en"/>
        </w:rPr>
      </w:pPr>
      <w:r w:rsidRPr="005466C9">
        <w:rPr>
          <w:lang w:val="en"/>
        </w:rPr>
        <w:t>general industrial coatings</w:t>
      </w:r>
    </w:p>
    <w:p w14:paraId="11A988F0" w14:textId="77777777" w:rsidR="00907C8B" w:rsidRPr="005466C9" w:rsidRDefault="00907C8B" w:rsidP="000D0955">
      <w:pPr>
        <w:pStyle w:val="ListParagraph"/>
        <w:numPr>
          <w:ilvl w:val="0"/>
          <w:numId w:val="29"/>
        </w:numPr>
        <w:rPr>
          <w:lang w:val="en"/>
        </w:rPr>
      </w:pPr>
      <w:r w:rsidRPr="005466C9">
        <w:rPr>
          <w:lang w:val="en"/>
        </w:rPr>
        <w:t>automotive refinish</w:t>
      </w:r>
    </w:p>
    <w:p w14:paraId="2FF71F54" w14:textId="77777777" w:rsidR="00907C8B" w:rsidRPr="005466C9" w:rsidRDefault="00907C8B" w:rsidP="000D0955">
      <w:pPr>
        <w:pStyle w:val="ListParagraph"/>
        <w:numPr>
          <w:ilvl w:val="0"/>
          <w:numId w:val="29"/>
        </w:numPr>
        <w:rPr>
          <w:lang w:val="en"/>
        </w:rPr>
      </w:pPr>
      <w:r w:rsidRPr="005466C9">
        <w:rPr>
          <w:lang w:val="en"/>
        </w:rPr>
        <w:t>industrial maintenance and protective coatings</w:t>
      </w:r>
    </w:p>
    <w:p w14:paraId="36799F93" w14:textId="77777777" w:rsidR="00907C8B" w:rsidRPr="005466C9" w:rsidRDefault="00907C8B" w:rsidP="000D0955">
      <w:pPr>
        <w:pStyle w:val="ListParagraph"/>
        <w:numPr>
          <w:ilvl w:val="0"/>
          <w:numId w:val="29"/>
        </w:numPr>
        <w:rPr>
          <w:lang w:val="en"/>
        </w:rPr>
      </w:pPr>
      <w:r w:rsidRPr="005466C9">
        <w:rPr>
          <w:lang w:val="en"/>
        </w:rPr>
        <w:t>marine coatings</w:t>
      </w:r>
    </w:p>
    <w:p w14:paraId="72EB9DDF" w14:textId="77777777" w:rsidR="00907C8B" w:rsidRPr="005466C9" w:rsidRDefault="00907C8B" w:rsidP="000D0955">
      <w:pPr>
        <w:pStyle w:val="ListParagraph"/>
        <w:numPr>
          <w:ilvl w:val="0"/>
          <w:numId w:val="29"/>
        </w:numPr>
        <w:rPr>
          <w:lang w:val="en"/>
        </w:rPr>
      </w:pPr>
      <w:r w:rsidRPr="005466C9">
        <w:rPr>
          <w:lang w:val="en"/>
        </w:rPr>
        <w:t>thinners</w:t>
      </w:r>
    </w:p>
    <w:p w14:paraId="54145B30" w14:textId="77777777" w:rsidR="00907C8B" w:rsidRPr="005466C9" w:rsidRDefault="00907C8B" w:rsidP="000D0955">
      <w:pPr>
        <w:pStyle w:val="ListParagraph"/>
        <w:numPr>
          <w:ilvl w:val="0"/>
          <w:numId w:val="29"/>
        </w:numPr>
        <w:rPr>
          <w:lang w:val="en"/>
        </w:rPr>
      </w:pPr>
      <w:r w:rsidRPr="005466C9">
        <w:rPr>
          <w:lang w:val="en"/>
        </w:rPr>
        <w:t>removers</w:t>
      </w:r>
    </w:p>
    <w:p w14:paraId="2BFB1EEC" w14:textId="77777777" w:rsidR="00907C8B" w:rsidRPr="00C20D77" w:rsidRDefault="00907C8B" w:rsidP="005466C9">
      <w:pPr>
        <w:rPr>
          <w:lang w:val="en"/>
        </w:rPr>
      </w:pPr>
      <w:r w:rsidRPr="00C20D77">
        <w:rPr>
          <w:b/>
          <w:bCs/>
          <w:lang w:val="en"/>
        </w:rPr>
        <w:t xml:space="preserve">Plastic and polymer </w:t>
      </w:r>
      <w:r>
        <w:rPr>
          <w:b/>
          <w:bCs/>
          <w:lang w:val="en"/>
        </w:rPr>
        <w:t>products</w:t>
      </w:r>
      <w:r w:rsidRPr="00C20D77">
        <w:rPr>
          <w:b/>
          <w:bCs/>
          <w:lang w:val="en"/>
        </w:rPr>
        <w:t xml:space="preserve"> </w:t>
      </w:r>
      <w:r w:rsidRPr="00C20D77">
        <w:rPr>
          <w:lang w:val="en"/>
        </w:rPr>
        <w:t xml:space="preserve">means an end use in </w:t>
      </w:r>
      <w:r>
        <w:rPr>
          <w:lang w:val="en"/>
        </w:rPr>
        <w:t>production</w:t>
      </w:r>
      <w:r w:rsidRPr="00C20D77">
        <w:rPr>
          <w:lang w:val="en"/>
        </w:rPr>
        <w:t xml:space="preserve"> of plastics or polymers. Examples include:</w:t>
      </w:r>
    </w:p>
    <w:p w14:paraId="5BDE1F72" w14:textId="77777777" w:rsidR="00907C8B" w:rsidRPr="009365EE" w:rsidRDefault="00907C8B" w:rsidP="000D0955">
      <w:pPr>
        <w:pStyle w:val="ListParagraph"/>
        <w:numPr>
          <w:ilvl w:val="0"/>
          <w:numId w:val="30"/>
        </w:numPr>
        <w:rPr>
          <w:lang w:val="en"/>
        </w:rPr>
      </w:pPr>
      <w:r w:rsidRPr="009365EE">
        <w:rPr>
          <w:lang w:val="en"/>
        </w:rPr>
        <w:t>monomers</w:t>
      </w:r>
    </w:p>
    <w:p w14:paraId="73693ED7" w14:textId="77777777" w:rsidR="00907C8B" w:rsidRPr="009365EE" w:rsidRDefault="00907C8B" w:rsidP="000D0955">
      <w:pPr>
        <w:pStyle w:val="ListParagraph"/>
        <w:numPr>
          <w:ilvl w:val="0"/>
          <w:numId w:val="30"/>
        </w:numPr>
        <w:rPr>
          <w:lang w:val="en"/>
        </w:rPr>
      </w:pPr>
      <w:r w:rsidRPr="009365EE">
        <w:rPr>
          <w:lang w:val="en"/>
        </w:rPr>
        <w:t>initiators</w:t>
      </w:r>
    </w:p>
    <w:p w14:paraId="279CA38F" w14:textId="77777777" w:rsidR="00907C8B" w:rsidRPr="009365EE" w:rsidRDefault="00907C8B" w:rsidP="000D0955">
      <w:pPr>
        <w:pStyle w:val="ListParagraph"/>
        <w:numPr>
          <w:ilvl w:val="0"/>
          <w:numId w:val="30"/>
        </w:numPr>
        <w:rPr>
          <w:lang w:val="en"/>
        </w:rPr>
      </w:pPr>
      <w:r w:rsidRPr="009365EE">
        <w:rPr>
          <w:lang w:val="en"/>
        </w:rPr>
        <w:t>additives</w:t>
      </w:r>
    </w:p>
    <w:p w14:paraId="3F3B7CB1" w14:textId="77777777" w:rsidR="00907C8B" w:rsidRPr="00C20D77" w:rsidRDefault="00907C8B" w:rsidP="009365EE">
      <w:pPr>
        <w:rPr>
          <w:lang w:val="en"/>
        </w:rPr>
      </w:pPr>
      <w:r w:rsidRPr="00C20D77">
        <w:rPr>
          <w:b/>
          <w:bCs/>
          <w:lang w:val="en"/>
        </w:rPr>
        <w:t xml:space="preserve">Construction </w:t>
      </w:r>
      <w:r>
        <w:rPr>
          <w:b/>
          <w:bCs/>
          <w:lang w:val="en"/>
        </w:rPr>
        <w:t xml:space="preserve">products </w:t>
      </w:r>
      <w:r w:rsidRPr="000B4288">
        <w:rPr>
          <w:b/>
          <w:lang w:val="en"/>
        </w:rPr>
        <w:t>not covered by other end uses</w:t>
      </w:r>
      <w:r w:rsidRPr="00C20D77">
        <w:rPr>
          <w:lang w:val="en"/>
        </w:rPr>
        <w:t xml:space="preserve"> means an end use in construction materials, except where another </w:t>
      </w:r>
      <w:r w:rsidR="00DA6338">
        <w:rPr>
          <w:lang w:val="en"/>
        </w:rPr>
        <w:t>scenario</w:t>
      </w:r>
      <w:r w:rsidR="00DA6338" w:rsidRPr="00C20D77">
        <w:rPr>
          <w:lang w:val="en"/>
        </w:rPr>
        <w:t xml:space="preserve"> </w:t>
      </w:r>
      <w:r w:rsidRPr="00C20D77">
        <w:rPr>
          <w:lang w:val="en"/>
        </w:rPr>
        <w:t>covers the end use. Examples include:</w:t>
      </w:r>
    </w:p>
    <w:p w14:paraId="682B60AC" w14:textId="77777777" w:rsidR="00907C8B" w:rsidRPr="009365EE" w:rsidRDefault="00907C8B" w:rsidP="000D0955">
      <w:pPr>
        <w:pStyle w:val="ListParagraph"/>
        <w:numPr>
          <w:ilvl w:val="0"/>
          <w:numId w:val="31"/>
        </w:numPr>
        <w:rPr>
          <w:lang w:val="en"/>
        </w:rPr>
      </w:pPr>
      <w:r w:rsidRPr="009365EE">
        <w:rPr>
          <w:lang w:val="en"/>
        </w:rPr>
        <w:t>additives in cements and dry mortar</w:t>
      </w:r>
    </w:p>
    <w:p w14:paraId="6328A689" w14:textId="77777777" w:rsidR="00907C8B" w:rsidRPr="009365EE" w:rsidRDefault="00907C8B" w:rsidP="000D0955">
      <w:pPr>
        <w:pStyle w:val="ListParagraph"/>
        <w:numPr>
          <w:ilvl w:val="0"/>
          <w:numId w:val="31"/>
        </w:numPr>
        <w:rPr>
          <w:lang w:val="en"/>
        </w:rPr>
      </w:pPr>
      <w:r w:rsidRPr="009365EE">
        <w:rPr>
          <w:lang w:val="en"/>
        </w:rPr>
        <w:t>additives to bitumen for road repair</w:t>
      </w:r>
    </w:p>
    <w:p w14:paraId="2989BFDF" w14:textId="77777777" w:rsidR="00907C8B" w:rsidRPr="009365EE" w:rsidRDefault="00907C8B" w:rsidP="000D0955">
      <w:pPr>
        <w:pStyle w:val="ListParagraph"/>
        <w:numPr>
          <w:ilvl w:val="0"/>
          <w:numId w:val="31"/>
        </w:numPr>
        <w:rPr>
          <w:lang w:val="en"/>
        </w:rPr>
      </w:pPr>
      <w:r w:rsidRPr="009365EE">
        <w:rPr>
          <w:lang w:val="en"/>
        </w:rPr>
        <w:t>internal release agents for thermo-set laminating resins</w:t>
      </w:r>
    </w:p>
    <w:p w14:paraId="24928948" w14:textId="77777777" w:rsidR="00907C8B" w:rsidRPr="009365EE" w:rsidRDefault="00907C8B" w:rsidP="000D0955">
      <w:pPr>
        <w:pStyle w:val="ListParagraph"/>
        <w:numPr>
          <w:ilvl w:val="0"/>
          <w:numId w:val="31"/>
        </w:numPr>
        <w:rPr>
          <w:lang w:val="en"/>
        </w:rPr>
      </w:pPr>
      <w:r w:rsidRPr="009365EE">
        <w:rPr>
          <w:lang w:val="en"/>
        </w:rPr>
        <w:t>resins in particle board manufacture</w:t>
      </w:r>
    </w:p>
    <w:p w14:paraId="24A95CA2" w14:textId="77777777" w:rsidR="00907C8B" w:rsidRPr="009365EE" w:rsidRDefault="00907C8B" w:rsidP="000D0955">
      <w:pPr>
        <w:pStyle w:val="ListParagraph"/>
        <w:numPr>
          <w:ilvl w:val="0"/>
          <w:numId w:val="31"/>
        </w:numPr>
        <w:rPr>
          <w:lang w:val="en"/>
        </w:rPr>
      </w:pPr>
      <w:r w:rsidRPr="009365EE">
        <w:rPr>
          <w:lang w:val="en"/>
        </w:rPr>
        <w:t>wood substitutes used to make mouldings</w:t>
      </w:r>
    </w:p>
    <w:p w14:paraId="105385A7" w14:textId="77777777" w:rsidR="00907C8B" w:rsidRPr="009365EE" w:rsidRDefault="00907C8B" w:rsidP="000D0955">
      <w:pPr>
        <w:pStyle w:val="ListParagraph"/>
        <w:numPr>
          <w:ilvl w:val="0"/>
          <w:numId w:val="31"/>
        </w:numPr>
        <w:rPr>
          <w:lang w:val="en"/>
        </w:rPr>
      </w:pPr>
      <w:r w:rsidRPr="009365EE">
        <w:rPr>
          <w:lang w:val="en"/>
        </w:rPr>
        <w:t>resins used in the production of composite materials</w:t>
      </w:r>
    </w:p>
    <w:p w14:paraId="6F3B0020" w14:textId="77777777" w:rsidR="00907C8B" w:rsidRPr="00C20D77" w:rsidRDefault="00907C8B" w:rsidP="009365EE">
      <w:pPr>
        <w:rPr>
          <w:lang w:val="en"/>
        </w:rPr>
      </w:pPr>
      <w:r w:rsidRPr="00C20D77">
        <w:rPr>
          <w:b/>
          <w:bCs/>
          <w:lang w:val="en"/>
        </w:rPr>
        <w:t xml:space="preserve">Fabric, textile and leather products </w:t>
      </w:r>
      <w:r w:rsidRPr="000B4288">
        <w:rPr>
          <w:b/>
          <w:lang w:val="en"/>
        </w:rPr>
        <w:t>not covered by other end uses</w:t>
      </w:r>
      <w:r w:rsidRPr="00C20D77">
        <w:rPr>
          <w:lang w:val="en"/>
        </w:rPr>
        <w:t xml:space="preserve"> means an end use to impart colour and other desirable properties onto fabric, textiles, and leather products that are intended for consumer or commercial use. These properties include:</w:t>
      </w:r>
    </w:p>
    <w:p w14:paraId="4580CF20" w14:textId="77777777" w:rsidR="00907C8B" w:rsidRPr="009365EE" w:rsidRDefault="00907C8B" w:rsidP="000D0955">
      <w:pPr>
        <w:pStyle w:val="ListParagraph"/>
        <w:numPr>
          <w:ilvl w:val="0"/>
          <w:numId w:val="32"/>
        </w:numPr>
        <w:rPr>
          <w:lang w:val="en"/>
        </w:rPr>
      </w:pPr>
      <w:r w:rsidRPr="009365EE">
        <w:rPr>
          <w:lang w:val="en"/>
        </w:rPr>
        <w:t>water/soil/stain repellence</w:t>
      </w:r>
    </w:p>
    <w:p w14:paraId="7996D012" w14:textId="77777777" w:rsidR="00907C8B" w:rsidRPr="009365EE" w:rsidRDefault="00907C8B" w:rsidP="000D0955">
      <w:pPr>
        <w:pStyle w:val="ListParagraph"/>
        <w:numPr>
          <w:ilvl w:val="0"/>
          <w:numId w:val="32"/>
        </w:numPr>
        <w:rPr>
          <w:lang w:val="en"/>
        </w:rPr>
      </w:pPr>
      <w:r w:rsidRPr="009365EE">
        <w:rPr>
          <w:lang w:val="en"/>
        </w:rPr>
        <w:t>wrinkle resistance</w:t>
      </w:r>
    </w:p>
    <w:p w14:paraId="29B92D63" w14:textId="77777777" w:rsidR="00907C8B" w:rsidRPr="009365EE" w:rsidRDefault="00907C8B" w:rsidP="000D0955">
      <w:pPr>
        <w:pStyle w:val="ListParagraph"/>
        <w:numPr>
          <w:ilvl w:val="0"/>
          <w:numId w:val="32"/>
        </w:numPr>
        <w:rPr>
          <w:lang w:val="en"/>
        </w:rPr>
      </w:pPr>
      <w:r w:rsidRPr="009365EE">
        <w:rPr>
          <w:lang w:val="en"/>
        </w:rPr>
        <w:t>flame resistance</w:t>
      </w:r>
    </w:p>
    <w:p w14:paraId="400F09B4" w14:textId="77777777" w:rsidR="00907C8B" w:rsidRPr="00C20D77" w:rsidRDefault="00907C8B" w:rsidP="009365EE">
      <w:pPr>
        <w:rPr>
          <w:lang w:val="en"/>
        </w:rPr>
      </w:pPr>
      <w:r w:rsidRPr="00C20D77">
        <w:rPr>
          <w:lang w:val="en"/>
        </w:rPr>
        <w:t>Examples of this type of product include:</w:t>
      </w:r>
    </w:p>
    <w:p w14:paraId="1BF416F5" w14:textId="77777777" w:rsidR="00907C8B" w:rsidRPr="009365EE" w:rsidRDefault="00907C8B" w:rsidP="000D0955">
      <w:pPr>
        <w:pStyle w:val="ListParagraph"/>
        <w:numPr>
          <w:ilvl w:val="0"/>
          <w:numId w:val="33"/>
        </w:numPr>
        <w:rPr>
          <w:lang w:val="en"/>
        </w:rPr>
      </w:pPr>
      <w:r w:rsidRPr="009365EE">
        <w:rPr>
          <w:lang w:val="en"/>
        </w:rPr>
        <w:t>textile dyes</w:t>
      </w:r>
    </w:p>
    <w:p w14:paraId="7E21834D" w14:textId="77777777" w:rsidR="00907C8B" w:rsidRPr="009365EE" w:rsidRDefault="00907C8B" w:rsidP="000D0955">
      <w:pPr>
        <w:pStyle w:val="ListParagraph"/>
        <w:numPr>
          <w:ilvl w:val="0"/>
          <w:numId w:val="33"/>
        </w:numPr>
        <w:rPr>
          <w:lang w:val="en"/>
        </w:rPr>
      </w:pPr>
      <w:r w:rsidRPr="009365EE">
        <w:rPr>
          <w:lang w:val="en"/>
        </w:rPr>
        <w:t>textile finishing agents</w:t>
      </w:r>
    </w:p>
    <w:p w14:paraId="66B71A0E" w14:textId="77777777" w:rsidR="00907C8B" w:rsidRPr="009365EE" w:rsidRDefault="00907C8B" w:rsidP="000D0955">
      <w:pPr>
        <w:pStyle w:val="ListParagraph"/>
        <w:numPr>
          <w:ilvl w:val="0"/>
          <w:numId w:val="33"/>
        </w:numPr>
        <w:rPr>
          <w:lang w:val="en"/>
        </w:rPr>
      </w:pPr>
      <w:r w:rsidRPr="009365EE">
        <w:rPr>
          <w:lang w:val="en"/>
        </w:rPr>
        <w:t>leather tanning products</w:t>
      </w:r>
    </w:p>
    <w:p w14:paraId="196F794F" w14:textId="77777777" w:rsidR="00907C8B" w:rsidRPr="009365EE" w:rsidRDefault="00907C8B" w:rsidP="000D0955">
      <w:pPr>
        <w:pStyle w:val="ListParagraph"/>
        <w:numPr>
          <w:ilvl w:val="0"/>
          <w:numId w:val="33"/>
        </w:numPr>
        <w:rPr>
          <w:lang w:val="en"/>
        </w:rPr>
      </w:pPr>
      <w:r w:rsidRPr="009365EE">
        <w:rPr>
          <w:lang w:val="en"/>
        </w:rPr>
        <w:t>leather dyes</w:t>
      </w:r>
    </w:p>
    <w:p w14:paraId="648D8697" w14:textId="77777777" w:rsidR="00907C8B" w:rsidRPr="009365EE" w:rsidRDefault="00907C8B" w:rsidP="000D0955">
      <w:pPr>
        <w:pStyle w:val="ListParagraph"/>
        <w:numPr>
          <w:ilvl w:val="0"/>
          <w:numId w:val="33"/>
        </w:numPr>
        <w:rPr>
          <w:lang w:val="en"/>
        </w:rPr>
      </w:pPr>
      <w:r w:rsidRPr="009365EE">
        <w:rPr>
          <w:lang w:val="en"/>
        </w:rPr>
        <w:t>leather finishing agents, leather conditioner and surface treatment products</w:t>
      </w:r>
    </w:p>
    <w:p w14:paraId="24714638" w14:textId="77777777" w:rsidR="00907C8B" w:rsidRPr="00C20D77" w:rsidRDefault="00907C8B" w:rsidP="009365EE">
      <w:pPr>
        <w:rPr>
          <w:lang w:val="en"/>
        </w:rPr>
      </w:pPr>
      <w:r w:rsidRPr="00C20D77">
        <w:rPr>
          <w:b/>
          <w:bCs/>
          <w:lang w:val="en"/>
        </w:rPr>
        <w:t xml:space="preserve">Electronic </w:t>
      </w:r>
      <w:r>
        <w:rPr>
          <w:b/>
          <w:bCs/>
          <w:lang w:val="en"/>
        </w:rPr>
        <w:t>products</w:t>
      </w:r>
      <w:r w:rsidRPr="00C20D77">
        <w:rPr>
          <w:b/>
          <w:bCs/>
          <w:lang w:val="en"/>
        </w:rPr>
        <w:t xml:space="preserve"> </w:t>
      </w:r>
      <w:r w:rsidRPr="00C20D77">
        <w:rPr>
          <w:lang w:val="en"/>
        </w:rPr>
        <w:t xml:space="preserve">means an end use in </w:t>
      </w:r>
      <w:r>
        <w:rPr>
          <w:lang w:val="en"/>
        </w:rPr>
        <w:t>the production</w:t>
      </w:r>
      <w:r w:rsidRPr="00C20D77">
        <w:rPr>
          <w:lang w:val="en"/>
        </w:rPr>
        <w:t xml:space="preserve"> of electronic components. Examples include:</w:t>
      </w:r>
    </w:p>
    <w:p w14:paraId="289F9362" w14:textId="77777777" w:rsidR="00907C8B" w:rsidRPr="009365EE" w:rsidRDefault="00907C8B" w:rsidP="000D0955">
      <w:pPr>
        <w:pStyle w:val="ListParagraph"/>
        <w:numPr>
          <w:ilvl w:val="0"/>
          <w:numId w:val="34"/>
        </w:numPr>
        <w:rPr>
          <w:lang w:val="en"/>
        </w:rPr>
      </w:pPr>
      <w:r w:rsidRPr="009365EE">
        <w:rPr>
          <w:lang w:val="en"/>
        </w:rPr>
        <w:t>chemicals in vapour deposition</w:t>
      </w:r>
    </w:p>
    <w:p w14:paraId="0CE5E38E" w14:textId="77777777" w:rsidR="00907C8B" w:rsidRPr="009365EE" w:rsidRDefault="00907C8B" w:rsidP="000D0955">
      <w:pPr>
        <w:pStyle w:val="ListParagraph"/>
        <w:numPr>
          <w:ilvl w:val="0"/>
          <w:numId w:val="34"/>
        </w:numPr>
        <w:rPr>
          <w:lang w:val="en"/>
        </w:rPr>
      </w:pPr>
      <w:r w:rsidRPr="009365EE">
        <w:rPr>
          <w:lang w:val="en"/>
        </w:rPr>
        <w:t>electroless plating</w:t>
      </w:r>
    </w:p>
    <w:p w14:paraId="6A5786F7" w14:textId="77777777" w:rsidR="00907C8B" w:rsidRPr="009365EE" w:rsidRDefault="00907C8B" w:rsidP="000D0955">
      <w:pPr>
        <w:pStyle w:val="ListParagraph"/>
        <w:numPr>
          <w:ilvl w:val="0"/>
          <w:numId w:val="34"/>
        </w:numPr>
        <w:rPr>
          <w:lang w:val="en"/>
        </w:rPr>
      </w:pPr>
      <w:r w:rsidRPr="009365EE">
        <w:rPr>
          <w:lang w:val="en"/>
        </w:rPr>
        <w:t>electroplating</w:t>
      </w:r>
    </w:p>
    <w:p w14:paraId="3AE19D67" w14:textId="77777777" w:rsidR="00907C8B" w:rsidRPr="009365EE" w:rsidRDefault="00907C8B" w:rsidP="000D0955">
      <w:pPr>
        <w:pStyle w:val="ListParagraph"/>
        <w:numPr>
          <w:ilvl w:val="0"/>
          <w:numId w:val="34"/>
        </w:numPr>
        <w:rPr>
          <w:lang w:val="en"/>
        </w:rPr>
      </w:pPr>
      <w:r w:rsidRPr="009365EE">
        <w:rPr>
          <w:lang w:val="en"/>
        </w:rPr>
        <w:t>etching</w:t>
      </w:r>
    </w:p>
    <w:p w14:paraId="7C6052EE" w14:textId="77777777" w:rsidR="00907C8B" w:rsidRPr="009365EE" w:rsidRDefault="00907C8B" w:rsidP="000D0955">
      <w:pPr>
        <w:pStyle w:val="ListParagraph"/>
        <w:numPr>
          <w:ilvl w:val="0"/>
          <w:numId w:val="34"/>
        </w:numPr>
        <w:rPr>
          <w:lang w:val="en"/>
        </w:rPr>
      </w:pPr>
      <w:r w:rsidRPr="009365EE">
        <w:rPr>
          <w:lang w:val="en"/>
        </w:rPr>
        <w:t>high vacuum evaporation/sputtering</w:t>
      </w:r>
    </w:p>
    <w:p w14:paraId="165A5E7D" w14:textId="77777777" w:rsidR="00907C8B" w:rsidRPr="009365EE" w:rsidRDefault="00907C8B" w:rsidP="000D0955">
      <w:pPr>
        <w:pStyle w:val="ListParagraph"/>
        <w:numPr>
          <w:ilvl w:val="0"/>
          <w:numId w:val="34"/>
        </w:numPr>
        <w:rPr>
          <w:lang w:val="en"/>
        </w:rPr>
      </w:pPr>
      <w:r w:rsidRPr="009365EE">
        <w:rPr>
          <w:lang w:val="en"/>
        </w:rPr>
        <w:lastRenderedPageBreak/>
        <w:t>laminate processing</w:t>
      </w:r>
    </w:p>
    <w:p w14:paraId="23E795C9" w14:textId="77777777" w:rsidR="00907C8B" w:rsidRPr="009365EE" w:rsidRDefault="00907C8B" w:rsidP="000D0955">
      <w:pPr>
        <w:pStyle w:val="ListParagraph"/>
        <w:numPr>
          <w:ilvl w:val="0"/>
          <w:numId w:val="34"/>
        </w:numPr>
        <w:rPr>
          <w:lang w:val="en"/>
        </w:rPr>
      </w:pPr>
      <w:r w:rsidRPr="009365EE">
        <w:rPr>
          <w:lang w:val="en"/>
        </w:rPr>
        <w:t>soldering</w:t>
      </w:r>
    </w:p>
    <w:p w14:paraId="066A1897" w14:textId="77777777" w:rsidR="00907C8B" w:rsidRPr="009365EE" w:rsidRDefault="00907C8B" w:rsidP="000D0955">
      <w:pPr>
        <w:pStyle w:val="ListParagraph"/>
        <w:numPr>
          <w:ilvl w:val="0"/>
          <w:numId w:val="34"/>
        </w:numPr>
        <w:rPr>
          <w:lang w:val="en"/>
        </w:rPr>
      </w:pPr>
      <w:r w:rsidRPr="009365EE">
        <w:rPr>
          <w:lang w:val="en"/>
        </w:rPr>
        <w:t>photolithography</w:t>
      </w:r>
    </w:p>
    <w:p w14:paraId="2F3E00CB" w14:textId="77777777" w:rsidR="00907C8B" w:rsidRPr="00C20D77" w:rsidRDefault="00907C8B" w:rsidP="009365EE">
      <w:pPr>
        <w:rPr>
          <w:lang w:val="en"/>
        </w:rPr>
      </w:pPr>
      <w:r w:rsidRPr="00C20D77">
        <w:rPr>
          <w:b/>
          <w:bCs/>
          <w:lang w:val="en"/>
        </w:rPr>
        <w:t xml:space="preserve">Ink, toner and colourant products </w:t>
      </w:r>
      <w:r w:rsidRPr="00C20D77">
        <w:rPr>
          <w:lang w:val="en"/>
        </w:rPr>
        <w:t>means an end use for:</w:t>
      </w:r>
    </w:p>
    <w:p w14:paraId="78B13E77" w14:textId="77777777" w:rsidR="00907C8B" w:rsidRPr="009365EE" w:rsidRDefault="00907C8B" w:rsidP="000D0955">
      <w:pPr>
        <w:pStyle w:val="ListParagraph"/>
        <w:numPr>
          <w:ilvl w:val="0"/>
          <w:numId w:val="35"/>
        </w:numPr>
        <w:rPr>
          <w:lang w:val="en"/>
        </w:rPr>
      </w:pPr>
      <w:r w:rsidRPr="009365EE">
        <w:rPr>
          <w:lang w:val="en"/>
        </w:rPr>
        <w:t>writing</w:t>
      </w:r>
    </w:p>
    <w:p w14:paraId="42B64973" w14:textId="77777777" w:rsidR="00907C8B" w:rsidRPr="009365EE" w:rsidRDefault="00907C8B" w:rsidP="000D0955">
      <w:pPr>
        <w:pStyle w:val="ListParagraph"/>
        <w:numPr>
          <w:ilvl w:val="0"/>
          <w:numId w:val="35"/>
        </w:numPr>
        <w:rPr>
          <w:lang w:val="en"/>
        </w:rPr>
      </w:pPr>
      <w:r w:rsidRPr="009365EE">
        <w:rPr>
          <w:lang w:val="en"/>
        </w:rPr>
        <w:t>printing</w:t>
      </w:r>
    </w:p>
    <w:p w14:paraId="662CA21B" w14:textId="77777777" w:rsidR="00907C8B" w:rsidRPr="009365EE" w:rsidRDefault="00907C8B" w:rsidP="000D0955">
      <w:pPr>
        <w:pStyle w:val="ListParagraph"/>
        <w:numPr>
          <w:ilvl w:val="0"/>
          <w:numId w:val="35"/>
        </w:numPr>
        <w:rPr>
          <w:lang w:val="en"/>
        </w:rPr>
      </w:pPr>
      <w:r w:rsidRPr="009365EE">
        <w:rPr>
          <w:lang w:val="en"/>
        </w:rPr>
        <w:t>creating an image on paper and other substrates</w:t>
      </w:r>
    </w:p>
    <w:p w14:paraId="5953E423" w14:textId="77777777" w:rsidR="00907C8B" w:rsidRPr="009365EE" w:rsidRDefault="00907C8B" w:rsidP="000D0955">
      <w:pPr>
        <w:pStyle w:val="ListParagraph"/>
        <w:numPr>
          <w:ilvl w:val="0"/>
          <w:numId w:val="35"/>
        </w:numPr>
        <w:rPr>
          <w:lang w:val="en"/>
        </w:rPr>
      </w:pPr>
      <w:r w:rsidRPr="009365EE">
        <w:rPr>
          <w:lang w:val="en"/>
        </w:rPr>
        <w:t>appl</w:t>
      </w:r>
      <w:r w:rsidR="00E7671A">
        <w:rPr>
          <w:lang w:val="en"/>
        </w:rPr>
        <w:t>ying</w:t>
      </w:r>
      <w:r w:rsidRPr="009365EE">
        <w:rPr>
          <w:lang w:val="en"/>
        </w:rPr>
        <w:t xml:space="preserve"> to substrates to change their colour or hide images</w:t>
      </w:r>
    </w:p>
    <w:p w14:paraId="0263F600" w14:textId="77777777" w:rsidR="00907C8B" w:rsidRPr="00C20D77" w:rsidRDefault="00907C8B" w:rsidP="009365EE">
      <w:pPr>
        <w:rPr>
          <w:lang w:val="en"/>
        </w:rPr>
      </w:pPr>
      <w:r w:rsidRPr="00C20D77">
        <w:rPr>
          <w:lang w:val="en"/>
        </w:rPr>
        <w:t>Examples of this type of product include:</w:t>
      </w:r>
    </w:p>
    <w:p w14:paraId="4FE104F6" w14:textId="77777777" w:rsidR="00907C8B" w:rsidRPr="009365EE" w:rsidRDefault="00907C8B" w:rsidP="000D0955">
      <w:pPr>
        <w:pStyle w:val="ListParagraph"/>
        <w:numPr>
          <w:ilvl w:val="0"/>
          <w:numId w:val="36"/>
        </w:numPr>
        <w:rPr>
          <w:lang w:val="en"/>
        </w:rPr>
      </w:pPr>
      <w:r w:rsidRPr="009365EE">
        <w:rPr>
          <w:lang w:val="en"/>
        </w:rPr>
        <w:t>pigmented liquid</w:t>
      </w:r>
    </w:p>
    <w:p w14:paraId="06883C99" w14:textId="77777777" w:rsidR="00907C8B" w:rsidRPr="009365EE" w:rsidRDefault="00907C8B" w:rsidP="000D0955">
      <w:pPr>
        <w:pStyle w:val="ListParagraph"/>
        <w:numPr>
          <w:ilvl w:val="0"/>
          <w:numId w:val="36"/>
        </w:numPr>
        <w:rPr>
          <w:lang w:val="en"/>
        </w:rPr>
      </w:pPr>
      <w:r w:rsidRPr="009365EE">
        <w:rPr>
          <w:lang w:val="en"/>
        </w:rPr>
        <w:t>toners or powders used in copy machines and toner/printer cartridges</w:t>
      </w:r>
    </w:p>
    <w:p w14:paraId="33895AED" w14:textId="77777777" w:rsidR="00907C8B" w:rsidRPr="009365EE" w:rsidRDefault="00907C8B" w:rsidP="000D0955">
      <w:pPr>
        <w:pStyle w:val="ListParagraph"/>
        <w:numPr>
          <w:ilvl w:val="0"/>
          <w:numId w:val="36"/>
        </w:numPr>
        <w:rPr>
          <w:lang w:val="en"/>
        </w:rPr>
      </w:pPr>
      <w:r w:rsidRPr="009365EE">
        <w:rPr>
          <w:lang w:val="en"/>
        </w:rPr>
        <w:t>inks used in writing equipment</w:t>
      </w:r>
    </w:p>
    <w:p w14:paraId="3772096B" w14:textId="77777777" w:rsidR="00907C8B" w:rsidRPr="009365EE" w:rsidRDefault="00907C8B" w:rsidP="000D0955">
      <w:pPr>
        <w:pStyle w:val="ListParagraph"/>
        <w:numPr>
          <w:ilvl w:val="0"/>
          <w:numId w:val="36"/>
        </w:numPr>
        <w:rPr>
          <w:lang w:val="en"/>
        </w:rPr>
      </w:pPr>
      <w:r w:rsidRPr="009365EE">
        <w:rPr>
          <w:lang w:val="en"/>
        </w:rPr>
        <w:t>inks for stamps and correction fluids and tapes</w:t>
      </w:r>
    </w:p>
    <w:p w14:paraId="2CE0271D" w14:textId="77777777" w:rsidR="00907C8B" w:rsidRPr="00C20D77" w:rsidRDefault="0B6AE3C6" w:rsidP="009365EE">
      <w:pPr>
        <w:rPr>
          <w:lang w:val="en"/>
        </w:rPr>
      </w:pPr>
      <w:r w:rsidRPr="26E6BBF7">
        <w:rPr>
          <w:lang w:val="en"/>
        </w:rPr>
        <w:t xml:space="preserve">This category does </w:t>
      </w:r>
      <w:r w:rsidRPr="00934AF6">
        <w:rPr>
          <w:b/>
          <w:bCs/>
          <w:lang w:val="en"/>
        </w:rPr>
        <w:t xml:space="preserve">not </w:t>
      </w:r>
      <w:r w:rsidRPr="26E6BBF7">
        <w:rPr>
          <w:lang w:val="en"/>
        </w:rPr>
        <w:t>include pigments and colourants added to paints and coatings.</w:t>
      </w:r>
    </w:p>
    <w:p w14:paraId="2E4943D3" w14:textId="77777777" w:rsidR="00907C8B" w:rsidRPr="00C20D77" w:rsidRDefault="00907C8B" w:rsidP="009365EE">
      <w:pPr>
        <w:rPr>
          <w:lang w:val="en"/>
        </w:rPr>
      </w:pPr>
      <w:r w:rsidRPr="00C20D77">
        <w:rPr>
          <w:b/>
          <w:bCs/>
          <w:lang w:val="en"/>
        </w:rPr>
        <w:t xml:space="preserve">Air care products </w:t>
      </w:r>
      <w:r w:rsidRPr="00C20D77">
        <w:rPr>
          <w:lang w:val="en"/>
        </w:rPr>
        <w:t>mea</w:t>
      </w:r>
      <w:r w:rsidR="00BB2175">
        <w:rPr>
          <w:lang w:val="en"/>
        </w:rPr>
        <w:t>ns an end use to odo</w:t>
      </w:r>
      <w:r w:rsidRPr="00C20D77">
        <w:rPr>
          <w:lang w:val="en"/>
        </w:rPr>
        <w:t>rise or deodorise indoor air in homes, offices, motor vehicles, and enclosed spaces and intended for consumer or commercial use. Examples include:</w:t>
      </w:r>
    </w:p>
    <w:p w14:paraId="4BBBC9A6" w14:textId="77777777" w:rsidR="00907C8B" w:rsidRPr="009365EE" w:rsidRDefault="00907C8B" w:rsidP="000D0955">
      <w:pPr>
        <w:pStyle w:val="ListParagraph"/>
        <w:numPr>
          <w:ilvl w:val="0"/>
          <w:numId w:val="37"/>
        </w:numPr>
        <w:rPr>
          <w:lang w:val="en"/>
        </w:rPr>
      </w:pPr>
      <w:r w:rsidRPr="009365EE">
        <w:rPr>
          <w:lang w:val="en"/>
        </w:rPr>
        <w:t>aerosol sprays</w:t>
      </w:r>
    </w:p>
    <w:p w14:paraId="7E33B087" w14:textId="77777777" w:rsidR="00907C8B" w:rsidRPr="009365EE" w:rsidRDefault="00907C8B" w:rsidP="000D0955">
      <w:pPr>
        <w:pStyle w:val="ListParagraph"/>
        <w:numPr>
          <w:ilvl w:val="0"/>
          <w:numId w:val="37"/>
        </w:numPr>
        <w:rPr>
          <w:lang w:val="en"/>
        </w:rPr>
      </w:pPr>
      <w:r w:rsidRPr="009365EE">
        <w:rPr>
          <w:lang w:val="en"/>
        </w:rPr>
        <w:t>liquid/solid/gel diffusers</w:t>
      </w:r>
    </w:p>
    <w:p w14:paraId="20083956" w14:textId="77777777" w:rsidR="00907C8B" w:rsidRPr="009365EE" w:rsidRDefault="00907C8B" w:rsidP="000D0955">
      <w:pPr>
        <w:pStyle w:val="ListParagraph"/>
        <w:numPr>
          <w:ilvl w:val="0"/>
          <w:numId w:val="37"/>
        </w:numPr>
        <w:rPr>
          <w:lang w:val="en"/>
        </w:rPr>
      </w:pPr>
      <w:r w:rsidRPr="009365EE">
        <w:rPr>
          <w:lang w:val="en"/>
        </w:rPr>
        <w:t>air fresheners</w:t>
      </w:r>
    </w:p>
    <w:p w14:paraId="768C4951" w14:textId="77777777" w:rsidR="00907C8B" w:rsidRPr="009365EE" w:rsidRDefault="00907C8B" w:rsidP="000D0955">
      <w:pPr>
        <w:pStyle w:val="ListParagraph"/>
        <w:numPr>
          <w:ilvl w:val="0"/>
          <w:numId w:val="37"/>
        </w:numPr>
        <w:rPr>
          <w:lang w:val="en"/>
        </w:rPr>
      </w:pPr>
      <w:r w:rsidRPr="009365EE">
        <w:rPr>
          <w:lang w:val="en"/>
        </w:rPr>
        <w:t>scented candles</w:t>
      </w:r>
    </w:p>
    <w:p w14:paraId="7EE5A7A7" w14:textId="77777777" w:rsidR="00907C8B" w:rsidRPr="009365EE" w:rsidRDefault="00907C8B" w:rsidP="000D0955">
      <w:pPr>
        <w:pStyle w:val="ListParagraph"/>
        <w:numPr>
          <w:ilvl w:val="0"/>
          <w:numId w:val="37"/>
        </w:numPr>
        <w:rPr>
          <w:lang w:val="en"/>
        </w:rPr>
      </w:pPr>
      <w:r w:rsidRPr="009365EE">
        <w:rPr>
          <w:lang w:val="en"/>
        </w:rPr>
        <w:t>incense</w:t>
      </w:r>
    </w:p>
    <w:p w14:paraId="4B5D9BFE" w14:textId="77777777" w:rsidR="00907C8B" w:rsidRPr="00C20D77" w:rsidRDefault="00907C8B" w:rsidP="009365EE">
      <w:pPr>
        <w:rPr>
          <w:lang w:val="en"/>
        </w:rPr>
      </w:pPr>
      <w:r w:rsidRPr="00C20D77">
        <w:rPr>
          <w:b/>
          <w:bCs/>
          <w:lang w:val="en"/>
        </w:rPr>
        <w:t xml:space="preserve">Anti-freeze and de-icing products </w:t>
      </w:r>
      <w:r w:rsidRPr="00C20D77">
        <w:rPr>
          <w:lang w:val="en"/>
        </w:rPr>
        <w:t>means an end use:</w:t>
      </w:r>
    </w:p>
    <w:p w14:paraId="61362F85" w14:textId="77777777" w:rsidR="00907C8B" w:rsidRPr="009365EE" w:rsidRDefault="00907C8B" w:rsidP="000D0955">
      <w:pPr>
        <w:pStyle w:val="ListParagraph"/>
        <w:numPr>
          <w:ilvl w:val="0"/>
          <w:numId w:val="38"/>
        </w:numPr>
        <w:rPr>
          <w:lang w:val="en"/>
        </w:rPr>
      </w:pPr>
      <w:r w:rsidRPr="009365EE">
        <w:rPr>
          <w:lang w:val="en"/>
        </w:rPr>
        <w:t>as an additive to fluids, especially water, to reduce the freezing point of the mixture</w:t>
      </w:r>
      <w:r w:rsidR="00C84AAD">
        <w:rPr>
          <w:lang w:val="en"/>
        </w:rPr>
        <w:t>, or</w:t>
      </w:r>
    </w:p>
    <w:p w14:paraId="76C9EFC2" w14:textId="77777777" w:rsidR="00907C8B" w:rsidRDefault="00907C8B" w:rsidP="000D0955">
      <w:pPr>
        <w:pStyle w:val="ListParagraph"/>
        <w:numPr>
          <w:ilvl w:val="0"/>
          <w:numId w:val="38"/>
        </w:numPr>
        <w:rPr>
          <w:lang w:val="en"/>
        </w:rPr>
      </w:pPr>
      <w:r w:rsidRPr="009365EE">
        <w:rPr>
          <w:lang w:val="en"/>
        </w:rPr>
        <w:t>applied to surfaces to melt or prevent build-up of ice</w:t>
      </w:r>
    </w:p>
    <w:p w14:paraId="3BFFDBA4" w14:textId="77777777" w:rsidR="00907C8B" w:rsidRPr="00BA5849" w:rsidRDefault="00907C8B" w:rsidP="00BA5849">
      <w:pPr>
        <w:rPr>
          <w:lang w:val="en"/>
        </w:rPr>
      </w:pPr>
      <w:r w:rsidRPr="00BA5849">
        <w:rPr>
          <w:lang w:val="en"/>
        </w:rPr>
        <w:t>Examples of this type of product include:</w:t>
      </w:r>
    </w:p>
    <w:p w14:paraId="6199E749" w14:textId="77777777" w:rsidR="00907C8B" w:rsidRPr="009365EE" w:rsidRDefault="00907C8B" w:rsidP="000D0955">
      <w:pPr>
        <w:pStyle w:val="ListParagraph"/>
        <w:numPr>
          <w:ilvl w:val="0"/>
          <w:numId w:val="38"/>
        </w:numPr>
        <w:rPr>
          <w:lang w:val="en"/>
        </w:rPr>
      </w:pPr>
      <w:r w:rsidRPr="009365EE">
        <w:rPr>
          <w:lang w:val="en"/>
        </w:rPr>
        <w:t>anti-freeze liquids</w:t>
      </w:r>
    </w:p>
    <w:p w14:paraId="684ACB03" w14:textId="77777777" w:rsidR="00907C8B" w:rsidRPr="009365EE" w:rsidRDefault="00907C8B" w:rsidP="000D0955">
      <w:pPr>
        <w:pStyle w:val="ListParagraph"/>
        <w:numPr>
          <w:ilvl w:val="0"/>
          <w:numId w:val="38"/>
        </w:numPr>
        <w:rPr>
          <w:lang w:val="en"/>
        </w:rPr>
      </w:pPr>
      <w:r w:rsidRPr="009365EE">
        <w:rPr>
          <w:lang w:val="en"/>
        </w:rPr>
        <w:t>de-icing liquids (windshield de-icers, aircraft de-icers)</w:t>
      </w:r>
    </w:p>
    <w:p w14:paraId="185B16B9" w14:textId="77777777" w:rsidR="00907C8B" w:rsidRPr="009365EE" w:rsidRDefault="00907C8B" w:rsidP="000D0955">
      <w:pPr>
        <w:pStyle w:val="ListParagraph"/>
        <w:numPr>
          <w:ilvl w:val="0"/>
          <w:numId w:val="38"/>
        </w:numPr>
        <w:rPr>
          <w:lang w:val="en"/>
        </w:rPr>
      </w:pPr>
      <w:r w:rsidRPr="009365EE">
        <w:rPr>
          <w:lang w:val="en"/>
        </w:rPr>
        <w:t>de-icing solids (ice melting crystals)</w:t>
      </w:r>
    </w:p>
    <w:p w14:paraId="79836882" w14:textId="77777777" w:rsidR="00907C8B" w:rsidRPr="009365EE" w:rsidRDefault="00907C8B" w:rsidP="000D0955">
      <w:pPr>
        <w:pStyle w:val="ListParagraph"/>
        <w:numPr>
          <w:ilvl w:val="0"/>
          <w:numId w:val="38"/>
        </w:numPr>
        <w:rPr>
          <w:lang w:val="en"/>
        </w:rPr>
      </w:pPr>
      <w:r w:rsidRPr="009365EE">
        <w:rPr>
          <w:lang w:val="en"/>
        </w:rPr>
        <w:t>lock de-icers</w:t>
      </w:r>
    </w:p>
    <w:p w14:paraId="414D30FF" w14:textId="77777777" w:rsidR="00907C8B" w:rsidRPr="00C20D77" w:rsidRDefault="00907C8B" w:rsidP="009365EE">
      <w:pPr>
        <w:rPr>
          <w:lang w:val="en"/>
        </w:rPr>
      </w:pPr>
      <w:r w:rsidRPr="00C20D77">
        <w:rPr>
          <w:b/>
          <w:bCs/>
          <w:lang w:val="en"/>
        </w:rPr>
        <w:t xml:space="preserve">Automotive care products </w:t>
      </w:r>
      <w:r w:rsidRPr="00C20D77">
        <w:rPr>
          <w:lang w:val="en"/>
        </w:rPr>
        <w:t>means an end use</w:t>
      </w:r>
      <w:r w:rsidR="00E56739">
        <w:rPr>
          <w:lang w:val="en"/>
        </w:rPr>
        <w:t xml:space="preserve"> (</w:t>
      </w:r>
      <w:r w:rsidR="00E56739" w:rsidRPr="00C20D77">
        <w:rPr>
          <w:lang w:val="en"/>
        </w:rPr>
        <w:t>intended for consumer or commercial use</w:t>
      </w:r>
      <w:r w:rsidR="00E56739">
        <w:rPr>
          <w:lang w:val="en"/>
        </w:rPr>
        <w:t>)</w:t>
      </w:r>
      <w:r w:rsidRPr="00C20D77">
        <w:rPr>
          <w:lang w:val="en"/>
        </w:rPr>
        <w:t xml:space="preserve"> to clean and care for exterior and interior surfaces of automotive vehicles. Examples include:</w:t>
      </w:r>
    </w:p>
    <w:p w14:paraId="495D8486" w14:textId="77777777" w:rsidR="00907C8B" w:rsidRPr="009365EE" w:rsidRDefault="00907C8B" w:rsidP="000D0955">
      <w:pPr>
        <w:pStyle w:val="ListParagraph"/>
        <w:numPr>
          <w:ilvl w:val="0"/>
          <w:numId w:val="39"/>
        </w:numPr>
        <w:rPr>
          <w:lang w:val="en"/>
        </w:rPr>
      </w:pPr>
      <w:r w:rsidRPr="009365EE">
        <w:rPr>
          <w:lang w:val="en"/>
        </w:rPr>
        <w:t>car waxes</w:t>
      </w:r>
    </w:p>
    <w:p w14:paraId="23B1D303" w14:textId="77777777" w:rsidR="00907C8B" w:rsidRPr="009365EE" w:rsidRDefault="00907C8B" w:rsidP="000D0955">
      <w:pPr>
        <w:pStyle w:val="ListParagraph"/>
        <w:numPr>
          <w:ilvl w:val="0"/>
          <w:numId w:val="39"/>
        </w:numPr>
        <w:rPr>
          <w:lang w:val="en"/>
        </w:rPr>
      </w:pPr>
      <w:r w:rsidRPr="009365EE">
        <w:rPr>
          <w:lang w:val="en"/>
        </w:rPr>
        <w:t>polishes</w:t>
      </w:r>
    </w:p>
    <w:p w14:paraId="77F8D4C1" w14:textId="77777777" w:rsidR="00907C8B" w:rsidRPr="009365EE" w:rsidRDefault="00907C8B" w:rsidP="000D0955">
      <w:pPr>
        <w:pStyle w:val="ListParagraph"/>
        <w:numPr>
          <w:ilvl w:val="0"/>
          <w:numId w:val="39"/>
        </w:numPr>
        <w:rPr>
          <w:lang w:val="en"/>
        </w:rPr>
      </w:pPr>
      <w:r w:rsidRPr="009365EE">
        <w:rPr>
          <w:lang w:val="en"/>
        </w:rPr>
        <w:t>waterproofing products for windshield or automotive window glass</w:t>
      </w:r>
    </w:p>
    <w:p w14:paraId="2006F8EF" w14:textId="77777777" w:rsidR="00907C8B" w:rsidRPr="009365EE" w:rsidRDefault="00907C8B" w:rsidP="000D0955">
      <w:pPr>
        <w:pStyle w:val="ListParagraph"/>
        <w:numPr>
          <w:ilvl w:val="0"/>
          <w:numId w:val="39"/>
        </w:numPr>
        <w:rPr>
          <w:lang w:val="en"/>
        </w:rPr>
      </w:pPr>
      <w:r w:rsidRPr="009365EE">
        <w:rPr>
          <w:lang w:val="en"/>
        </w:rPr>
        <w:t>cleaners</w:t>
      </w:r>
    </w:p>
    <w:p w14:paraId="4688B660" w14:textId="77777777" w:rsidR="00907C8B" w:rsidRPr="009365EE" w:rsidRDefault="00907C8B" w:rsidP="000D0955">
      <w:pPr>
        <w:pStyle w:val="ListParagraph"/>
        <w:numPr>
          <w:ilvl w:val="0"/>
          <w:numId w:val="39"/>
        </w:numPr>
        <w:rPr>
          <w:lang w:val="en"/>
        </w:rPr>
      </w:pPr>
      <w:r w:rsidRPr="009365EE">
        <w:rPr>
          <w:lang w:val="en"/>
        </w:rPr>
        <w:lastRenderedPageBreak/>
        <w:t>sealers</w:t>
      </w:r>
    </w:p>
    <w:p w14:paraId="05C95AA5" w14:textId="77777777" w:rsidR="00907C8B" w:rsidRPr="009365EE" w:rsidRDefault="00907C8B" w:rsidP="000D0955">
      <w:pPr>
        <w:pStyle w:val="ListParagraph"/>
        <w:numPr>
          <w:ilvl w:val="0"/>
          <w:numId w:val="39"/>
        </w:numPr>
        <w:rPr>
          <w:lang w:val="en"/>
        </w:rPr>
      </w:pPr>
      <w:r w:rsidRPr="009365EE">
        <w:rPr>
          <w:lang w:val="en"/>
        </w:rPr>
        <w:t>car wash solutions</w:t>
      </w:r>
    </w:p>
    <w:p w14:paraId="18A71049" w14:textId="77777777" w:rsidR="00907C8B" w:rsidRPr="009365EE" w:rsidRDefault="00907C8B" w:rsidP="000D0955">
      <w:pPr>
        <w:pStyle w:val="ListParagraph"/>
        <w:numPr>
          <w:ilvl w:val="0"/>
          <w:numId w:val="39"/>
        </w:numPr>
        <w:rPr>
          <w:lang w:val="en"/>
        </w:rPr>
      </w:pPr>
      <w:r w:rsidRPr="009365EE">
        <w:rPr>
          <w:lang w:val="en"/>
        </w:rPr>
        <w:t>vinyl/rubber/plastic protectants</w:t>
      </w:r>
    </w:p>
    <w:p w14:paraId="5C2877AA" w14:textId="77777777" w:rsidR="00907C8B" w:rsidRPr="009365EE" w:rsidRDefault="00907C8B" w:rsidP="000D0955">
      <w:pPr>
        <w:pStyle w:val="ListParagraph"/>
        <w:numPr>
          <w:ilvl w:val="0"/>
          <w:numId w:val="39"/>
        </w:numPr>
        <w:rPr>
          <w:lang w:val="en"/>
        </w:rPr>
      </w:pPr>
      <w:r w:rsidRPr="009365EE">
        <w:rPr>
          <w:lang w:val="en"/>
        </w:rPr>
        <w:t>automotive carpet and upholstery cleaners</w:t>
      </w:r>
    </w:p>
    <w:p w14:paraId="1783A8F9" w14:textId="77777777" w:rsidR="00907C8B" w:rsidRPr="009365EE" w:rsidRDefault="00907C8B" w:rsidP="000D0955">
      <w:pPr>
        <w:pStyle w:val="ListParagraph"/>
        <w:numPr>
          <w:ilvl w:val="0"/>
          <w:numId w:val="39"/>
        </w:numPr>
        <w:rPr>
          <w:lang w:val="en"/>
        </w:rPr>
      </w:pPr>
      <w:r w:rsidRPr="009365EE">
        <w:rPr>
          <w:lang w:val="en"/>
        </w:rPr>
        <w:t>wheel and t</w:t>
      </w:r>
      <w:r w:rsidR="00D71151">
        <w:rPr>
          <w:lang w:val="en"/>
        </w:rPr>
        <w:t>y</w:t>
      </w:r>
      <w:r w:rsidRPr="009365EE">
        <w:rPr>
          <w:lang w:val="en"/>
        </w:rPr>
        <w:t>re care products</w:t>
      </w:r>
    </w:p>
    <w:p w14:paraId="30F627BB" w14:textId="77777777" w:rsidR="00907C8B" w:rsidRPr="009365EE" w:rsidRDefault="00907C8B" w:rsidP="000D0955">
      <w:pPr>
        <w:pStyle w:val="ListParagraph"/>
        <w:numPr>
          <w:ilvl w:val="0"/>
          <w:numId w:val="39"/>
        </w:numPr>
        <w:rPr>
          <w:lang w:val="en"/>
        </w:rPr>
      </w:pPr>
      <w:r w:rsidRPr="009365EE">
        <w:rPr>
          <w:lang w:val="en"/>
        </w:rPr>
        <w:t>exterior trim protectants</w:t>
      </w:r>
    </w:p>
    <w:p w14:paraId="6E5F1183" w14:textId="77777777" w:rsidR="00907C8B" w:rsidRPr="009365EE" w:rsidRDefault="00907C8B" w:rsidP="000D0955">
      <w:pPr>
        <w:pStyle w:val="ListParagraph"/>
        <w:numPr>
          <w:ilvl w:val="0"/>
          <w:numId w:val="39"/>
        </w:numPr>
        <w:rPr>
          <w:lang w:val="en"/>
        </w:rPr>
      </w:pPr>
      <w:r w:rsidRPr="009365EE">
        <w:rPr>
          <w:lang w:val="en"/>
        </w:rPr>
        <w:t>touch-up paint products</w:t>
      </w:r>
    </w:p>
    <w:p w14:paraId="502FD3F6" w14:textId="77777777" w:rsidR="00907C8B" w:rsidRPr="00C20D77" w:rsidRDefault="00907C8B" w:rsidP="009365EE">
      <w:pPr>
        <w:rPr>
          <w:lang w:val="en"/>
        </w:rPr>
      </w:pPr>
      <w:r w:rsidRPr="00C20D77">
        <w:rPr>
          <w:b/>
          <w:bCs/>
          <w:lang w:val="en"/>
        </w:rPr>
        <w:t xml:space="preserve">Cleaning and furniture care products </w:t>
      </w:r>
      <w:r w:rsidRPr="00C20D77">
        <w:rPr>
          <w:lang w:val="en"/>
        </w:rPr>
        <w:t>means an end use (intended for consumer or commercial use) to:</w:t>
      </w:r>
    </w:p>
    <w:p w14:paraId="55E36A7E" w14:textId="77777777" w:rsidR="00907C8B" w:rsidRPr="009365EE" w:rsidRDefault="00F136EB" w:rsidP="000D0955">
      <w:pPr>
        <w:pStyle w:val="ListParagraph"/>
        <w:numPr>
          <w:ilvl w:val="0"/>
          <w:numId w:val="40"/>
        </w:numPr>
        <w:rPr>
          <w:lang w:val="en"/>
        </w:rPr>
      </w:pPr>
      <w:r>
        <w:rPr>
          <w:lang w:val="en"/>
        </w:rPr>
        <w:t>r</w:t>
      </w:r>
      <w:r w:rsidR="00907C8B" w:rsidRPr="009365EE">
        <w:rPr>
          <w:lang w:val="en"/>
        </w:rPr>
        <w:t>emove dirt, grease, stains, and foreign matter from furniture and furnishings</w:t>
      </w:r>
    </w:p>
    <w:p w14:paraId="107953B8" w14:textId="77777777" w:rsidR="00907C8B" w:rsidRPr="009365EE" w:rsidRDefault="00907C8B" w:rsidP="000D0955">
      <w:pPr>
        <w:pStyle w:val="ListParagraph"/>
        <w:numPr>
          <w:ilvl w:val="0"/>
          <w:numId w:val="40"/>
        </w:numPr>
        <w:rPr>
          <w:lang w:val="en"/>
        </w:rPr>
      </w:pPr>
      <w:r w:rsidRPr="009365EE">
        <w:rPr>
          <w:lang w:val="en"/>
        </w:rPr>
        <w:t>cleanse, sanitise, bleach, scour, polish, protect, or improve the appearance of surfaces</w:t>
      </w:r>
    </w:p>
    <w:p w14:paraId="198D7B8F" w14:textId="77777777" w:rsidR="00907C8B" w:rsidRPr="00C20D77" w:rsidRDefault="00907C8B" w:rsidP="009365EE">
      <w:pPr>
        <w:rPr>
          <w:lang w:val="en"/>
        </w:rPr>
      </w:pPr>
      <w:r w:rsidRPr="00C20D77">
        <w:rPr>
          <w:lang w:val="en"/>
        </w:rPr>
        <w:t>Examples include:</w:t>
      </w:r>
    </w:p>
    <w:p w14:paraId="63C9DBE3" w14:textId="77777777" w:rsidR="00907C8B" w:rsidRPr="009365EE" w:rsidRDefault="00907C8B" w:rsidP="000D0955">
      <w:pPr>
        <w:pStyle w:val="ListParagraph"/>
        <w:numPr>
          <w:ilvl w:val="0"/>
          <w:numId w:val="41"/>
        </w:numPr>
        <w:rPr>
          <w:lang w:val="en"/>
        </w:rPr>
      </w:pPr>
      <w:r w:rsidRPr="009365EE">
        <w:rPr>
          <w:lang w:val="en"/>
        </w:rPr>
        <w:t>cleaners used on glass, floors, tub and tile, ovens and drains</w:t>
      </w:r>
    </w:p>
    <w:p w14:paraId="5205837B" w14:textId="77777777" w:rsidR="00907C8B" w:rsidRPr="009365EE" w:rsidRDefault="00907C8B" w:rsidP="000D0955">
      <w:pPr>
        <w:pStyle w:val="ListParagraph"/>
        <w:numPr>
          <w:ilvl w:val="0"/>
          <w:numId w:val="41"/>
        </w:numPr>
        <w:rPr>
          <w:lang w:val="en"/>
        </w:rPr>
      </w:pPr>
      <w:r w:rsidRPr="009365EE">
        <w:rPr>
          <w:lang w:val="en"/>
        </w:rPr>
        <w:t>scouring powders</w:t>
      </w:r>
    </w:p>
    <w:p w14:paraId="3891F4BA" w14:textId="77777777" w:rsidR="00907C8B" w:rsidRPr="009365EE" w:rsidRDefault="00907C8B" w:rsidP="000D0955">
      <w:pPr>
        <w:pStyle w:val="ListParagraph"/>
        <w:numPr>
          <w:ilvl w:val="0"/>
          <w:numId w:val="41"/>
        </w:numPr>
        <w:rPr>
          <w:lang w:val="en"/>
        </w:rPr>
      </w:pPr>
      <w:r w:rsidRPr="009365EE">
        <w:rPr>
          <w:lang w:val="en"/>
        </w:rPr>
        <w:t>dusting products</w:t>
      </w:r>
    </w:p>
    <w:p w14:paraId="526664C0" w14:textId="77777777" w:rsidR="00907C8B" w:rsidRPr="009365EE" w:rsidRDefault="00907C8B" w:rsidP="000D0955">
      <w:pPr>
        <w:pStyle w:val="ListParagraph"/>
        <w:numPr>
          <w:ilvl w:val="0"/>
          <w:numId w:val="41"/>
        </w:numPr>
        <w:rPr>
          <w:lang w:val="en"/>
        </w:rPr>
      </w:pPr>
      <w:r w:rsidRPr="009365EE">
        <w:rPr>
          <w:lang w:val="en"/>
        </w:rPr>
        <w:t>waxes</w:t>
      </w:r>
    </w:p>
    <w:p w14:paraId="3D340A25" w14:textId="77777777" w:rsidR="00907C8B" w:rsidRPr="009365EE" w:rsidRDefault="00907C8B" w:rsidP="000D0955">
      <w:pPr>
        <w:pStyle w:val="ListParagraph"/>
        <w:numPr>
          <w:ilvl w:val="0"/>
          <w:numId w:val="41"/>
        </w:numPr>
        <w:rPr>
          <w:lang w:val="en"/>
        </w:rPr>
      </w:pPr>
      <w:r w:rsidRPr="009365EE">
        <w:rPr>
          <w:lang w:val="en"/>
        </w:rPr>
        <w:t>polishes</w:t>
      </w:r>
    </w:p>
    <w:p w14:paraId="1075F29A" w14:textId="77777777" w:rsidR="00907C8B" w:rsidRPr="009365EE" w:rsidRDefault="00907C8B" w:rsidP="000D0955">
      <w:pPr>
        <w:pStyle w:val="ListParagraph"/>
        <w:numPr>
          <w:ilvl w:val="0"/>
          <w:numId w:val="41"/>
        </w:numPr>
        <w:rPr>
          <w:lang w:val="en"/>
        </w:rPr>
      </w:pPr>
      <w:r w:rsidRPr="009365EE">
        <w:rPr>
          <w:lang w:val="en"/>
        </w:rPr>
        <w:t>stain repellent sprays</w:t>
      </w:r>
    </w:p>
    <w:p w14:paraId="17E8CA86" w14:textId="77777777" w:rsidR="00B750DB" w:rsidRDefault="00907C8B" w:rsidP="009365EE">
      <w:pPr>
        <w:rPr>
          <w:lang w:val="en"/>
        </w:rPr>
      </w:pPr>
      <w:r w:rsidRPr="00C20D77">
        <w:rPr>
          <w:b/>
          <w:bCs/>
          <w:lang w:val="en"/>
        </w:rPr>
        <w:t xml:space="preserve">Laundry and dishwashing products </w:t>
      </w:r>
      <w:r w:rsidRPr="00C20D77">
        <w:rPr>
          <w:lang w:val="en"/>
        </w:rPr>
        <w:t>means an end use in</w:t>
      </w:r>
      <w:r w:rsidR="00B750DB">
        <w:rPr>
          <w:lang w:val="en"/>
        </w:rPr>
        <w:t xml:space="preserve"> </w:t>
      </w:r>
      <w:r w:rsidRPr="00C20D77">
        <w:rPr>
          <w:lang w:val="en"/>
        </w:rPr>
        <w:t xml:space="preserve">liquid, granular, gel </w:t>
      </w:r>
      <w:r w:rsidR="00F136EB">
        <w:rPr>
          <w:lang w:val="en"/>
        </w:rPr>
        <w:t>or</w:t>
      </w:r>
      <w:r w:rsidR="00F136EB" w:rsidRPr="00C20D77">
        <w:rPr>
          <w:lang w:val="en"/>
        </w:rPr>
        <w:t xml:space="preserve"> </w:t>
      </w:r>
      <w:r w:rsidRPr="00C20D77">
        <w:rPr>
          <w:lang w:val="en"/>
        </w:rPr>
        <w:t>unit dose packets/tablets to</w:t>
      </w:r>
      <w:r w:rsidR="00B750DB">
        <w:rPr>
          <w:lang w:val="en"/>
        </w:rPr>
        <w:t>:</w:t>
      </w:r>
    </w:p>
    <w:p w14:paraId="58AE4295" w14:textId="77777777" w:rsidR="00907C8B" w:rsidRPr="009365EE" w:rsidRDefault="00907C8B" w:rsidP="000D0955">
      <w:pPr>
        <w:pStyle w:val="ListParagraph"/>
        <w:numPr>
          <w:ilvl w:val="0"/>
          <w:numId w:val="43"/>
        </w:numPr>
        <w:rPr>
          <w:lang w:val="en"/>
        </w:rPr>
      </w:pPr>
      <w:r w:rsidRPr="009365EE">
        <w:rPr>
          <w:lang w:val="en"/>
        </w:rPr>
        <w:t>remove food residue from dishes</w:t>
      </w:r>
    </w:p>
    <w:p w14:paraId="303D280B" w14:textId="77777777" w:rsidR="00907C8B" w:rsidRPr="009365EE" w:rsidRDefault="00907C8B" w:rsidP="000D0955">
      <w:pPr>
        <w:pStyle w:val="ListParagraph"/>
        <w:numPr>
          <w:ilvl w:val="0"/>
          <w:numId w:val="43"/>
        </w:numPr>
        <w:rPr>
          <w:lang w:val="en"/>
        </w:rPr>
      </w:pPr>
      <w:r w:rsidRPr="009365EE">
        <w:rPr>
          <w:lang w:val="en"/>
        </w:rPr>
        <w:t>remove dirt from textiles</w:t>
      </w:r>
    </w:p>
    <w:p w14:paraId="353606A3" w14:textId="77777777" w:rsidR="00907C8B" w:rsidRPr="009365EE" w:rsidRDefault="00907C8B" w:rsidP="000D0955">
      <w:pPr>
        <w:pStyle w:val="ListParagraph"/>
        <w:numPr>
          <w:ilvl w:val="0"/>
          <w:numId w:val="43"/>
        </w:numPr>
        <w:rPr>
          <w:lang w:val="en"/>
        </w:rPr>
      </w:pPr>
      <w:r w:rsidRPr="009365EE">
        <w:rPr>
          <w:lang w:val="en"/>
        </w:rPr>
        <w:t>enhance properties of textiles</w:t>
      </w:r>
    </w:p>
    <w:p w14:paraId="74A9707B" w14:textId="77777777" w:rsidR="00907C8B" w:rsidRPr="009365EE" w:rsidRDefault="00907C8B" w:rsidP="000D0955">
      <w:pPr>
        <w:pStyle w:val="ListParagraph"/>
        <w:numPr>
          <w:ilvl w:val="0"/>
          <w:numId w:val="43"/>
        </w:numPr>
        <w:rPr>
          <w:lang w:val="en"/>
        </w:rPr>
      </w:pPr>
      <w:r w:rsidRPr="009365EE">
        <w:rPr>
          <w:lang w:val="en"/>
        </w:rPr>
        <w:t>remove stains from textiles</w:t>
      </w:r>
    </w:p>
    <w:p w14:paraId="234D13A6" w14:textId="77777777" w:rsidR="00907C8B" w:rsidRPr="00C20D77" w:rsidRDefault="00907C8B" w:rsidP="009365EE">
      <w:pPr>
        <w:rPr>
          <w:lang w:val="en"/>
        </w:rPr>
      </w:pPr>
      <w:r w:rsidRPr="00C20D77">
        <w:rPr>
          <w:lang w:val="en"/>
        </w:rPr>
        <w:t>Examples include:</w:t>
      </w:r>
    </w:p>
    <w:p w14:paraId="5EF78F9C" w14:textId="77777777" w:rsidR="00907C8B" w:rsidRPr="009365EE" w:rsidRDefault="00907C8B" w:rsidP="000D0955">
      <w:pPr>
        <w:pStyle w:val="ListParagraph"/>
        <w:numPr>
          <w:ilvl w:val="0"/>
          <w:numId w:val="42"/>
        </w:numPr>
        <w:rPr>
          <w:lang w:val="en"/>
        </w:rPr>
      </w:pPr>
      <w:r w:rsidRPr="009365EE">
        <w:rPr>
          <w:lang w:val="en"/>
        </w:rPr>
        <w:t>dishwashing detergent</w:t>
      </w:r>
      <w:r w:rsidR="00F136EB">
        <w:rPr>
          <w:lang w:val="en"/>
        </w:rPr>
        <w:t>s</w:t>
      </w:r>
      <w:r w:rsidRPr="009365EE">
        <w:rPr>
          <w:lang w:val="en"/>
        </w:rPr>
        <w:t xml:space="preserve"> and laundry detergents</w:t>
      </w:r>
    </w:p>
    <w:p w14:paraId="5A4D3860" w14:textId="77777777" w:rsidR="00907C8B" w:rsidRPr="009365EE" w:rsidRDefault="00907C8B" w:rsidP="000D0955">
      <w:pPr>
        <w:pStyle w:val="ListParagraph"/>
        <w:numPr>
          <w:ilvl w:val="0"/>
          <w:numId w:val="42"/>
        </w:numPr>
        <w:rPr>
          <w:lang w:val="en"/>
        </w:rPr>
      </w:pPr>
      <w:r w:rsidRPr="009365EE">
        <w:rPr>
          <w:lang w:val="en"/>
        </w:rPr>
        <w:t>stain removers and fabric enhancers</w:t>
      </w:r>
    </w:p>
    <w:p w14:paraId="5F789982" w14:textId="77777777" w:rsidR="00907C8B" w:rsidRPr="009365EE" w:rsidRDefault="00907C8B" w:rsidP="000D0955">
      <w:pPr>
        <w:pStyle w:val="ListParagraph"/>
        <w:numPr>
          <w:ilvl w:val="0"/>
          <w:numId w:val="42"/>
        </w:numPr>
        <w:rPr>
          <w:lang w:val="en"/>
        </w:rPr>
      </w:pPr>
      <w:r w:rsidRPr="009365EE">
        <w:rPr>
          <w:lang w:val="en"/>
        </w:rPr>
        <w:t>bleach</w:t>
      </w:r>
    </w:p>
    <w:p w14:paraId="30A5F9E0" w14:textId="77777777" w:rsidR="00907C8B" w:rsidRPr="009365EE" w:rsidRDefault="00907C8B" w:rsidP="000D0955">
      <w:pPr>
        <w:pStyle w:val="ListParagraph"/>
        <w:numPr>
          <w:ilvl w:val="0"/>
          <w:numId w:val="42"/>
        </w:numPr>
        <w:rPr>
          <w:lang w:val="en"/>
        </w:rPr>
      </w:pPr>
      <w:r w:rsidRPr="009365EE">
        <w:rPr>
          <w:lang w:val="en"/>
        </w:rPr>
        <w:t>rinse aids</w:t>
      </w:r>
    </w:p>
    <w:p w14:paraId="6A6FE48F" w14:textId="77777777" w:rsidR="00907C8B" w:rsidRPr="009365EE" w:rsidRDefault="00907C8B" w:rsidP="000D0955">
      <w:pPr>
        <w:pStyle w:val="ListParagraph"/>
        <w:numPr>
          <w:ilvl w:val="0"/>
          <w:numId w:val="42"/>
        </w:numPr>
        <w:rPr>
          <w:lang w:val="en"/>
        </w:rPr>
      </w:pPr>
      <w:r w:rsidRPr="009365EE">
        <w:rPr>
          <w:lang w:val="en"/>
        </w:rPr>
        <w:t>lime and rust removers</w:t>
      </w:r>
    </w:p>
    <w:p w14:paraId="61A02826" w14:textId="77777777" w:rsidR="00907C8B" w:rsidRPr="009365EE" w:rsidRDefault="00907C8B" w:rsidP="000D0955">
      <w:pPr>
        <w:pStyle w:val="ListParagraph"/>
        <w:numPr>
          <w:ilvl w:val="0"/>
          <w:numId w:val="42"/>
        </w:numPr>
        <w:rPr>
          <w:lang w:val="en"/>
        </w:rPr>
      </w:pPr>
      <w:r w:rsidRPr="009365EE">
        <w:rPr>
          <w:lang w:val="en"/>
        </w:rPr>
        <w:t>dry cleaning products used in non-aqueous cleaning processes</w:t>
      </w:r>
    </w:p>
    <w:p w14:paraId="583130B7" w14:textId="77777777" w:rsidR="00907C8B" w:rsidRPr="00C20D77" w:rsidRDefault="00907C8B" w:rsidP="00692746">
      <w:pPr>
        <w:rPr>
          <w:lang w:val="en"/>
        </w:rPr>
      </w:pPr>
      <w:r>
        <w:rPr>
          <w:b/>
          <w:bCs/>
          <w:lang w:val="en"/>
        </w:rPr>
        <w:t>E</w:t>
      </w:r>
      <w:r w:rsidRPr="00C20D77">
        <w:rPr>
          <w:b/>
          <w:bCs/>
          <w:lang w:val="en"/>
        </w:rPr>
        <w:t xml:space="preserve">xtractive </w:t>
      </w:r>
      <w:r>
        <w:rPr>
          <w:b/>
          <w:bCs/>
          <w:lang w:val="en"/>
        </w:rPr>
        <w:t>products</w:t>
      </w:r>
      <w:r w:rsidRPr="00C20D77">
        <w:rPr>
          <w:b/>
          <w:bCs/>
          <w:lang w:val="en"/>
        </w:rPr>
        <w:t xml:space="preserve"> </w:t>
      </w:r>
      <w:r w:rsidRPr="00F136EB">
        <w:rPr>
          <w:b/>
          <w:lang w:val="en"/>
        </w:rPr>
        <w:t>not covered by other end uses</w:t>
      </w:r>
      <w:r w:rsidRPr="00C20D77">
        <w:rPr>
          <w:lang w:val="en"/>
        </w:rPr>
        <w:t xml:space="preserve"> means an end use in:</w:t>
      </w:r>
    </w:p>
    <w:p w14:paraId="7226C06F" w14:textId="77777777" w:rsidR="00907C8B" w:rsidRPr="00692746" w:rsidRDefault="00907C8B" w:rsidP="000D0955">
      <w:pPr>
        <w:pStyle w:val="ListParagraph"/>
        <w:numPr>
          <w:ilvl w:val="0"/>
          <w:numId w:val="44"/>
        </w:numPr>
        <w:rPr>
          <w:lang w:val="en"/>
        </w:rPr>
      </w:pPr>
      <w:r w:rsidRPr="00692746">
        <w:rPr>
          <w:lang w:val="en"/>
        </w:rPr>
        <w:t>mining</w:t>
      </w:r>
    </w:p>
    <w:p w14:paraId="53B14800" w14:textId="77777777" w:rsidR="00907C8B" w:rsidRPr="00692746" w:rsidRDefault="00907C8B" w:rsidP="000D0955">
      <w:pPr>
        <w:pStyle w:val="ListParagraph"/>
        <w:numPr>
          <w:ilvl w:val="0"/>
          <w:numId w:val="44"/>
        </w:numPr>
        <w:rPr>
          <w:lang w:val="en"/>
        </w:rPr>
      </w:pPr>
      <w:r w:rsidRPr="00692746">
        <w:rPr>
          <w:lang w:val="en"/>
        </w:rPr>
        <w:t>onshore drilling</w:t>
      </w:r>
    </w:p>
    <w:p w14:paraId="53241492" w14:textId="77777777" w:rsidR="00907C8B" w:rsidRPr="00692746" w:rsidRDefault="00907C8B" w:rsidP="000D0955">
      <w:pPr>
        <w:pStyle w:val="ListParagraph"/>
        <w:numPr>
          <w:ilvl w:val="0"/>
          <w:numId w:val="44"/>
        </w:numPr>
        <w:rPr>
          <w:lang w:val="en"/>
        </w:rPr>
      </w:pPr>
      <w:r w:rsidRPr="00692746">
        <w:rPr>
          <w:lang w:val="en"/>
        </w:rPr>
        <w:t>related activities such as extraction, cementing, hydraulic fracturing, refining</w:t>
      </w:r>
    </w:p>
    <w:p w14:paraId="2A360673" w14:textId="77777777" w:rsidR="00867D16" w:rsidRDefault="00867D16" w:rsidP="00692746">
      <w:pPr>
        <w:rPr>
          <w:b/>
          <w:bCs/>
          <w:lang w:val="en"/>
        </w:rPr>
      </w:pPr>
      <w:r w:rsidRPr="00C20D77">
        <w:rPr>
          <w:lang w:val="en"/>
        </w:rPr>
        <w:t>Th</w:t>
      </w:r>
      <w:r w:rsidR="005066BF">
        <w:rPr>
          <w:lang w:val="en"/>
        </w:rPr>
        <w:t>ese</w:t>
      </w:r>
      <w:r w:rsidRPr="00C20D77">
        <w:rPr>
          <w:lang w:val="en"/>
        </w:rPr>
        <w:t xml:space="preserve"> </w:t>
      </w:r>
      <w:r w:rsidR="005066BF">
        <w:rPr>
          <w:lang w:val="en"/>
        </w:rPr>
        <w:t xml:space="preserve">scenarios </w:t>
      </w:r>
      <w:r>
        <w:rPr>
          <w:lang w:val="en"/>
        </w:rPr>
        <w:t xml:space="preserve">do </w:t>
      </w:r>
      <w:r w:rsidRPr="002A4203">
        <w:rPr>
          <w:b/>
          <w:lang w:val="en"/>
        </w:rPr>
        <w:t>not</w:t>
      </w:r>
      <w:r>
        <w:rPr>
          <w:lang w:val="en"/>
        </w:rPr>
        <w:t xml:space="preserve"> include end use</w:t>
      </w:r>
      <w:r w:rsidRPr="00C20D77">
        <w:rPr>
          <w:lang w:val="en"/>
        </w:rPr>
        <w:t xml:space="preserve"> </w:t>
      </w:r>
      <w:r>
        <w:rPr>
          <w:lang w:val="en"/>
        </w:rPr>
        <w:t>in offshore drilling</w:t>
      </w:r>
      <w:r w:rsidRPr="00C20D77">
        <w:rPr>
          <w:lang w:val="en"/>
        </w:rPr>
        <w:t xml:space="preserve">. </w:t>
      </w:r>
      <w:r>
        <w:rPr>
          <w:lang w:val="en"/>
        </w:rPr>
        <w:t xml:space="preserve">This end use is </w:t>
      </w:r>
      <w:r w:rsidRPr="00C20D77">
        <w:rPr>
          <w:lang w:val="en"/>
        </w:rPr>
        <w:t xml:space="preserve">a </w:t>
      </w:r>
      <w:r w:rsidRPr="002A4203">
        <w:rPr>
          <w:i/>
          <w:lang w:val="en"/>
        </w:rPr>
        <w:t xml:space="preserve">designated kind of release </w:t>
      </w:r>
      <w:r w:rsidR="002A4203" w:rsidRPr="002A4203">
        <w:rPr>
          <w:i/>
          <w:lang w:val="en"/>
        </w:rPr>
        <w:t>in</w:t>
      </w:r>
      <w:r w:rsidRPr="002A4203">
        <w:rPr>
          <w:i/>
          <w:lang w:val="en"/>
        </w:rPr>
        <w:t>to the environment</w:t>
      </w:r>
      <w:r>
        <w:rPr>
          <w:lang w:val="en"/>
        </w:rPr>
        <w:t xml:space="preserve"> (for which you do</w:t>
      </w:r>
      <w:r w:rsidR="006C4DE0">
        <w:rPr>
          <w:lang w:val="en"/>
        </w:rPr>
        <w:t xml:space="preserve"> </w:t>
      </w:r>
      <w:r w:rsidR="006C4DE0">
        <w:rPr>
          <w:b/>
          <w:lang w:val="en"/>
        </w:rPr>
        <w:t>not</w:t>
      </w:r>
      <w:r>
        <w:rPr>
          <w:lang w:val="en"/>
        </w:rPr>
        <w:t xml:space="preserve"> calculate an ECV).</w:t>
      </w:r>
    </w:p>
    <w:p w14:paraId="75A22258" w14:textId="77777777" w:rsidR="00907C8B" w:rsidRPr="00C20D77" w:rsidRDefault="00907C8B" w:rsidP="00692746">
      <w:pPr>
        <w:rPr>
          <w:lang w:val="en"/>
        </w:rPr>
      </w:pPr>
      <w:r w:rsidRPr="00C20D77">
        <w:rPr>
          <w:b/>
          <w:bCs/>
          <w:lang w:val="en"/>
        </w:rPr>
        <w:lastRenderedPageBreak/>
        <w:t xml:space="preserve">Paper </w:t>
      </w:r>
      <w:r>
        <w:rPr>
          <w:b/>
          <w:bCs/>
          <w:lang w:val="en"/>
        </w:rPr>
        <w:t>products</w:t>
      </w:r>
      <w:r w:rsidRPr="00C20D77">
        <w:rPr>
          <w:b/>
          <w:bCs/>
          <w:lang w:val="en"/>
        </w:rPr>
        <w:t xml:space="preserve"> </w:t>
      </w:r>
      <w:r w:rsidRPr="00C20D77">
        <w:rPr>
          <w:lang w:val="en"/>
        </w:rPr>
        <w:t xml:space="preserve">means an end use in paper </w:t>
      </w:r>
      <w:r>
        <w:rPr>
          <w:lang w:val="en"/>
        </w:rPr>
        <w:t>production</w:t>
      </w:r>
      <w:r w:rsidRPr="00C20D77">
        <w:rPr>
          <w:lang w:val="en"/>
        </w:rPr>
        <w:t>. Examples include:</w:t>
      </w:r>
    </w:p>
    <w:p w14:paraId="680C8F7D" w14:textId="77777777" w:rsidR="00907C8B" w:rsidRPr="00692746" w:rsidRDefault="00907C8B" w:rsidP="000D0955">
      <w:pPr>
        <w:pStyle w:val="ListParagraph"/>
        <w:numPr>
          <w:ilvl w:val="0"/>
          <w:numId w:val="45"/>
        </w:numPr>
        <w:rPr>
          <w:lang w:val="en"/>
        </w:rPr>
      </w:pPr>
      <w:r w:rsidRPr="00692746">
        <w:rPr>
          <w:lang w:val="en"/>
        </w:rPr>
        <w:t>effluent treatment chemicals</w:t>
      </w:r>
    </w:p>
    <w:p w14:paraId="44E9A2A0" w14:textId="77777777" w:rsidR="00907C8B" w:rsidRPr="00692746" w:rsidRDefault="00907C8B" w:rsidP="000D0955">
      <w:pPr>
        <w:pStyle w:val="ListParagraph"/>
        <w:numPr>
          <w:ilvl w:val="0"/>
          <w:numId w:val="45"/>
        </w:numPr>
        <w:rPr>
          <w:lang w:val="en"/>
        </w:rPr>
      </w:pPr>
      <w:r w:rsidRPr="00692746">
        <w:rPr>
          <w:lang w:val="en"/>
        </w:rPr>
        <w:t>maintenance chemicals</w:t>
      </w:r>
    </w:p>
    <w:p w14:paraId="5210A366" w14:textId="77777777" w:rsidR="00907C8B" w:rsidRPr="00692746" w:rsidRDefault="00907C8B" w:rsidP="000D0955">
      <w:pPr>
        <w:pStyle w:val="ListParagraph"/>
        <w:numPr>
          <w:ilvl w:val="0"/>
          <w:numId w:val="45"/>
        </w:numPr>
        <w:rPr>
          <w:lang w:val="en"/>
        </w:rPr>
      </w:pPr>
      <w:r w:rsidRPr="00692746">
        <w:rPr>
          <w:lang w:val="en"/>
        </w:rPr>
        <w:t>deposit and cleaning agents</w:t>
      </w:r>
    </w:p>
    <w:p w14:paraId="635960A3" w14:textId="77777777" w:rsidR="00907C8B" w:rsidRPr="00692746" w:rsidRDefault="00907C8B" w:rsidP="000D0955">
      <w:pPr>
        <w:pStyle w:val="ListParagraph"/>
        <w:numPr>
          <w:ilvl w:val="0"/>
          <w:numId w:val="45"/>
        </w:numPr>
        <w:rPr>
          <w:lang w:val="en"/>
        </w:rPr>
      </w:pPr>
      <w:r w:rsidRPr="00692746">
        <w:rPr>
          <w:lang w:val="en"/>
        </w:rPr>
        <w:t>defoamers</w:t>
      </w:r>
    </w:p>
    <w:p w14:paraId="76DD2C39" w14:textId="77777777" w:rsidR="00907C8B" w:rsidRPr="00692746" w:rsidRDefault="00907C8B" w:rsidP="000D0955">
      <w:pPr>
        <w:pStyle w:val="ListParagraph"/>
        <w:numPr>
          <w:ilvl w:val="0"/>
          <w:numId w:val="45"/>
        </w:numPr>
        <w:rPr>
          <w:lang w:val="en"/>
        </w:rPr>
      </w:pPr>
      <w:r w:rsidRPr="00692746">
        <w:rPr>
          <w:lang w:val="en"/>
        </w:rPr>
        <w:t>surfactants</w:t>
      </w:r>
    </w:p>
    <w:p w14:paraId="1DF66CD6" w14:textId="77777777" w:rsidR="00907C8B" w:rsidRPr="00692746" w:rsidRDefault="00907C8B" w:rsidP="000D0955">
      <w:pPr>
        <w:pStyle w:val="ListParagraph"/>
        <w:numPr>
          <w:ilvl w:val="0"/>
          <w:numId w:val="45"/>
        </w:numPr>
        <w:rPr>
          <w:lang w:val="en"/>
        </w:rPr>
      </w:pPr>
      <w:r w:rsidRPr="00692746">
        <w:rPr>
          <w:lang w:val="en"/>
        </w:rPr>
        <w:t>polymeric retention aids</w:t>
      </w:r>
    </w:p>
    <w:p w14:paraId="11BA1766" w14:textId="77777777" w:rsidR="00907C8B" w:rsidRPr="00692746" w:rsidRDefault="00907C8B" w:rsidP="000D0955">
      <w:pPr>
        <w:pStyle w:val="ListParagraph"/>
        <w:numPr>
          <w:ilvl w:val="0"/>
          <w:numId w:val="45"/>
        </w:numPr>
        <w:rPr>
          <w:lang w:val="en"/>
        </w:rPr>
      </w:pPr>
      <w:r w:rsidRPr="00692746">
        <w:rPr>
          <w:lang w:val="en"/>
        </w:rPr>
        <w:t>coagulants</w:t>
      </w:r>
    </w:p>
    <w:p w14:paraId="2B206CBD" w14:textId="77777777" w:rsidR="00907C8B" w:rsidRPr="00692746" w:rsidRDefault="00907C8B" w:rsidP="000D0955">
      <w:pPr>
        <w:pStyle w:val="ListParagraph"/>
        <w:numPr>
          <w:ilvl w:val="0"/>
          <w:numId w:val="45"/>
        </w:numPr>
        <w:rPr>
          <w:lang w:val="en"/>
        </w:rPr>
      </w:pPr>
      <w:r w:rsidRPr="00692746">
        <w:rPr>
          <w:lang w:val="en"/>
        </w:rPr>
        <w:t>clay</w:t>
      </w:r>
    </w:p>
    <w:p w14:paraId="15F8497B" w14:textId="77777777" w:rsidR="00907C8B" w:rsidRPr="00692746" w:rsidRDefault="00907C8B" w:rsidP="000D0955">
      <w:pPr>
        <w:pStyle w:val="ListParagraph"/>
        <w:numPr>
          <w:ilvl w:val="0"/>
          <w:numId w:val="45"/>
        </w:numPr>
        <w:rPr>
          <w:lang w:val="en"/>
        </w:rPr>
      </w:pPr>
      <w:r w:rsidRPr="00692746">
        <w:rPr>
          <w:lang w:val="en"/>
        </w:rPr>
        <w:t>resins</w:t>
      </w:r>
    </w:p>
    <w:p w14:paraId="7127BDB6" w14:textId="77777777" w:rsidR="00907C8B" w:rsidRPr="00C20D77" w:rsidRDefault="00907C8B" w:rsidP="00692746">
      <w:pPr>
        <w:rPr>
          <w:lang w:val="en"/>
        </w:rPr>
      </w:pPr>
      <w:r w:rsidRPr="00C20D77">
        <w:rPr>
          <w:b/>
          <w:bCs/>
          <w:lang w:val="en"/>
        </w:rPr>
        <w:t xml:space="preserve">Personal care products </w:t>
      </w:r>
      <w:r w:rsidRPr="00E55B10">
        <w:rPr>
          <w:b/>
          <w:lang w:val="en"/>
        </w:rPr>
        <w:t>not covered by other end uses</w:t>
      </w:r>
      <w:r w:rsidRPr="00C20D77">
        <w:rPr>
          <w:lang w:val="en"/>
        </w:rPr>
        <w:t xml:space="preserve"> means an end use for </w:t>
      </w:r>
      <w:r w:rsidRPr="00C20D77">
        <w:rPr>
          <w:bCs/>
          <w:u w:color="436EE4" w:themeColor="text2" w:themeTint="99"/>
          <w:lang w:val="en"/>
        </w:rPr>
        <w:t>cosmetic</w:t>
      </w:r>
      <w:r w:rsidRPr="00C20D77">
        <w:rPr>
          <w:lang w:val="en"/>
        </w:rPr>
        <w:t xml:space="preserve"> use, except those covered under the </w:t>
      </w:r>
      <w:r w:rsidR="003C4C27">
        <w:rPr>
          <w:lang w:val="en"/>
        </w:rPr>
        <w:t>“</w:t>
      </w:r>
      <w:r w:rsidRPr="00C20D77">
        <w:rPr>
          <w:lang w:val="en"/>
        </w:rPr>
        <w:t>personal care products - limited environmental release end use</w:t>
      </w:r>
      <w:r w:rsidR="003C4C27">
        <w:rPr>
          <w:lang w:val="en"/>
        </w:rPr>
        <w:t>”</w:t>
      </w:r>
      <w:r w:rsidRPr="00C20D77">
        <w:rPr>
          <w:lang w:val="en"/>
        </w:rPr>
        <w:t xml:space="preserve"> </w:t>
      </w:r>
      <w:r w:rsidR="003C4C27">
        <w:rPr>
          <w:lang w:val="en"/>
        </w:rPr>
        <w:t>scenario</w:t>
      </w:r>
      <w:r w:rsidRPr="00C20D77">
        <w:rPr>
          <w:lang w:val="en"/>
        </w:rPr>
        <w:t>. Examples include:</w:t>
      </w:r>
    </w:p>
    <w:p w14:paraId="1CA5DAA4" w14:textId="77777777" w:rsidR="00907C8B" w:rsidRPr="00692746" w:rsidRDefault="00907C8B" w:rsidP="000D0955">
      <w:pPr>
        <w:pStyle w:val="ListParagraph"/>
        <w:numPr>
          <w:ilvl w:val="0"/>
          <w:numId w:val="46"/>
        </w:numPr>
        <w:rPr>
          <w:lang w:val="en"/>
        </w:rPr>
      </w:pPr>
      <w:r w:rsidRPr="00692746">
        <w:rPr>
          <w:lang w:val="en"/>
        </w:rPr>
        <w:t>bath and shower products</w:t>
      </w:r>
    </w:p>
    <w:p w14:paraId="21C1923B" w14:textId="77777777" w:rsidR="00907C8B" w:rsidRPr="00692746" w:rsidRDefault="00907C8B" w:rsidP="000D0955">
      <w:pPr>
        <w:pStyle w:val="ListParagraph"/>
        <w:numPr>
          <w:ilvl w:val="0"/>
          <w:numId w:val="46"/>
        </w:numPr>
        <w:rPr>
          <w:lang w:val="en"/>
        </w:rPr>
      </w:pPr>
      <w:r w:rsidRPr="00692746">
        <w:rPr>
          <w:lang w:val="en"/>
        </w:rPr>
        <w:t>make-up products</w:t>
      </w:r>
    </w:p>
    <w:p w14:paraId="1A13B44F" w14:textId="77777777" w:rsidR="00907C8B" w:rsidRPr="00692746" w:rsidRDefault="00907C8B" w:rsidP="000D0955">
      <w:pPr>
        <w:pStyle w:val="ListParagraph"/>
        <w:numPr>
          <w:ilvl w:val="0"/>
          <w:numId w:val="46"/>
        </w:numPr>
        <w:rPr>
          <w:lang w:val="en"/>
        </w:rPr>
      </w:pPr>
      <w:r w:rsidRPr="00692746">
        <w:rPr>
          <w:lang w:val="en"/>
        </w:rPr>
        <w:t>hair, oral and skin care products</w:t>
      </w:r>
    </w:p>
    <w:p w14:paraId="00F8EA22" w14:textId="77777777" w:rsidR="00907C8B" w:rsidRPr="00692746" w:rsidRDefault="00907C8B" w:rsidP="000D0955">
      <w:pPr>
        <w:pStyle w:val="ListParagraph"/>
        <w:numPr>
          <w:ilvl w:val="0"/>
          <w:numId w:val="46"/>
        </w:numPr>
        <w:rPr>
          <w:lang w:val="en"/>
        </w:rPr>
      </w:pPr>
      <w:r w:rsidRPr="00692746">
        <w:rPr>
          <w:lang w:val="en"/>
        </w:rPr>
        <w:t>secondary sunscreen products</w:t>
      </w:r>
    </w:p>
    <w:p w14:paraId="683ACD00" w14:textId="77777777" w:rsidR="00907C8B" w:rsidRPr="00692746" w:rsidRDefault="00907C8B" w:rsidP="000D0955">
      <w:pPr>
        <w:pStyle w:val="ListParagraph"/>
        <w:numPr>
          <w:ilvl w:val="0"/>
          <w:numId w:val="46"/>
        </w:numPr>
        <w:rPr>
          <w:lang w:val="en"/>
        </w:rPr>
      </w:pPr>
      <w:r w:rsidRPr="00692746">
        <w:rPr>
          <w:lang w:val="en"/>
        </w:rPr>
        <w:t>deodorants</w:t>
      </w:r>
    </w:p>
    <w:p w14:paraId="32D7711D" w14:textId="77777777" w:rsidR="00907C8B" w:rsidRPr="00692746" w:rsidRDefault="00907C8B" w:rsidP="000D0955">
      <w:pPr>
        <w:pStyle w:val="ListParagraph"/>
        <w:numPr>
          <w:ilvl w:val="0"/>
          <w:numId w:val="46"/>
        </w:numPr>
        <w:rPr>
          <w:lang w:val="en"/>
        </w:rPr>
      </w:pPr>
      <w:r w:rsidRPr="00692746">
        <w:rPr>
          <w:lang w:val="en"/>
        </w:rPr>
        <w:t>perfumes</w:t>
      </w:r>
    </w:p>
    <w:p w14:paraId="0E1B2AFF" w14:textId="77777777" w:rsidR="00907C8B" w:rsidRPr="00C20D77" w:rsidRDefault="00907C8B" w:rsidP="00692746">
      <w:pPr>
        <w:rPr>
          <w:lang w:val="en"/>
        </w:rPr>
      </w:pPr>
      <w:r w:rsidRPr="00C20D77">
        <w:rPr>
          <w:b/>
          <w:bCs/>
          <w:lang w:val="en"/>
        </w:rPr>
        <w:t xml:space="preserve">Photographic </w:t>
      </w:r>
      <w:r>
        <w:rPr>
          <w:b/>
          <w:bCs/>
          <w:lang w:val="en"/>
        </w:rPr>
        <w:t>products</w:t>
      </w:r>
      <w:r w:rsidRPr="00C20D77">
        <w:rPr>
          <w:b/>
          <w:bCs/>
          <w:lang w:val="en"/>
        </w:rPr>
        <w:t xml:space="preserve"> </w:t>
      </w:r>
      <w:r w:rsidRPr="00C20D77">
        <w:rPr>
          <w:lang w:val="en"/>
        </w:rPr>
        <w:t>means an end use</w:t>
      </w:r>
      <w:r w:rsidR="00C25F2D">
        <w:rPr>
          <w:lang w:val="en"/>
        </w:rPr>
        <w:t xml:space="preserve"> (</w:t>
      </w:r>
      <w:r w:rsidR="00C25F2D" w:rsidRPr="00C20D77">
        <w:rPr>
          <w:lang w:val="en"/>
        </w:rPr>
        <w:t>for consumer or commercial use</w:t>
      </w:r>
      <w:r w:rsidR="00C25F2D">
        <w:rPr>
          <w:lang w:val="en"/>
        </w:rPr>
        <w:t>)</w:t>
      </w:r>
      <w:r w:rsidR="00C25F2D" w:rsidRPr="00C20D77">
        <w:rPr>
          <w:lang w:val="en"/>
        </w:rPr>
        <w:t xml:space="preserve"> </w:t>
      </w:r>
      <w:r w:rsidRPr="00C20D77">
        <w:rPr>
          <w:lang w:val="en"/>
        </w:rPr>
        <w:t>to take photographic images, develop and process film, and make photographic prints. Examples include:</w:t>
      </w:r>
    </w:p>
    <w:p w14:paraId="434D3AB9" w14:textId="77777777" w:rsidR="00907C8B" w:rsidRPr="00692746" w:rsidRDefault="00C25F2D" w:rsidP="000D0955">
      <w:pPr>
        <w:pStyle w:val="ListParagraph"/>
        <w:numPr>
          <w:ilvl w:val="0"/>
          <w:numId w:val="47"/>
        </w:numPr>
        <w:rPr>
          <w:lang w:val="en"/>
        </w:rPr>
      </w:pPr>
      <w:r>
        <w:rPr>
          <w:lang w:val="en"/>
        </w:rPr>
        <w:t>p</w:t>
      </w:r>
      <w:r w:rsidR="00907C8B" w:rsidRPr="00692746">
        <w:rPr>
          <w:lang w:val="en"/>
        </w:rPr>
        <w:t>rocessing solutions (for developing, stopping, and fixing photos)</w:t>
      </w:r>
    </w:p>
    <w:p w14:paraId="04D2ACFE" w14:textId="77777777" w:rsidR="00907C8B" w:rsidRPr="00692746" w:rsidRDefault="00C25F2D" w:rsidP="000D0955">
      <w:pPr>
        <w:pStyle w:val="ListParagraph"/>
        <w:numPr>
          <w:ilvl w:val="0"/>
          <w:numId w:val="47"/>
        </w:numPr>
        <w:rPr>
          <w:lang w:val="en"/>
        </w:rPr>
      </w:pPr>
      <w:r>
        <w:rPr>
          <w:lang w:val="en"/>
        </w:rPr>
        <w:t>c</w:t>
      </w:r>
      <w:r w:rsidR="00907C8B" w:rsidRPr="00692746">
        <w:rPr>
          <w:lang w:val="en"/>
        </w:rPr>
        <w:t>hemicals used in the manufacture or processing of film or photographic paper</w:t>
      </w:r>
    </w:p>
    <w:p w14:paraId="21434153" w14:textId="77777777" w:rsidR="00907C8B" w:rsidRPr="00C20D77" w:rsidRDefault="00907C8B" w:rsidP="00692746">
      <w:pPr>
        <w:rPr>
          <w:lang w:val="en"/>
        </w:rPr>
      </w:pPr>
      <w:r w:rsidRPr="00C20D77">
        <w:rPr>
          <w:b/>
          <w:bCs/>
          <w:lang w:val="en"/>
        </w:rPr>
        <w:t xml:space="preserve">Water treatment products </w:t>
      </w:r>
      <w:r w:rsidRPr="00C20D77">
        <w:rPr>
          <w:lang w:val="en"/>
        </w:rPr>
        <w:t>means an end use to treat water in cooling and heating systems (including industrial heat-exchanger systems) and potable water supplies. Examples include:</w:t>
      </w:r>
    </w:p>
    <w:p w14:paraId="2C2DD7B5" w14:textId="77777777" w:rsidR="00907C8B" w:rsidRPr="00692746" w:rsidRDefault="00907C8B" w:rsidP="000D0955">
      <w:pPr>
        <w:pStyle w:val="ListParagraph"/>
        <w:numPr>
          <w:ilvl w:val="0"/>
          <w:numId w:val="48"/>
        </w:numPr>
        <w:rPr>
          <w:lang w:val="en"/>
        </w:rPr>
      </w:pPr>
      <w:r w:rsidRPr="00692746">
        <w:rPr>
          <w:lang w:val="en"/>
        </w:rPr>
        <w:t>chemicals used in pH buffers</w:t>
      </w:r>
    </w:p>
    <w:p w14:paraId="75B90A53" w14:textId="77777777" w:rsidR="00907C8B" w:rsidRPr="00692746" w:rsidRDefault="00907C8B" w:rsidP="000D0955">
      <w:pPr>
        <w:pStyle w:val="ListParagraph"/>
        <w:numPr>
          <w:ilvl w:val="0"/>
          <w:numId w:val="48"/>
        </w:numPr>
        <w:rPr>
          <w:lang w:val="en"/>
        </w:rPr>
      </w:pPr>
      <w:r w:rsidRPr="00692746">
        <w:rPr>
          <w:lang w:val="en"/>
        </w:rPr>
        <w:t>scale and corrosion inhibitors</w:t>
      </w:r>
    </w:p>
    <w:p w14:paraId="56CE0E9B" w14:textId="77777777" w:rsidR="00907C8B" w:rsidRPr="00692746" w:rsidRDefault="00907C8B" w:rsidP="000D0955">
      <w:pPr>
        <w:pStyle w:val="ListParagraph"/>
        <w:numPr>
          <w:ilvl w:val="0"/>
          <w:numId w:val="48"/>
        </w:numPr>
        <w:rPr>
          <w:lang w:val="en"/>
        </w:rPr>
      </w:pPr>
      <w:r w:rsidRPr="00692746">
        <w:rPr>
          <w:lang w:val="en"/>
        </w:rPr>
        <w:t>flocculating agents</w:t>
      </w:r>
    </w:p>
    <w:p w14:paraId="3A134546" w14:textId="77777777" w:rsidR="00907C8B" w:rsidRPr="00692746" w:rsidRDefault="00907C8B" w:rsidP="000D0955">
      <w:pPr>
        <w:pStyle w:val="ListParagraph"/>
        <w:numPr>
          <w:ilvl w:val="0"/>
          <w:numId w:val="48"/>
        </w:numPr>
        <w:rPr>
          <w:lang w:val="en"/>
        </w:rPr>
      </w:pPr>
      <w:r w:rsidRPr="00692746">
        <w:rPr>
          <w:lang w:val="en"/>
        </w:rPr>
        <w:t>ion exchange resins</w:t>
      </w:r>
    </w:p>
    <w:p w14:paraId="105556AA" w14:textId="77777777" w:rsidR="00907C8B" w:rsidRPr="00C20D77" w:rsidRDefault="00907C8B" w:rsidP="00692746">
      <w:pPr>
        <w:rPr>
          <w:lang w:val="en"/>
        </w:rPr>
      </w:pPr>
      <w:r w:rsidRPr="00C20D77">
        <w:rPr>
          <w:lang w:val="en"/>
        </w:rPr>
        <w:t xml:space="preserve">This </w:t>
      </w:r>
      <w:r w:rsidR="00C25F2D">
        <w:rPr>
          <w:lang w:val="en"/>
        </w:rPr>
        <w:t>scenario</w:t>
      </w:r>
      <w:r w:rsidR="00C25F2D" w:rsidRPr="00C20D77">
        <w:rPr>
          <w:lang w:val="en"/>
        </w:rPr>
        <w:t xml:space="preserve"> </w:t>
      </w:r>
      <w:r w:rsidRPr="00C20D77">
        <w:rPr>
          <w:lang w:val="en"/>
        </w:rPr>
        <w:t xml:space="preserve">does not include end uses to treat municipal water supplies or other large-scale water supplies for human or animal consumptions or irrigation. </w:t>
      </w:r>
      <w:r w:rsidR="00867D16">
        <w:rPr>
          <w:lang w:val="en"/>
        </w:rPr>
        <w:t xml:space="preserve">These end uses involve </w:t>
      </w:r>
      <w:r w:rsidRPr="00C20D77">
        <w:rPr>
          <w:lang w:val="en"/>
        </w:rPr>
        <w:t xml:space="preserve">a </w:t>
      </w:r>
      <w:r w:rsidRPr="00AE2797">
        <w:rPr>
          <w:i/>
          <w:lang w:val="en"/>
        </w:rPr>
        <w:t xml:space="preserve">designated kind of release </w:t>
      </w:r>
      <w:r w:rsidR="00AE2797" w:rsidRPr="00AE2797">
        <w:rPr>
          <w:i/>
          <w:lang w:val="en"/>
        </w:rPr>
        <w:t>in</w:t>
      </w:r>
      <w:r w:rsidRPr="00AE2797">
        <w:rPr>
          <w:i/>
          <w:lang w:val="en"/>
        </w:rPr>
        <w:t>to the environment</w:t>
      </w:r>
      <w:r w:rsidR="00867D16">
        <w:rPr>
          <w:lang w:val="en"/>
        </w:rPr>
        <w:t xml:space="preserve"> </w:t>
      </w:r>
      <w:r w:rsidR="006C1FB8">
        <w:rPr>
          <w:lang w:val="en"/>
        </w:rPr>
        <w:t xml:space="preserve">in accordance with the IC General Rules </w:t>
      </w:r>
      <w:r w:rsidR="00867D16">
        <w:rPr>
          <w:lang w:val="en"/>
        </w:rPr>
        <w:t xml:space="preserve">(for which you </w:t>
      </w:r>
      <w:r w:rsidR="00867D16" w:rsidRPr="00AE2797">
        <w:rPr>
          <w:lang w:val="en"/>
        </w:rPr>
        <w:t>do</w:t>
      </w:r>
      <w:r w:rsidR="00AE2797" w:rsidRPr="00AE2797">
        <w:rPr>
          <w:b/>
          <w:lang w:val="en"/>
        </w:rPr>
        <w:t xml:space="preserve"> </w:t>
      </w:r>
      <w:r w:rsidR="00867D16" w:rsidRPr="00AE2797">
        <w:rPr>
          <w:b/>
          <w:lang w:val="en"/>
        </w:rPr>
        <w:t>n</w:t>
      </w:r>
      <w:r w:rsidR="00AE2797" w:rsidRPr="00AE2797">
        <w:rPr>
          <w:b/>
          <w:lang w:val="en"/>
        </w:rPr>
        <w:t>o</w:t>
      </w:r>
      <w:r w:rsidR="00867D16" w:rsidRPr="00AE2797">
        <w:rPr>
          <w:b/>
          <w:lang w:val="en"/>
        </w:rPr>
        <w:t>t</w:t>
      </w:r>
      <w:r w:rsidR="00867D16">
        <w:rPr>
          <w:lang w:val="en"/>
        </w:rPr>
        <w:t xml:space="preserve"> calculate an </w:t>
      </w:r>
      <w:r w:rsidR="006C1FB8">
        <w:rPr>
          <w:lang w:val="en"/>
        </w:rPr>
        <w:t>environment categorisation volume</w:t>
      </w:r>
      <w:r w:rsidR="00867D16">
        <w:rPr>
          <w:lang w:val="en"/>
        </w:rPr>
        <w:t>).</w:t>
      </w:r>
    </w:p>
    <w:p w14:paraId="34EA6F21" w14:textId="77777777" w:rsidR="00907C8B" w:rsidRPr="00C20D77" w:rsidRDefault="00907C8B" w:rsidP="00907C8B">
      <w:pPr>
        <w:rPr>
          <w:lang w:val="en"/>
        </w:rPr>
      </w:pPr>
      <w:r w:rsidRPr="00C20D77">
        <w:rPr>
          <w:b/>
          <w:bCs/>
          <w:lang w:val="en"/>
        </w:rPr>
        <w:t>Personal vaporiser</w:t>
      </w:r>
      <w:r>
        <w:rPr>
          <w:b/>
          <w:bCs/>
          <w:lang w:val="en"/>
        </w:rPr>
        <w:t xml:space="preserve"> product</w:t>
      </w:r>
      <w:r w:rsidRPr="00C20D77">
        <w:rPr>
          <w:b/>
          <w:bCs/>
          <w:lang w:val="en"/>
        </w:rPr>
        <w:t xml:space="preserve">s </w:t>
      </w:r>
      <w:r w:rsidRPr="00C20D77">
        <w:rPr>
          <w:lang w:val="en"/>
        </w:rPr>
        <w:t xml:space="preserve">means an end use in </w:t>
      </w:r>
      <w:r w:rsidR="00287263" w:rsidRPr="008D511A">
        <w:t>a device that is intended to produce a vapour or aerosol that is delivered into a person’s body when the person inhales through the device</w:t>
      </w:r>
      <w:r w:rsidRPr="00C20D77">
        <w:rPr>
          <w:lang w:val="en"/>
        </w:rPr>
        <w:t>. Examples include:</w:t>
      </w:r>
    </w:p>
    <w:p w14:paraId="20B627BF" w14:textId="77777777" w:rsidR="00907C8B" w:rsidRPr="00692746" w:rsidRDefault="00907C8B" w:rsidP="000D0955">
      <w:pPr>
        <w:pStyle w:val="ListParagraph"/>
        <w:numPr>
          <w:ilvl w:val="0"/>
          <w:numId w:val="49"/>
        </w:numPr>
        <w:rPr>
          <w:lang w:val="en"/>
        </w:rPr>
      </w:pPr>
      <w:r w:rsidRPr="00692746">
        <w:rPr>
          <w:lang w:val="en"/>
        </w:rPr>
        <w:t>e-cigarettes</w:t>
      </w:r>
    </w:p>
    <w:p w14:paraId="071F8D4D" w14:textId="77777777" w:rsidR="00907C8B" w:rsidRPr="00692746" w:rsidRDefault="00907C8B" w:rsidP="000D0955">
      <w:pPr>
        <w:pStyle w:val="ListParagraph"/>
        <w:numPr>
          <w:ilvl w:val="0"/>
          <w:numId w:val="49"/>
        </w:numPr>
        <w:rPr>
          <w:lang w:val="en"/>
        </w:rPr>
      </w:pPr>
      <w:r w:rsidRPr="00692746">
        <w:rPr>
          <w:lang w:val="en"/>
        </w:rPr>
        <w:t>e-cigars</w:t>
      </w:r>
    </w:p>
    <w:p w14:paraId="607C7E50" w14:textId="77777777" w:rsidR="00907C8B" w:rsidRPr="00692746" w:rsidRDefault="00907C8B" w:rsidP="000D0955">
      <w:pPr>
        <w:pStyle w:val="ListParagraph"/>
        <w:numPr>
          <w:ilvl w:val="0"/>
          <w:numId w:val="49"/>
        </w:numPr>
        <w:rPr>
          <w:lang w:val="en"/>
        </w:rPr>
      </w:pPr>
      <w:r w:rsidRPr="00692746">
        <w:rPr>
          <w:lang w:val="en"/>
        </w:rPr>
        <w:lastRenderedPageBreak/>
        <w:t>e-hookah pens</w:t>
      </w:r>
    </w:p>
    <w:p w14:paraId="2306BDDF" w14:textId="77777777" w:rsidR="00907C8B" w:rsidRPr="00692746" w:rsidRDefault="00907C8B" w:rsidP="000D0955">
      <w:pPr>
        <w:pStyle w:val="ListParagraph"/>
        <w:numPr>
          <w:ilvl w:val="0"/>
          <w:numId w:val="49"/>
        </w:numPr>
        <w:rPr>
          <w:lang w:val="en"/>
        </w:rPr>
      </w:pPr>
      <w:r w:rsidRPr="00692746">
        <w:rPr>
          <w:lang w:val="en"/>
        </w:rPr>
        <w:t>e-pens</w:t>
      </w:r>
    </w:p>
    <w:p w14:paraId="54AEE2AF" w14:textId="77777777" w:rsidR="00907C8B" w:rsidRPr="00692746" w:rsidRDefault="00907C8B" w:rsidP="000D0955">
      <w:pPr>
        <w:pStyle w:val="ListParagraph"/>
        <w:numPr>
          <w:ilvl w:val="0"/>
          <w:numId w:val="49"/>
        </w:numPr>
        <w:rPr>
          <w:lang w:val="en"/>
        </w:rPr>
      </w:pPr>
      <w:r w:rsidRPr="00692746">
        <w:rPr>
          <w:lang w:val="en"/>
        </w:rPr>
        <w:t>e-pipes</w:t>
      </w:r>
    </w:p>
    <w:p w14:paraId="543B4923" w14:textId="77777777" w:rsidR="00907C8B" w:rsidRPr="00692746" w:rsidRDefault="00907C8B" w:rsidP="000D0955">
      <w:pPr>
        <w:pStyle w:val="ListParagraph"/>
        <w:numPr>
          <w:ilvl w:val="0"/>
          <w:numId w:val="49"/>
        </w:numPr>
        <w:rPr>
          <w:lang w:val="en"/>
        </w:rPr>
      </w:pPr>
      <w:r w:rsidRPr="00692746">
        <w:rPr>
          <w:lang w:val="en"/>
        </w:rPr>
        <w:t>vape pens</w:t>
      </w:r>
    </w:p>
    <w:p w14:paraId="01719D55" w14:textId="77777777" w:rsidR="000B5021" w:rsidRPr="000B5021" w:rsidRDefault="000B5021" w:rsidP="00330376"/>
    <w:p w14:paraId="7EAD82A4" w14:textId="77777777" w:rsidR="003F02EC" w:rsidRDefault="003F02EC" w:rsidP="00230B69">
      <w:pPr>
        <w:pStyle w:val="Heading3"/>
        <w:ind w:left="709"/>
      </w:pPr>
      <w:r w:rsidRPr="00230B69">
        <w:t>Human</w:t>
      </w:r>
      <w:r>
        <w:t xml:space="preserve"> health categorisation volume</w:t>
      </w:r>
    </w:p>
    <w:p w14:paraId="6179D9B2" w14:textId="77777777" w:rsidR="001D2757" w:rsidRPr="007C3901" w:rsidRDefault="00C44034" w:rsidP="001D2757">
      <w:pPr>
        <w:rPr>
          <w:lang w:val="en"/>
        </w:rPr>
      </w:pPr>
      <w:r>
        <w:rPr>
          <w:lang w:val="en"/>
        </w:rPr>
        <w:t>You use t</w:t>
      </w:r>
      <w:r w:rsidR="001D2757">
        <w:rPr>
          <w:lang w:val="en"/>
        </w:rPr>
        <w:t xml:space="preserve">he human health categorisation volume (HHCV) to determine the human health exposure band for your introduction. </w:t>
      </w:r>
      <w:r w:rsidR="001D2757" w:rsidRPr="007C3901">
        <w:rPr>
          <w:lang w:val="en"/>
        </w:rPr>
        <w:t xml:space="preserve">There are two methods for working out the </w:t>
      </w:r>
      <w:r w:rsidR="001D2757">
        <w:rPr>
          <w:lang w:val="en"/>
        </w:rPr>
        <w:t>HHCV</w:t>
      </w:r>
      <w:r w:rsidR="001D2757" w:rsidRPr="007C3901">
        <w:rPr>
          <w:lang w:val="en"/>
        </w:rPr>
        <w:t>.</w:t>
      </w:r>
      <w:r w:rsidR="001D2757">
        <w:rPr>
          <w:lang w:val="en"/>
        </w:rPr>
        <w:t xml:space="preserve"> You can use either method, </w:t>
      </w:r>
      <w:r w:rsidR="00E24A3D">
        <w:rPr>
          <w:lang w:val="en"/>
        </w:rPr>
        <w:t xml:space="preserve">and </w:t>
      </w:r>
      <w:r w:rsidR="001D2757">
        <w:rPr>
          <w:lang w:val="en"/>
        </w:rPr>
        <w:t xml:space="preserve">you must keep records to </w:t>
      </w:r>
      <w:r w:rsidR="00B22834">
        <w:rPr>
          <w:lang w:val="en"/>
        </w:rPr>
        <w:t>demonstrate</w:t>
      </w:r>
      <w:r w:rsidR="001D2757">
        <w:rPr>
          <w:lang w:val="en"/>
        </w:rPr>
        <w:t xml:space="preserve"> how you worked out your HHCV.</w:t>
      </w:r>
    </w:p>
    <w:p w14:paraId="1AA15A4F" w14:textId="77777777" w:rsidR="001D2757" w:rsidRPr="007C3901" w:rsidRDefault="001D2757" w:rsidP="001D2757">
      <w:pPr>
        <w:rPr>
          <w:b/>
          <w:lang w:val="en"/>
        </w:rPr>
      </w:pPr>
      <w:r w:rsidRPr="007C3901">
        <w:rPr>
          <w:b/>
          <w:lang w:val="en"/>
        </w:rPr>
        <w:t>Method 1</w:t>
      </w:r>
    </w:p>
    <w:p w14:paraId="3B12379B" w14:textId="77777777" w:rsidR="001D2757" w:rsidRPr="007C3901" w:rsidRDefault="001D2757" w:rsidP="001D2757">
      <w:pPr>
        <w:rPr>
          <w:lang w:val="en"/>
        </w:rPr>
      </w:pPr>
      <w:r w:rsidRPr="007C3901">
        <w:rPr>
          <w:lang w:val="en"/>
        </w:rPr>
        <w:t xml:space="preserve">The </w:t>
      </w:r>
      <w:r>
        <w:rPr>
          <w:lang w:val="en"/>
        </w:rPr>
        <w:t>HHCV</w:t>
      </w:r>
      <w:r w:rsidRPr="007C3901">
        <w:rPr>
          <w:lang w:val="en"/>
        </w:rPr>
        <w:t xml:space="preserve"> is </w:t>
      </w:r>
      <w:r>
        <w:rPr>
          <w:lang w:val="en"/>
        </w:rPr>
        <w:t xml:space="preserve">equal to </w:t>
      </w:r>
      <w:r w:rsidRPr="007C3901">
        <w:rPr>
          <w:lang w:val="en"/>
        </w:rPr>
        <w:t>the total volume of the industrial chemical that you will introduce in a registration year</w:t>
      </w:r>
      <w:r w:rsidR="00CE0EE5">
        <w:rPr>
          <w:lang w:val="en"/>
        </w:rPr>
        <w:t>. It is the</w:t>
      </w:r>
      <w:r w:rsidRPr="007C3901">
        <w:rPr>
          <w:lang w:val="en"/>
        </w:rPr>
        <w:t xml:space="preserve"> total introduction volume</w:t>
      </w:r>
      <w:r>
        <w:rPr>
          <w:lang w:val="en"/>
        </w:rPr>
        <w:t xml:space="preserve"> across all end uses</w:t>
      </w:r>
      <w:r w:rsidRPr="007C3901">
        <w:rPr>
          <w:lang w:val="en"/>
        </w:rPr>
        <w:t>.</w:t>
      </w:r>
    </w:p>
    <w:p w14:paraId="44EC03E9" w14:textId="77777777" w:rsidR="001D2757" w:rsidRPr="007C3901" w:rsidRDefault="001D2757" w:rsidP="001D2757">
      <w:pPr>
        <w:rPr>
          <w:b/>
          <w:lang w:val="en"/>
        </w:rPr>
      </w:pPr>
      <w:r w:rsidRPr="007C3901">
        <w:rPr>
          <w:b/>
          <w:lang w:val="en"/>
        </w:rPr>
        <w:t>Method 2</w:t>
      </w:r>
    </w:p>
    <w:p w14:paraId="2D5EC9E0" w14:textId="77777777" w:rsidR="00CE0EE5" w:rsidRDefault="00CE0EE5" w:rsidP="00330376">
      <w:r>
        <w:t>Work out t</w:t>
      </w:r>
      <w:r w:rsidR="001D2757">
        <w:t xml:space="preserve">he </w:t>
      </w:r>
      <w:r w:rsidR="002174D2">
        <w:t>HHCV</w:t>
      </w:r>
      <w:r w:rsidR="001D2757">
        <w:t xml:space="preserve"> </w:t>
      </w:r>
      <w:r w:rsidR="002174D2">
        <w:t xml:space="preserve">by multiplying the introduction volume (IV) by the default exposure </w:t>
      </w:r>
      <w:r w:rsidR="006F53CB">
        <w:t xml:space="preserve">reduction </w:t>
      </w:r>
      <w:r w:rsidR="002174D2">
        <w:t>factor (E</w:t>
      </w:r>
      <w:r w:rsidR="006F53CB">
        <w:t>R</w:t>
      </w:r>
      <w:r w:rsidR="002174D2">
        <w:t>F) relevant for the intended end use scenario</w:t>
      </w:r>
      <w:r w:rsidR="00004CD2">
        <w:t xml:space="preserve"> (refer to Table 2)</w:t>
      </w:r>
      <w:r w:rsidR="002174D2">
        <w:t xml:space="preserve">. </w:t>
      </w:r>
      <w:r w:rsidR="00BD5F85">
        <w:t xml:space="preserve">That is, </w:t>
      </w:r>
    </w:p>
    <w:p w14:paraId="2873741D" w14:textId="77777777" w:rsidR="002174D2" w:rsidRPr="00CE0EE5" w:rsidRDefault="00CE0EE5" w:rsidP="00330376">
      <w:pPr>
        <w:rPr>
          <w:rStyle w:val="Strong"/>
          <w:i/>
        </w:rPr>
      </w:pPr>
      <w:r w:rsidRPr="00CE0EE5">
        <w:rPr>
          <w:rStyle w:val="Strong"/>
          <w:i/>
        </w:rPr>
        <w:t>H</w:t>
      </w:r>
      <w:r w:rsidR="002174D2" w:rsidRPr="00CE0EE5">
        <w:rPr>
          <w:rStyle w:val="Strong"/>
          <w:i/>
        </w:rPr>
        <w:t xml:space="preserve">uman health categorisation volume (HHCV) = total introduction volume (IV) x exposure </w:t>
      </w:r>
      <w:r w:rsidR="006F53CB" w:rsidRPr="00CE0EE5">
        <w:rPr>
          <w:rStyle w:val="Strong"/>
          <w:i/>
        </w:rPr>
        <w:t xml:space="preserve">reduction </w:t>
      </w:r>
      <w:r w:rsidR="002174D2" w:rsidRPr="00CE0EE5">
        <w:rPr>
          <w:rStyle w:val="Strong"/>
          <w:i/>
        </w:rPr>
        <w:t>factor (E</w:t>
      </w:r>
      <w:r w:rsidR="006F53CB" w:rsidRPr="00CE0EE5">
        <w:rPr>
          <w:rStyle w:val="Strong"/>
          <w:i/>
        </w:rPr>
        <w:t>R</w:t>
      </w:r>
      <w:r w:rsidR="002174D2" w:rsidRPr="00CE0EE5">
        <w:rPr>
          <w:rStyle w:val="Strong"/>
          <w:i/>
        </w:rPr>
        <w:t>F)</w:t>
      </w:r>
    </w:p>
    <w:p w14:paraId="703A38ED" w14:textId="77777777" w:rsidR="00E57127" w:rsidRDefault="00CE0EE5" w:rsidP="00230B69">
      <w:pPr>
        <w:rPr>
          <w:lang w:val="en"/>
        </w:rPr>
      </w:pPr>
      <w:r>
        <w:rPr>
          <w:lang w:val="en"/>
        </w:rPr>
        <w:t xml:space="preserve">Where </w:t>
      </w:r>
      <w:r w:rsidR="00E57127">
        <w:rPr>
          <w:lang w:val="en"/>
        </w:rPr>
        <w:t xml:space="preserve">the industrial chemical </w:t>
      </w:r>
      <w:r w:rsidR="009B408B">
        <w:rPr>
          <w:lang w:val="en"/>
        </w:rPr>
        <w:t xml:space="preserve">will have </w:t>
      </w:r>
      <w:r w:rsidR="00E57127">
        <w:rPr>
          <w:lang w:val="en"/>
        </w:rPr>
        <w:t xml:space="preserve">a </w:t>
      </w:r>
      <w:r w:rsidR="00E57127" w:rsidRPr="00F145F9">
        <w:rPr>
          <w:i/>
          <w:lang w:val="en"/>
        </w:rPr>
        <w:t>single end use scenario</w:t>
      </w:r>
      <w:r w:rsidR="00E57127">
        <w:rPr>
          <w:lang w:val="en"/>
        </w:rPr>
        <w:t xml:space="preserve">, the introduction volume </w:t>
      </w:r>
      <w:r w:rsidR="009B408B">
        <w:rPr>
          <w:lang w:val="en"/>
        </w:rPr>
        <w:t xml:space="preserve">you </w:t>
      </w:r>
      <w:r w:rsidR="00E57127">
        <w:rPr>
          <w:lang w:val="en"/>
        </w:rPr>
        <w:t>should use</w:t>
      </w:r>
      <w:r w:rsidR="009B408B">
        <w:rPr>
          <w:lang w:val="en"/>
        </w:rPr>
        <w:t xml:space="preserve"> to</w:t>
      </w:r>
      <w:r w:rsidR="00E57127">
        <w:rPr>
          <w:lang w:val="en"/>
        </w:rPr>
        <w:t xml:space="preserve"> calculat</w:t>
      </w:r>
      <w:r w:rsidR="009B408B">
        <w:rPr>
          <w:lang w:val="en"/>
        </w:rPr>
        <w:t>e</w:t>
      </w:r>
      <w:r w:rsidR="00E57127">
        <w:rPr>
          <w:lang w:val="en"/>
        </w:rPr>
        <w:t xml:space="preserve"> the </w:t>
      </w:r>
      <w:r w:rsidR="001D2757">
        <w:rPr>
          <w:lang w:val="en"/>
        </w:rPr>
        <w:t>HHCV</w:t>
      </w:r>
      <w:r w:rsidR="00E57127">
        <w:rPr>
          <w:lang w:val="en"/>
        </w:rPr>
        <w:t xml:space="preserve"> is the total </w:t>
      </w:r>
      <w:r w:rsidR="00E57127" w:rsidRPr="00C20D77">
        <w:rPr>
          <w:lang w:val="en"/>
        </w:rPr>
        <w:t>volume of the industrial chemical that you will introduce in a registration year.</w:t>
      </w:r>
      <w:r w:rsidR="00004CD2">
        <w:rPr>
          <w:lang w:val="en"/>
        </w:rPr>
        <w:t xml:space="preserve"> The exposure reducti</w:t>
      </w:r>
      <w:r w:rsidR="006973EB">
        <w:rPr>
          <w:lang w:val="en"/>
        </w:rPr>
        <w:t>on factor that you should use is</w:t>
      </w:r>
      <w:r w:rsidR="00004CD2">
        <w:rPr>
          <w:lang w:val="en"/>
        </w:rPr>
        <w:t xml:space="preserve"> the relevant exposure reduction factor for your end use scenario.</w:t>
      </w:r>
    </w:p>
    <w:p w14:paraId="04A6C560" w14:textId="77777777" w:rsidR="002174D2" w:rsidRDefault="009B408B" w:rsidP="00230B69">
      <w:r>
        <w:t>Where</w:t>
      </w:r>
      <w:r w:rsidR="002174D2">
        <w:t xml:space="preserve"> the industrial chemical</w:t>
      </w:r>
      <w:r>
        <w:t xml:space="preserve"> will have</w:t>
      </w:r>
      <w:r w:rsidR="002174D2">
        <w:t xml:space="preserve"> </w:t>
      </w:r>
      <w:r w:rsidR="002174D2" w:rsidRPr="00F145F9">
        <w:rPr>
          <w:i/>
        </w:rPr>
        <w:t xml:space="preserve">multiple end use </w:t>
      </w:r>
      <w:r w:rsidR="009F6464" w:rsidRPr="00F145F9">
        <w:rPr>
          <w:i/>
        </w:rPr>
        <w:t>scenarios</w:t>
      </w:r>
      <w:r w:rsidR="009F6464">
        <w:t>,</w:t>
      </w:r>
      <w:r w:rsidR="002174D2">
        <w:t xml:space="preserve"> there are two options </w:t>
      </w:r>
      <w:r w:rsidR="00004CD2">
        <w:t xml:space="preserve">to calculate the </w:t>
      </w:r>
      <w:r w:rsidR="002174D2">
        <w:t xml:space="preserve">human health categorisation volume: </w:t>
      </w:r>
    </w:p>
    <w:p w14:paraId="0CEEAF4C" w14:textId="77777777" w:rsidR="002174D2" w:rsidRDefault="009F6464" w:rsidP="000D0955">
      <w:pPr>
        <w:pStyle w:val="ListParagraph"/>
        <w:numPr>
          <w:ilvl w:val="0"/>
          <w:numId w:val="50"/>
        </w:numPr>
      </w:pPr>
      <w:r>
        <w:t>Option 1:</w:t>
      </w:r>
      <w:r w:rsidR="002174D2">
        <w:t xml:space="preserve"> </w:t>
      </w:r>
      <w:r>
        <w:t xml:space="preserve"> The </w:t>
      </w:r>
      <w:r w:rsidR="002174D2">
        <w:t xml:space="preserve">simplest approach is to allocate the total introduction volume to the end use scenario that has the highest exposure </w:t>
      </w:r>
      <w:r w:rsidR="009D2870">
        <w:t xml:space="preserve">reduction </w:t>
      </w:r>
      <w:r w:rsidR="002174D2">
        <w:t>factor, and use the equation above.</w:t>
      </w:r>
    </w:p>
    <w:p w14:paraId="3BC7ABA9" w14:textId="77777777" w:rsidR="00230B69" w:rsidRDefault="009F6464" w:rsidP="000D0955">
      <w:pPr>
        <w:pStyle w:val="ListParagraph"/>
        <w:numPr>
          <w:ilvl w:val="0"/>
          <w:numId w:val="50"/>
        </w:numPr>
      </w:pPr>
      <w:r>
        <w:t xml:space="preserve">Option 2: </w:t>
      </w:r>
      <w:r w:rsidR="002174D2">
        <w:t>If you know the introduction volume to be allocated to each end use scenario, you can calculate a separate human health categorisation volume for each end use scenario</w:t>
      </w:r>
      <w:r w:rsidR="001061B6">
        <w:t xml:space="preserve"> </w:t>
      </w:r>
      <w:r w:rsidR="001061B6">
        <w:rPr>
          <w:lang w:val="en"/>
        </w:rPr>
        <w:t>(using the introduction volumes allocated to each end use scenario and the relevant exposure reduction factors for each end use scenario)</w:t>
      </w:r>
      <w:r w:rsidR="002174D2">
        <w:t xml:space="preserve">, and then add these together to get a total </w:t>
      </w:r>
      <w:r w:rsidR="001D2757">
        <w:t>HHCV</w:t>
      </w:r>
      <w:r w:rsidR="002174D2">
        <w:t>, using the equation:</w:t>
      </w:r>
    </w:p>
    <w:p w14:paraId="76113CF2" w14:textId="77777777" w:rsidR="002174D2" w:rsidRPr="009F6464" w:rsidRDefault="002174D2" w:rsidP="00230B69">
      <w:pPr>
        <w:pStyle w:val="ListParagraph"/>
        <w:numPr>
          <w:ilvl w:val="0"/>
          <w:numId w:val="0"/>
        </w:numPr>
        <w:ind w:left="360"/>
        <w:rPr>
          <w:rStyle w:val="Strong"/>
          <w:b w:val="0"/>
          <w:bCs w:val="0"/>
          <w:i/>
        </w:rPr>
      </w:pPr>
      <w:r w:rsidRPr="009F6464">
        <w:rPr>
          <w:rStyle w:val="Strong"/>
          <w:i/>
        </w:rPr>
        <w:t>HHCV = (IV</w:t>
      </w:r>
      <w:r w:rsidRPr="009F6464">
        <w:rPr>
          <w:rStyle w:val="Strong"/>
          <w:i/>
          <w:vertAlign w:val="subscript"/>
        </w:rPr>
        <w:t>1</w:t>
      </w:r>
      <w:r w:rsidRPr="009F6464">
        <w:rPr>
          <w:rStyle w:val="Strong"/>
          <w:i/>
        </w:rPr>
        <w:t xml:space="preserve"> x E</w:t>
      </w:r>
      <w:r w:rsidR="006F53CB" w:rsidRPr="009F6464">
        <w:rPr>
          <w:rStyle w:val="Strong"/>
          <w:i/>
        </w:rPr>
        <w:t>R</w:t>
      </w:r>
      <w:r w:rsidRPr="009F6464">
        <w:rPr>
          <w:rStyle w:val="Strong"/>
          <w:i/>
        </w:rPr>
        <w:t>F</w:t>
      </w:r>
      <w:r w:rsidRPr="009F6464">
        <w:rPr>
          <w:rStyle w:val="Strong"/>
          <w:i/>
          <w:vertAlign w:val="subscript"/>
        </w:rPr>
        <w:t>1</w:t>
      </w:r>
      <w:r w:rsidRPr="009F6464">
        <w:rPr>
          <w:rStyle w:val="Strong"/>
          <w:i/>
        </w:rPr>
        <w:t>) + (IV</w:t>
      </w:r>
      <w:r w:rsidRPr="009F6464">
        <w:rPr>
          <w:rStyle w:val="Strong"/>
          <w:i/>
          <w:vertAlign w:val="subscript"/>
        </w:rPr>
        <w:t>2</w:t>
      </w:r>
      <w:r w:rsidRPr="009F6464">
        <w:rPr>
          <w:rStyle w:val="Strong"/>
          <w:i/>
        </w:rPr>
        <w:t xml:space="preserve"> x E</w:t>
      </w:r>
      <w:r w:rsidR="006F53CB" w:rsidRPr="009F6464">
        <w:rPr>
          <w:rStyle w:val="Strong"/>
          <w:i/>
        </w:rPr>
        <w:t>R</w:t>
      </w:r>
      <w:r w:rsidRPr="009F6464">
        <w:rPr>
          <w:rStyle w:val="Strong"/>
          <w:i/>
        </w:rPr>
        <w:t>F</w:t>
      </w:r>
      <w:r w:rsidRPr="009F6464">
        <w:rPr>
          <w:rStyle w:val="Strong"/>
          <w:i/>
          <w:vertAlign w:val="subscript"/>
        </w:rPr>
        <w:t>2</w:t>
      </w:r>
      <w:r w:rsidRPr="009F6464">
        <w:rPr>
          <w:rStyle w:val="Strong"/>
          <w:i/>
        </w:rPr>
        <w:t>) + … + (IV</w:t>
      </w:r>
      <w:r w:rsidRPr="009F6464">
        <w:rPr>
          <w:rStyle w:val="Strong"/>
          <w:i/>
          <w:vertAlign w:val="subscript"/>
        </w:rPr>
        <w:t>n</w:t>
      </w:r>
      <w:r w:rsidRPr="009F6464">
        <w:rPr>
          <w:rStyle w:val="Strong"/>
          <w:i/>
        </w:rPr>
        <w:t xml:space="preserve"> x E</w:t>
      </w:r>
      <w:r w:rsidR="006F53CB" w:rsidRPr="009F6464">
        <w:rPr>
          <w:rStyle w:val="Strong"/>
          <w:i/>
        </w:rPr>
        <w:t>R</w:t>
      </w:r>
      <w:r w:rsidRPr="009F6464">
        <w:rPr>
          <w:rStyle w:val="Strong"/>
          <w:i/>
        </w:rPr>
        <w:t>F</w:t>
      </w:r>
      <w:r w:rsidRPr="009F6464">
        <w:rPr>
          <w:rStyle w:val="Strong"/>
          <w:i/>
          <w:vertAlign w:val="subscript"/>
        </w:rPr>
        <w:t>n</w:t>
      </w:r>
      <w:r w:rsidRPr="009F6464">
        <w:rPr>
          <w:rStyle w:val="Strong"/>
          <w:i/>
        </w:rPr>
        <w:t>)</w:t>
      </w:r>
    </w:p>
    <w:p w14:paraId="0E5C05DB" w14:textId="77777777" w:rsidR="002174D2" w:rsidRDefault="002174D2" w:rsidP="00330376">
      <w:pPr>
        <w:rPr>
          <w:lang w:val="en"/>
        </w:rPr>
      </w:pPr>
      <w:r>
        <w:t xml:space="preserve">The exposure </w:t>
      </w:r>
      <w:r w:rsidR="006F53CB">
        <w:t xml:space="preserve">reduction </w:t>
      </w:r>
      <w:r>
        <w:t xml:space="preserve">factors you need to calculate your introduction’s </w:t>
      </w:r>
      <w:r w:rsidR="001D2757">
        <w:t xml:space="preserve">HHCV </w:t>
      </w:r>
      <w:r>
        <w:t xml:space="preserve">are set out in </w:t>
      </w:r>
      <w:r w:rsidR="001D2757">
        <w:t xml:space="preserve">Table 2. </w:t>
      </w:r>
      <w:r w:rsidR="001D2757">
        <w:rPr>
          <w:lang w:val="en"/>
        </w:rPr>
        <w:t>The end use scenarios are defined below the table</w:t>
      </w:r>
      <w:r w:rsidR="00220006">
        <w:rPr>
          <w:lang w:val="en"/>
        </w:rPr>
        <w:t>.</w:t>
      </w:r>
    </w:p>
    <w:p w14:paraId="7B59526F" w14:textId="77777777" w:rsidR="0072365D" w:rsidRDefault="0072365D" w:rsidP="00330376"/>
    <w:p w14:paraId="2CBC6F27" w14:textId="77777777" w:rsidR="002174D2" w:rsidRPr="004E0A2F" w:rsidRDefault="002174D2" w:rsidP="00330376">
      <w:pPr>
        <w:rPr>
          <w:b/>
          <w:lang w:val="en"/>
        </w:rPr>
      </w:pPr>
      <w:r w:rsidRPr="00230B69">
        <w:rPr>
          <w:b/>
          <w:lang w:val="en"/>
        </w:rPr>
        <w:lastRenderedPageBreak/>
        <w:t>Table</w:t>
      </w:r>
      <w:r w:rsidR="00E72989" w:rsidRPr="00230B69">
        <w:rPr>
          <w:b/>
          <w:lang w:val="en"/>
        </w:rPr>
        <w:t xml:space="preserve"> 2</w:t>
      </w:r>
      <w:r w:rsidRPr="00230B69">
        <w:rPr>
          <w:b/>
          <w:lang w:val="en"/>
        </w:rPr>
        <w:t xml:space="preserve">: The exposure </w:t>
      </w:r>
      <w:r w:rsidR="006F53CB">
        <w:rPr>
          <w:b/>
          <w:lang w:val="en"/>
        </w:rPr>
        <w:t xml:space="preserve">reduction </w:t>
      </w:r>
      <w:r w:rsidRPr="00230B69">
        <w:rPr>
          <w:b/>
          <w:lang w:val="en"/>
        </w:rPr>
        <w:t>factor you need</w:t>
      </w:r>
      <w:r w:rsidR="001D2757" w:rsidRPr="00230B69">
        <w:rPr>
          <w:b/>
          <w:lang w:val="en"/>
        </w:rPr>
        <w:t xml:space="preserve"> to work out HHCV</w:t>
      </w:r>
      <w:r w:rsidRPr="00230B69">
        <w:rPr>
          <w:b/>
          <w:lang w:val="en"/>
        </w:rPr>
        <w:t>, depending on end use scenario</w:t>
      </w:r>
    </w:p>
    <w:tbl>
      <w:tblPr>
        <w:tblStyle w:val="TableGrid"/>
        <w:tblW w:w="5000" w:type="pct"/>
        <w:tblLook w:val="04A0" w:firstRow="1" w:lastRow="0" w:firstColumn="1" w:lastColumn="0" w:noHBand="0" w:noVBand="1"/>
        <w:tblCaption w:val="Table - Reduction Factors"/>
        <w:tblDescription w:val="Table: The reduction factor you need to use, depending on end use"/>
      </w:tblPr>
      <w:tblGrid>
        <w:gridCol w:w="6024"/>
        <w:gridCol w:w="2992"/>
      </w:tblGrid>
      <w:tr w:rsidR="002174D2" w:rsidRPr="005C2AD2" w14:paraId="01E59D1E" w14:textId="77777777" w:rsidTr="00230B69">
        <w:trPr>
          <w:cantSplit/>
          <w:tblHeader/>
        </w:trPr>
        <w:tc>
          <w:tcPr>
            <w:tcW w:w="3341" w:type="pct"/>
            <w:shd w:val="clear" w:color="auto" w:fill="133286" w:themeFill="text2"/>
          </w:tcPr>
          <w:p w14:paraId="5400E456" w14:textId="77777777" w:rsidR="002174D2" w:rsidRPr="00377E56" w:rsidRDefault="002174D2" w:rsidP="00336A73">
            <w:pPr>
              <w:spacing w:beforeLines="60" w:before="144" w:afterLines="60" w:after="144"/>
              <w:rPr>
                <w:b/>
                <w:color w:val="FFFFFF" w:themeColor="background1"/>
              </w:rPr>
            </w:pPr>
            <w:r w:rsidRPr="00377E56">
              <w:rPr>
                <w:b/>
                <w:color w:val="FFFFFF" w:themeColor="background1"/>
              </w:rPr>
              <w:t xml:space="preserve">If your introduction's end use </w:t>
            </w:r>
            <w:r>
              <w:rPr>
                <w:b/>
                <w:color w:val="FFFFFF" w:themeColor="background1"/>
              </w:rPr>
              <w:t xml:space="preserve">scenario </w:t>
            </w:r>
            <w:r w:rsidRPr="00377E56">
              <w:rPr>
                <w:b/>
                <w:color w:val="FFFFFF" w:themeColor="background1"/>
              </w:rPr>
              <w:t>is...</w:t>
            </w:r>
          </w:p>
        </w:tc>
        <w:tc>
          <w:tcPr>
            <w:tcW w:w="1659" w:type="pct"/>
            <w:shd w:val="clear" w:color="auto" w:fill="133286" w:themeFill="text2"/>
          </w:tcPr>
          <w:p w14:paraId="4144A7C9" w14:textId="77777777" w:rsidR="002174D2" w:rsidRPr="00377E56" w:rsidRDefault="002174D2" w:rsidP="00336A73">
            <w:pPr>
              <w:spacing w:beforeLines="60" w:before="144" w:afterLines="60" w:after="144"/>
              <w:rPr>
                <w:b/>
                <w:color w:val="FFFFFF" w:themeColor="background1"/>
              </w:rPr>
            </w:pPr>
            <w:r w:rsidRPr="00377E56">
              <w:rPr>
                <w:b/>
                <w:color w:val="FFFFFF" w:themeColor="background1"/>
              </w:rPr>
              <w:t xml:space="preserve">The </w:t>
            </w:r>
            <w:r>
              <w:rPr>
                <w:b/>
                <w:color w:val="FFFFFF" w:themeColor="background1"/>
              </w:rPr>
              <w:t>exposure</w:t>
            </w:r>
            <w:r w:rsidR="006F53CB">
              <w:rPr>
                <w:b/>
                <w:color w:val="FFFFFF" w:themeColor="background1"/>
              </w:rPr>
              <w:t xml:space="preserve"> reduction</w:t>
            </w:r>
            <w:r w:rsidRPr="00377E56">
              <w:rPr>
                <w:b/>
                <w:color w:val="FFFFFF" w:themeColor="background1"/>
              </w:rPr>
              <w:t xml:space="preserve"> factor </w:t>
            </w:r>
            <w:r>
              <w:rPr>
                <w:b/>
                <w:color w:val="FFFFFF" w:themeColor="background1"/>
              </w:rPr>
              <w:t>(E</w:t>
            </w:r>
            <w:r w:rsidR="006F53CB">
              <w:rPr>
                <w:b/>
                <w:color w:val="FFFFFF" w:themeColor="background1"/>
              </w:rPr>
              <w:t>R</w:t>
            </w:r>
            <w:r>
              <w:rPr>
                <w:b/>
                <w:color w:val="FFFFFF" w:themeColor="background1"/>
              </w:rPr>
              <w:t xml:space="preserve">F) </w:t>
            </w:r>
            <w:r w:rsidRPr="00377E56">
              <w:rPr>
                <w:b/>
                <w:color w:val="FFFFFF" w:themeColor="background1"/>
              </w:rPr>
              <w:t>you need to use is</w:t>
            </w:r>
            <w:r w:rsidR="00ED2E95">
              <w:rPr>
                <w:b/>
                <w:color w:val="FFFFFF" w:themeColor="background1"/>
              </w:rPr>
              <w:t>…</w:t>
            </w:r>
          </w:p>
        </w:tc>
      </w:tr>
      <w:tr w:rsidR="002174D2" w:rsidRPr="004B3609" w14:paraId="7D2D33A6" w14:textId="77777777" w:rsidTr="00330376">
        <w:trPr>
          <w:cantSplit/>
        </w:trPr>
        <w:tc>
          <w:tcPr>
            <w:tcW w:w="3341" w:type="pct"/>
          </w:tcPr>
          <w:p w14:paraId="60C94C3B" w14:textId="77777777" w:rsidR="002174D2" w:rsidRPr="00377E56" w:rsidRDefault="002174D2" w:rsidP="000272E2">
            <w:pPr>
              <w:spacing w:beforeLines="60" w:before="144" w:afterLines="60" w:after="144"/>
              <w:rPr>
                <w:rFonts w:cs="Segoe UI"/>
              </w:rPr>
            </w:pPr>
            <w:r>
              <w:rPr>
                <w:rFonts w:cs="Segoe UI"/>
              </w:rPr>
              <w:t xml:space="preserve">Chemical imported into Australia; </w:t>
            </w:r>
            <w:r w:rsidR="000272E2">
              <w:rPr>
                <w:rFonts w:cs="Segoe UI"/>
              </w:rPr>
              <w:t>import containers remain closed; then</w:t>
            </w:r>
            <w:r>
              <w:rPr>
                <w:rFonts w:cs="Segoe UI"/>
              </w:rPr>
              <w:t xml:space="preserve"> exported for end use overseas</w:t>
            </w:r>
          </w:p>
        </w:tc>
        <w:tc>
          <w:tcPr>
            <w:tcW w:w="1659" w:type="pct"/>
          </w:tcPr>
          <w:p w14:paraId="257E6674" w14:textId="77777777" w:rsidR="002174D2" w:rsidRPr="00377E56" w:rsidRDefault="002174D2" w:rsidP="000272E2">
            <w:pPr>
              <w:spacing w:beforeLines="60" w:before="144" w:afterLines="60" w:after="144"/>
              <w:jc w:val="center"/>
              <w:rPr>
                <w:rFonts w:cs="Segoe UI"/>
              </w:rPr>
            </w:pPr>
            <w:r>
              <w:rPr>
                <w:rFonts w:cs="Segoe UI"/>
              </w:rPr>
              <w:t xml:space="preserve">0 </w:t>
            </w:r>
          </w:p>
        </w:tc>
      </w:tr>
      <w:tr w:rsidR="002174D2" w:rsidRPr="004B3609" w14:paraId="10E76915" w14:textId="77777777" w:rsidTr="00330376">
        <w:trPr>
          <w:cantSplit/>
        </w:trPr>
        <w:tc>
          <w:tcPr>
            <w:tcW w:w="3341" w:type="pct"/>
          </w:tcPr>
          <w:p w14:paraId="4A235A65" w14:textId="77777777" w:rsidR="002174D2" w:rsidRPr="00377E56" w:rsidRDefault="002174D2" w:rsidP="000272E2">
            <w:pPr>
              <w:spacing w:beforeLines="60" w:before="144" w:afterLines="60" w:after="144"/>
              <w:rPr>
                <w:rFonts w:cs="Segoe UI"/>
              </w:rPr>
            </w:pPr>
            <w:r>
              <w:rPr>
                <w:rFonts w:cs="Segoe UI"/>
              </w:rPr>
              <w:t xml:space="preserve">Chemical imported into Australia; </w:t>
            </w:r>
            <w:r w:rsidR="001061B6">
              <w:rPr>
                <w:rFonts w:cs="Segoe UI"/>
              </w:rPr>
              <w:t xml:space="preserve">limited </w:t>
            </w:r>
            <w:r>
              <w:rPr>
                <w:rFonts w:cs="Segoe UI"/>
              </w:rPr>
              <w:t>handling of the chemical (such that import containers are opened); then exported for end use overseas</w:t>
            </w:r>
          </w:p>
        </w:tc>
        <w:tc>
          <w:tcPr>
            <w:tcW w:w="1659" w:type="pct"/>
          </w:tcPr>
          <w:p w14:paraId="494FAE88" w14:textId="77777777" w:rsidR="002174D2" w:rsidRPr="00377E56" w:rsidRDefault="002174D2" w:rsidP="000272E2">
            <w:pPr>
              <w:spacing w:beforeLines="60" w:before="144" w:afterLines="60" w:after="144"/>
              <w:jc w:val="center"/>
              <w:rPr>
                <w:rFonts w:cs="Segoe UI"/>
              </w:rPr>
            </w:pPr>
            <w:r>
              <w:rPr>
                <w:rFonts w:cs="Segoe UI"/>
              </w:rPr>
              <w:t xml:space="preserve">0.05 </w:t>
            </w:r>
          </w:p>
        </w:tc>
      </w:tr>
      <w:tr w:rsidR="002174D2" w:rsidRPr="004B3609" w14:paraId="5E9A83BA" w14:textId="77777777" w:rsidTr="00330376">
        <w:trPr>
          <w:cantSplit/>
        </w:trPr>
        <w:tc>
          <w:tcPr>
            <w:tcW w:w="3341" w:type="pct"/>
          </w:tcPr>
          <w:p w14:paraId="18B6FDA8" w14:textId="77777777" w:rsidR="002174D2" w:rsidRPr="00377E56" w:rsidRDefault="002174D2" w:rsidP="000272E2">
            <w:pPr>
              <w:spacing w:beforeLines="60" w:before="144" w:afterLines="60" w:after="144"/>
              <w:rPr>
                <w:rFonts w:cs="Segoe UI"/>
              </w:rPr>
            </w:pPr>
            <w:r>
              <w:rPr>
                <w:rFonts w:cs="Segoe UI"/>
              </w:rPr>
              <w:t>Chemical manufactured in Australia; exported for end use overseas</w:t>
            </w:r>
          </w:p>
        </w:tc>
        <w:tc>
          <w:tcPr>
            <w:tcW w:w="1659" w:type="pct"/>
          </w:tcPr>
          <w:p w14:paraId="3F2DE442" w14:textId="77777777" w:rsidR="002174D2" w:rsidRPr="00377E56" w:rsidRDefault="002174D2" w:rsidP="000272E2">
            <w:pPr>
              <w:spacing w:beforeLines="60" w:before="144" w:afterLines="60" w:after="144"/>
              <w:jc w:val="center"/>
              <w:rPr>
                <w:rFonts w:cs="Segoe UI"/>
              </w:rPr>
            </w:pPr>
            <w:r>
              <w:rPr>
                <w:rFonts w:cs="Segoe UI"/>
              </w:rPr>
              <w:t xml:space="preserve">0.05 </w:t>
            </w:r>
          </w:p>
        </w:tc>
      </w:tr>
      <w:tr w:rsidR="002174D2" w:rsidRPr="004B3609" w14:paraId="00557691" w14:textId="77777777" w:rsidTr="00330376">
        <w:trPr>
          <w:cantSplit/>
        </w:trPr>
        <w:tc>
          <w:tcPr>
            <w:tcW w:w="3341" w:type="pct"/>
          </w:tcPr>
          <w:p w14:paraId="68BC68E9" w14:textId="77777777" w:rsidR="002174D2" w:rsidRPr="00377E56" w:rsidRDefault="002174D2" w:rsidP="00336A73">
            <w:pPr>
              <w:spacing w:beforeLines="60" w:before="144" w:afterLines="60" w:after="144"/>
              <w:rPr>
                <w:rFonts w:cs="Segoe UI"/>
              </w:rPr>
            </w:pPr>
            <w:r>
              <w:rPr>
                <w:rFonts w:cs="Segoe UI"/>
              </w:rPr>
              <w:t>Specified consumer products with end use in Australia</w:t>
            </w:r>
          </w:p>
        </w:tc>
        <w:tc>
          <w:tcPr>
            <w:tcW w:w="1659" w:type="pct"/>
          </w:tcPr>
          <w:p w14:paraId="1F119387" w14:textId="77777777" w:rsidR="002174D2" w:rsidRPr="00377E56" w:rsidRDefault="002174D2" w:rsidP="00336A73">
            <w:pPr>
              <w:spacing w:beforeLines="60" w:before="144" w:afterLines="60" w:after="144"/>
              <w:jc w:val="center"/>
              <w:rPr>
                <w:rFonts w:cs="Segoe UI"/>
              </w:rPr>
            </w:pPr>
            <w:r>
              <w:rPr>
                <w:rFonts w:cs="Segoe UI"/>
              </w:rPr>
              <w:t>1</w:t>
            </w:r>
          </w:p>
        </w:tc>
      </w:tr>
      <w:tr w:rsidR="002174D2" w:rsidRPr="00377E56" w14:paraId="69BD0700" w14:textId="77777777" w:rsidTr="00330376">
        <w:tc>
          <w:tcPr>
            <w:tcW w:w="3341" w:type="pct"/>
          </w:tcPr>
          <w:p w14:paraId="69B247F4" w14:textId="77777777" w:rsidR="002174D2" w:rsidRPr="00377E56" w:rsidRDefault="002174D2" w:rsidP="00336A73">
            <w:pPr>
              <w:spacing w:beforeLines="60" w:before="144" w:afterLines="60" w:after="144"/>
              <w:rPr>
                <w:rFonts w:cs="Segoe UI"/>
              </w:rPr>
            </w:pPr>
            <w:r>
              <w:rPr>
                <w:rFonts w:cs="Segoe UI"/>
              </w:rPr>
              <w:t>All other end uses in Australia</w:t>
            </w:r>
          </w:p>
        </w:tc>
        <w:tc>
          <w:tcPr>
            <w:tcW w:w="1659" w:type="pct"/>
          </w:tcPr>
          <w:p w14:paraId="777F4D15" w14:textId="77777777" w:rsidR="002174D2" w:rsidRPr="00377E56" w:rsidRDefault="002174D2" w:rsidP="00336A73">
            <w:pPr>
              <w:spacing w:beforeLines="60" w:before="144" w:afterLines="60" w:after="144"/>
              <w:jc w:val="center"/>
              <w:rPr>
                <w:rFonts w:cs="Segoe UI"/>
              </w:rPr>
            </w:pPr>
            <w:r>
              <w:rPr>
                <w:rFonts w:cs="Segoe UI"/>
              </w:rPr>
              <w:t>0.1</w:t>
            </w:r>
          </w:p>
        </w:tc>
      </w:tr>
    </w:tbl>
    <w:p w14:paraId="13C28C41" w14:textId="77777777" w:rsidR="00C80F0D" w:rsidRDefault="00C80F0D" w:rsidP="00330376"/>
    <w:p w14:paraId="298B59C1" w14:textId="77777777" w:rsidR="002174D2" w:rsidRPr="002174D2" w:rsidRDefault="002174D2" w:rsidP="00230B69">
      <w:pPr>
        <w:rPr>
          <w:b/>
          <w:bCs/>
        </w:rPr>
      </w:pPr>
      <w:r w:rsidRPr="009321BD">
        <w:rPr>
          <w:rStyle w:val="Strong"/>
        </w:rPr>
        <w:t xml:space="preserve">End use </w:t>
      </w:r>
      <w:r>
        <w:rPr>
          <w:rStyle w:val="Strong"/>
        </w:rPr>
        <w:t xml:space="preserve">scenario </w:t>
      </w:r>
      <w:r w:rsidRPr="009321BD">
        <w:rPr>
          <w:rStyle w:val="Strong"/>
        </w:rPr>
        <w:t>definitions used in the above table:</w:t>
      </w:r>
    </w:p>
    <w:p w14:paraId="61FF072B" w14:textId="77777777" w:rsidR="002174D2" w:rsidRDefault="002174D2" w:rsidP="00230B69">
      <w:pPr>
        <w:rPr>
          <w:lang w:val="en"/>
        </w:rPr>
      </w:pPr>
      <w:r>
        <w:rPr>
          <w:b/>
          <w:bCs/>
          <w:lang w:val="en"/>
        </w:rPr>
        <w:t>Specified consumer products</w:t>
      </w:r>
      <w:r w:rsidRPr="00C20D77">
        <w:rPr>
          <w:lang w:val="en"/>
        </w:rPr>
        <w:t xml:space="preserve"> means </w:t>
      </w:r>
      <w:r w:rsidR="001D2757">
        <w:rPr>
          <w:lang w:val="en"/>
        </w:rPr>
        <w:t xml:space="preserve">the following products intended for </w:t>
      </w:r>
      <w:r w:rsidR="002A4203">
        <w:rPr>
          <w:lang w:val="en"/>
        </w:rPr>
        <w:t xml:space="preserve">end </w:t>
      </w:r>
      <w:r w:rsidR="001D2757">
        <w:rPr>
          <w:lang w:val="en"/>
        </w:rPr>
        <w:t>use by the public</w:t>
      </w:r>
      <w:r>
        <w:rPr>
          <w:lang w:val="en"/>
        </w:rPr>
        <w:t>:</w:t>
      </w:r>
    </w:p>
    <w:p w14:paraId="0FC2F675" w14:textId="77777777" w:rsidR="002174D2" w:rsidRPr="000A2351" w:rsidRDefault="002174D2" w:rsidP="000D0955">
      <w:pPr>
        <w:pStyle w:val="ListParagraph"/>
        <w:numPr>
          <w:ilvl w:val="0"/>
          <w:numId w:val="51"/>
        </w:numPr>
        <w:rPr>
          <w:lang w:val="en"/>
        </w:rPr>
      </w:pPr>
      <w:r w:rsidRPr="000A2351">
        <w:rPr>
          <w:lang w:val="en"/>
        </w:rPr>
        <w:t>cosmetics</w:t>
      </w:r>
    </w:p>
    <w:p w14:paraId="4575A751" w14:textId="77777777" w:rsidR="002174D2" w:rsidRPr="000A2351" w:rsidRDefault="002174D2" w:rsidP="000D0955">
      <w:pPr>
        <w:pStyle w:val="ListParagraph"/>
        <w:numPr>
          <w:ilvl w:val="0"/>
          <w:numId w:val="51"/>
        </w:numPr>
        <w:rPr>
          <w:lang w:val="en"/>
        </w:rPr>
      </w:pPr>
      <w:r w:rsidRPr="000A2351">
        <w:rPr>
          <w:lang w:val="en"/>
        </w:rPr>
        <w:t>nasal sprays</w:t>
      </w:r>
    </w:p>
    <w:p w14:paraId="4DA0ACD6" w14:textId="77777777" w:rsidR="002174D2" w:rsidRPr="000A2351" w:rsidRDefault="002174D2" w:rsidP="000D0955">
      <w:pPr>
        <w:pStyle w:val="ListParagraph"/>
        <w:numPr>
          <w:ilvl w:val="0"/>
          <w:numId w:val="51"/>
        </w:numPr>
        <w:rPr>
          <w:lang w:val="en"/>
        </w:rPr>
      </w:pPr>
      <w:r w:rsidRPr="000A2351">
        <w:rPr>
          <w:lang w:val="en"/>
        </w:rPr>
        <w:t>ear sprays</w:t>
      </w:r>
    </w:p>
    <w:p w14:paraId="2813627D" w14:textId="77777777" w:rsidR="0055223D" w:rsidRPr="000A2351" w:rsidRDefault="00EE472C" w:rsidP="000D0955">
      <w:pPr>
        <w:pStyle w:val="ListParagraph"/>
        <w:numPr>
          <w:ilvl w:val="0"/>
          <w:numId w:val="51"/>
        </w:numPr>
        <w:rPr>
          <w:lang w:val="en"/>
        </w:rPr>
      </w:pPr>
      <w:r w:rsidRPr="000A2351">
        <w:rPr>
          <w:lang w:val="en"/>
        </w:rPr>
        <w:t>intimate</w:t>
      </w:r>
      <w:r w:rsidR="0015328F" w:rsidRPr="000A2351">
        <w:rPr>
          <w:lang w:val="en"/>
        </w:rPr>
        <w:t xml:space="preserve"> lubricants</w:t>
      </w:r>
    </w:p>
    <w:p w14:paraId="0AB61999" w14:textId="77777777" w:rsidR="0055223D" w:rsidRPr="000A2351" w:rsidRDefault="0055223D" w:rsidP="000D0955">
      <w:pPr>
        <w:pStyle w:val="ListParagraph"/>
        <w:numPr>
          <w:ilvl w:val="0"/>
          <w:numId w:val="51"/>
        </w:numPr>
        <w:rPr>
          <w:lang w:val="en"/>
        </w:rPr>
      </w:pPr>
      <w:r w:rsidRPr="000A2351">
        <w:rPr>
          <w:lang w:val="en"/>
        </w:rPr>
        <w:t>massage oils</w:t>
      </w:r>
      <w:r w:rsidR="006C3C9B" w:rsidRPr="000A2351">
        <w:rPr>
          <w:lang w:val="en"/>
        </w:rPr>
        <w:t xml:space="preserve"> and gels</w:t>
      </w:r>
      <w:r w:rsidRPr="000A2351">
        <w:rPr>
          <w:lang w:val="en"/>
        </w:rPr>
        <w:t xml:space="preserve"> </w:t>
      </w:r>
    </w:p>
    <w:p w14:paraId="0700C14D" w14:textId="77777777" w:rsidR="00805FB7" w:rsidRPr="000A2351" w:rsidRDefault="0015328F" w:rsidP="000D0955">
      <w:pPr>
        <w:pStyle w:val="ListParagraph"/>
        <w:numPr>
          <w:ilvl w:val="0"/>
          <w:numId w:val="51"/>
        </w:numPr>
        <w:rPr>
          <w:lang w:val="en"/>
        </w:rPr>
      </w:pPr>
      <w:r w:rsidRPr="000A2351">
        <w:rPr>
          <w:lang w:val="en"/>
        </w:rPr>
        <w:t>products</w:t>
      </w:r>
      <w:r w:rsidR="00805FB7" w:rsidRPr="000A2351">
        <w:rPr>
          <w:lang w:val="en"/>
        </w:rPr>
        <w:t xml:space="preserve"> applied to the nails to harden, or deter the biting of, nails</w:t>
      </w:r>
    </w:p>
    <w:p w14:paraId="43045BB9" w14:textId="77777777" w:rsidR="00C80F0D" w:rsidRDefault="002A4203" w:rsidP="0088089E">
      <w:r>
        <w:t xml:space="preserve">Specified consumer products do </w:t>
      </w:r>
      <w:r w:rsidRPr="002A4203">
        <w:rPr>
          <w:b/>
        </w:rPr>
        <w:t>not</w:t>
      </w:r>
      <w:r>
        <w:t xml:space="preserve"> include tattoo inks and personal vaporisers. Tattoo inks and personal vaporiser end uses involve </w:t>
      </w:r>
      <w:r w:rsidRPr="002A4203">
        <w:rPr>
          <w:i/>
        </w:rPr>
        <w:t>designated kind of human exposure</w:t>
      </w:r>
      <w:r>
        <w:t xml:space="preserve"> </w:t>
      </w:r>
      <w:r w:rsidR="0088089E">
        <w:t xml:space="preserve">in accordance with the IC General Rules </w:t>
      </w:r>
      <w:r>
        <w:t xml:space="preserve">(for which you do </w:t>
      </w:r>
      <w:r w:rsidRPr="002A4203">
        <w:rPr>
          <w:b/>
        </w:rPr>
        <w:t>not</w:t>
      </w:r>
      <w:r>
        <w:t xml:space="preserve"> need to calculate a </w:t>
      </w:r>
      <w:r w:rsidR="0088089E">
        <w:t>human health categorisation volume</w:t>
      </w:r>
      <w:r>
        <w:t>).</w:t>
      </w:r>
    </w:p>
    <w:p w14:paraId="193F9D41" w14:textId="77777777" w:rsidR="004E0A2F" w:rsidRPr="002A4203" w:rsidRDefault="004E0A2F" w:rsidP="0088089E"/>
    <w:p w14:paraId="3880804F" w14:textId="77777777" w:rsidR="003F02EC" w:rsidRDefault="003F02EC" w:rsidP="0088089E">
      <w:pPr>
        <w:pStyle w:val="Heading3"/>
        <w:spacing w:line="240" w:lineRule="auto"/>
        <w:ind w:left="709"/>
      </w:pPr>
      <w:r>
        <w:t>Known environmental degradation products</w:t>
      </w:r>
    </w:p>
    <w:p w14:paraId="34C72B4B" w14:textId="77777777" w:rsidR="00924658" w:rsidRPr="0072365D" w:rsidRDefault="00924658" w:rsidP="0088089E">
      <w:pPr>
        <w:rPr>
          <w:rFonts w:ascii="Calibri" w:hAnsi="Calibri"/>
        </w:rPr>
      </w:pPr>
      <w:r>
        <w:t xml:space="preserve">Known environmental degradation products, in relation to an industrial chemical </w:t>
      </w:r>
      <w:r w:rsidRPr="00924658">
        <w:rPr>
          <w:iCs/>
        </w:rPr>
        <w:t xml:space="preserve">that is a polyhalogenated organic chemical, means the </w:t>
      </w:r>
      <w:r>
        <w:rPr>
          <w:iCs/>
        </w:rPr>
        <w:t xml:space="preserve">expected breakdown products of the chemical under environmentally relevant conditions </w:t>
      </w:r>
      <w:r w:rsidR="00834D17">
        <w:rPr>
          <w:iCs/>
        </w:rPr>
        <w:t xml:space="preserve">that </w:t>
      </w:r>
      <w:r>
        <w:rPr>
          <w:iCs/>
        </w:rPr>
        <w:t xml:space="preserve">have been identified in </w:t>
      </w:r>
      <w:r w:rsidRPr="00924658">
        <w:rPr>
          <w:iCs/>
        </w:rPr>
        <w:t xml:space="preserve">information from scientific literature or studies, </w:t>
      </w:r>
      <w:r>
        <w:rPr>
          <w:iCs/>
        </w:rPr>
        <w:t>and the introducer is aware of this information</w:t>
      </w:r>
      <w:r w:rsidRPr="00924658">
        <w:rPr>
          <w:iCs/>
        </w:rPr>
        <w:t>.</w:t>
      </w:r>
    </w:p>
    <w:p w14:paraId="57D4B8DB" w14:textId="77777777" w:rsidR="003F02EC" w:rsidRDefault="003F02EC" w:rsidP="0088089E">
      <w:pPr>
        <w:pStyle w:val="Heading3"/>
        <w:spacing w:line="240" w:lineRule="auto"/>
        <w:ind w:left="709"/>
      </w:pPr>
      <w:r>
        <w:lastRenderedPageBreak/>
        <w:t>Known hazard classification</w:t>
      </w:r>
    </w:p>
    <w:p w14:paraId="16C496E2" w14:textId="77777777" w:rsidR="006F61C9" w:rsidRPr="00E046B5" w:rsidRDefault="006F61C9" w:rsidP="000A2351">
      <w:r w:rsidRPr="00455469">
        <w:rPr>
          <w:u w:color="436EE4" w:themeColor="text2" w:themeTint="99"/>
        </w:rPr>
        <w:t>Known hazard classification</w:t>
      </w:r>
      <w:r w:rsidRPr="00E046B5">
        <w:rPr>
          <w:b/>
          <w:bCs/>
        </w:rPr>
        <w:t>, </w:t>
      </w:r>
      <w:r w:rsidRPr="00E046B5">
        <w:t xml:space="preserve">for an industrial chemical, means hazard information that the introducer is aware of in the form of one </w:t>
      </w:r>
      <w:r w:rsidR="00B36F3E">
        <w:t xml:space="preserve">or more </w:t>
      </w:r>
      <w:r w:rsidRPr="00E046B5">
        <w:t>of the following:</w:t>
      </w:r>
    </w:p>
    <w:p w14:paraId="0EDD101B" w14:textId="77777777" w:rsidR="006F61C9" w:rsidRPr="00E046B5" w:rsidRDefault="006F61C9" w:rsidP="000D0955">
      <w:pPr>
        <w:pStyle w:val="ListParagraph"/>
        <w:numPr>
          <w:ilvl w:val="0"/>
          <w:numId w:val="52"/>
        </w:numPr>
      </w:pPr>
      <w:r w:rsidRPr="00E046B5">
        <w:t>A hazard class and category arising from classification under the ‘</w:t>
      </w:r>
      <w:hyperlink r:id="rId19" w:tgtFrame="_blank" w:tooltip="Opens in a new tab/window" w:history="1">
        <w:r w:rsidRPr="00E046B5">
          <w:rPr>
            <w:rStyle w:val="Hyperlink"/>
          </w:rPr>
          <w:t>Globally Harmoni</w:t>
        </w:r>
        <w:r w:rsidR="00B937B5">
          <w:rPr>
            <w:rStyle w:val="Hyperlink"/>
          </w:rPr>
          <w:t>s</w:t>
        </w:r>
        <w:r w:rsidRPr="00E046B5">
          <w:rPr>
            <w:rStyle w:val="Hyperlink"/>
          </w:rPr>
          <w:t>ed System of Classification and Labelling of Chemicals</w:t>
        </w:r>
      </w:hyperlink>
      <w:r w:rsidRPr="00E046B5">
        <w:t>’ (GHS)</w:t>
      </w:r>
      <w:r w:rsidR="008433AE">
        <w:t>, Seventh revised edition,</w:t>
      </w:r>
      <w:r w:rsidRPr="00E046B5">
        <w:t xml:space="preserve"> published</w:t>
      </w:r>
      <w:r w:rsidR="00B36F3E">
        <w:t xml:space="preserve"> by the United Nations, or</w:t>
      </w:r>
    </w:p>
    <w:p w14:paraId="51BF9188" w14:textId="77777777" w:rsidR="000A2351" w:rsidRDefault="006F61C9" w:rsidP="000D0955">
      <w:pPr>
        <w:pStyle w:val="ListParagraph"/>
        <w:numPr>
          <w:ilvl w:val="0"/>
          <w:numId w:val="52"/>
        </w:numPr>
      </w:pPr>
      <w:r w:rsidRPr="00E046B5">
        <w:t>A non-GHS hazard statement, assigned under the classification criteria in ‘</w:t>
      </w:r>
      <w:hyperlink r:id="rId20" w:tgtFrame="_blank" w:tooltip="Opens in a new tab/window" w:history="1">
        <w:r w:rsidRPr="00E046B5">
          <w:rPr>
            <w:rStyle w:val="Hyperlink"/>
          </w:rPr>
          <w:t>Guidance on the Classification of Hazardous Chemicals under the WHS Regulations</w:t>
        </w:r>
      </w:hyperlink>
      <w:r w:rsidRPr="00E046B5">
        <w:t>’ published by Safe Work Australia</w:t>
      </w:r>
    </w:p>
    <w:p w14:paraId="3D3EF150" w14:textId="77777777" w:rsidR="006F61C9" w:rsidRPr="00E046B5" w:rsidRDefault="00D479B1" w:rsidP="000A2351">
      <w:r w:rsidRPr="00D479B1">
        <w:rPr>
          <w:b/>
        </w:rPr>
        <w:t>e</w:t>
      </w:r>
      <w:r w:rsidR="006F61C9" w:rsidRPr="00D479B1">
        <w:rPr>
          <w:b/>
        </w:rPr>
        <w:t>xcept</w:t>
      </w:r>
      <w:r w:rsidR="006F61C9" w:rsidRPr="00E046B5">
        <w:t xml:space="preserve"> that it does </w:t>
      </w:r>
      <w:r w:rsidR="006F61C9" w:rsidRPr="0088089E">
        <w:rPr>
          <w:b/>
        </w:rPr>
        <w:t>not</w:t>
      </w:r>
      <w:r w:rsidR="006F61C9" w:rsidRPr="00E046B5">
        <w:t xml:space="preserve"> include any of the following hazard classes:</w:t>
      </w:r>
    </w:p>
    <w:p w14:paraId="32BC5AE9" w14:textId="77777777" w:rsidR="006F61C9" w:rsidRPr="00E046B5" w:rsidRDefault="006F61C9" w:rsidP="000D0955">
      <w:pPr>
        <w:pStyle w:val="ListParagraph"/>
        <w:numPr>
          <w:ilvl w:val="0"/>
          <w:numId w:val="53"/>
        </w:numPr>
      </w:pPr>
      <w:r w:rsidRPr="00E046B5">
        <w:t>flammable gases, category 2</w:t>
      </w:r>
    </w:p>
    <w:p w14:paraId="7EF8761B" w14:textId="77777777" w:rsidR="006F61C9" w:rsidRPr="00E046B5" w:rsidRDefault="006F61C9" w:rsidP="000D0955">
      <w:pPr>
        <w:pStyle w:val="ListParagraph"/>
        <w:numPr>
          <w:ilvl w:val="0"/>
          <w:numId w:val="53"/>
        </w:numPr>
      </w:pPr>
      <w:r w:rsidRPr="00E046B5">
        <w:t>acute toxicity-oral, category 5</w:t>
      </w:r>
    </w:p>
    <w:p w14:paraId="1CD7E55E" w14:textId="77777777" w:rsidR="006F61C9" w:rsidRPr="00E046B5" w:rsidRDefault="006F61C9" w:rsidP="000D0955">
      <w:pPr>
        <w:pStyle w:val="ListParagraph"/>
        <w:numPr>
          <w:ilvl w:val="0"/>
          <w:numId w:val="53"/>
        </w:numPr>
      </w:pPr>
      <w:r w:rsidRPr="00E046B5">
        <w:t>acute toxicity-dermal, category 5</w:t>
      </w:r>
    </w:p>
    <w:p w14:paraId="21870EDB" w14:textId="77777777" w:rsidR="006F61C9" w:rsidRPr="00E046B5" w:rsidRDefault="006F61C9" w:rsidP="000D0955">
      <w:pPr>
        <w:pStyle w:val="ListParagraph"/>
        <w:numPr>
          <w:ilvl w:val="0"/>
          <w:numId w:val="53"/>
        </w:numPr>
      </w:pPr>
      <w:r w:rsidRPr="00E046B5">
        <w:t>acute toxicity-inhalation, category 5</w:t>
      </w:r>
    </w:p>
    <w:p w14:paraId="5551BAE1" w14:textId="77777777" w:rsidR="006F61C9" w:rsidRPr="00E046B5" w:rsidRDefault="006F61C9" w:rsidP="000D0955">
      <w:pPr>
        <w:pStyle w:val="ListParagraph"/>
        <w:numPr>
          <w:ilvl w:val="0"/>
          <w:numId w:val="53"/>
        </w:numPr>
      </w:pPr>
      <w:r w:rsidRPr="00E046B5">
        <w:t>skin c</w:t>
      </w:r>
      <w:r w:rsidR="003870DA">
        <w:t>orrosion/irritation, category 3</w:t>
      </w:r>
    </w:p>
    <w:p w14:paraId="3B7B22FA" w14:textId="77777777" w:rsidR="006F61C9" w:rsidRPr="00E046B5" w:rsidRDefault="006F61C9" w:rsidP="0088089E">
      <w:pPr>
        <w:pStyle w:val="ListParagraph"/>
        <w:numPr>
          <w:ilvl w:val="0"/>
          <w:numId w:val="53"/>
        </w:numPr>
      </w:pPr>
      <w:r w:rsidRPr="00E046B5">
        <w:t>aspiration hazard, category 2</w:t>
      </w:r>
    </w:p>
    <w:p w14:paraId="7DF9B778" w14:textId="77777777" w:rsidR="006F61C9" w:rsidRPr="006F61C9" w:rsidRDefault="006F61C9" w:rsidP="0088089E"/>
    <w:p w14:paraId="700070F3" w14:textId="77777777" w:rsidR="00171CFF" w:rsidRPr="00E67C3B" w:rsidRDefault="00171CFF" w:rsidP="0088089E">
      <w:pPr>
        <w:pStyle w:val="Heading3"/>
        <w:spacing w:line="240" w:lineRule="auto"/>
        <w:ind w:left="709"/>
      </w:pPr>
      <w:r w:rsidRPr="00E67C3B">
        <w:t>Persistent</w:t>
      </w:r>
    </w:p>
    <w:p w14:paraId="5BFA0BF1" w14:textId="77777777" w:rsidR="003F02EC" w:rsidRPr="00811EE0" w:rsidRDefault="00171CFF" w:rsidP="00805042">
      <w:r w:rsidRPr="00811EE0">
        <w:rPr>
          <w:b/>
          <w:u w:color="436EE4" w:themeColor="text2" w:themeTint="99"/>
        </w:rPr>
        <w:t>Persistent</w:t>
      </w:r>
      <w:r w:rsidRPr="00811EE0">
        <w:rPr>
          <w:b/>
        </w:rPr>
        <w:t xml:space="preserve"> </w:t>
      </w:r>
      <w:r w:rsidRPr="00811EE0">
        <w:t xml:space="preserve">means that any of the following apply to the </w:t>
      </w:r>
      <w:r w:rsidR="00A324C5" w:rsidRPr="00811EE0">
        <w:t xml:space="preserve">industrial </w:t>
      </w:r>
      <w:r w:rsidRPr="00811EE0">
        <w:t>chemical:</w:t>
      </w:r>
    </w:p>
    <w:p w14:paraId="22A90B86" w14:textId="77777777" w:rsidR="00171CFF" w:rsidRPr="00811EE0" w:rsidRDefault="00171CFF" w:rsidP="000D0955">
      <w:pPr>
        <w:pStyle w:val="ListParagraph"/>
        <w:numPr>
          <w:ilvl w:val="0"/>
          <w:numId w:val="54"/>
        </w:numPr>
      </w:pPr>
      <w:r w:rsidRPr="00811EE0">
        <w:t xml:space="preserve">it has a </w:t>
      </w:r>
      <w:r w:rsidRPr="00811EE0">
        <w:rPr>
          <w:rFonts w:hint="eastAsia"/>
        </w:rPr>
        <w:t>degradation half-life (T</w:t>
      </w:r>
      <w:r w:rsidRPr="00811EE0">
        <w:rPr>
          <w:rFonts w:hint="eastAsia"/>
        </w:rPr>
        <w:t>½</w:t>
      </w:r>
      <w:r w:rsidRPr="00811EE0">
        <w:rPr>
          <w:rFonts w:hint="eastAsia"/>
        </w:rPr>
        <w:t xml:space="preserve">) in air of </w:t>
      </w:r>
      <w:r w:rsidRPr="00811EE0">
        <w:rPr>
          <w:rFonts w:hint="eastAsia"/>
        </w:rPr>
        <w:t>≥</w:t>
      </w:r>
      <w:r w:rsidRPr="00811EE0">
        <w:rPr>
          <w:rFonts w:hint="eastAsia"/>
        </w:rPr>
        <w:t xml:space="preserve"> 2 days, or</w:t>
      </w:r>
    </w:p>
    <w:p w14:paraId="4A2BC788" w14:textId="77777777" w:rsidR="00171CFF" w:rsidRPr="00811EE0" w:rsidRDefault="00171CFF" w:rsidP="000D0955">
      <w:pPr>
        <w:pStyle w:val="ListParagraph"/>
        <w:numPr>
          <w:ilvl w:val="0"/>
          <w:numId w:val="54"/>
        </w:numPr>
      </w:pPr>
      <w:r w:rsidRPr="00811EE0">
        <w:rPr>
          <w:rFonts w:hint="eastAsia"/>
        </w:rPr>
        <w:t>it has a degradation half-life (T</w:t>
      </w:r>
      <w:r w:rsidRPr="00811EE0">
        <w:rPr>
          <w:rFonts w:hint="eastAsia"/>
        </w:rPr>
        <w:t>½</w:t>
      </w:r>
      <w:r w:rsidRPr="00811EE0">
        <w:rPr>
          <w:rFonts w:hint="eastAsia"/>
        </w:rPr>
        <w:t xml:space="preserve">) in water of </w:t>
      </w:r>
      <w:r w:rsidRPr="00811EE0">
        <w:rPr>
          <w:rFonts w:hint="eastAsia"/>
        </w:rPr>
        <w:t>≥</w:t>
      </w:r>
      <w:r w:rsidRPr="00811EE0">
        <w:rPr>
          <w:rFonts w:hint="eastAsia"/>
        </w:rPr>
        <w:t xml:space="preserve"> </w:t>
      </w:r>
      <w:r w:rsidR="00B54126">
        <w:t>2 months</w:t>
      </w:r>
      <w:r w:rsidR="00C14C62">
        <w:t>,</w:t>
      </w:r>
      <w:r w:rsidRPr="00811EE0">
        <w:t xml:space="preserve"> or</w:t>
      </w:r>
    </w:p>
    <w:p w14:paraId="0C927A8F" w14:textId="77777777" w:rsidR="00171CFF" w:rsidRPr="00811EE0" w:rsidRDefault="00171CFF" w:rsidP="000D0955">
      <w:pPr>
        <w:pStyle w:val="ListParagraph"/>
        <w:numPr>
          <w:ilvl w:val="0"/>
          <w:numId w:val="54"/>
        </w:numPr>
      </w:pPr>
      <w:r w:rsidRPr="00811EE0">
        <w:rPr>
          <w:rFonts w:hint="eastAsia"/>
        </w:rPr>
        <w:t>it has a degradation half-life (T</w:t>
      </w:r>
      <w:r w:rsidRPr="00811EE0">
        <w:rPr>
          <w:rFonts w:hint="eastAsia"/>
        </w:rPr>
        <w:t>½</w:t>
      </w:r>
      <w:r w:rsidRPr="00811EE0">
        <w:rPr>
          <w:rFonts w:hint="eastAsia"/>
        </w:rPr>
        <w:t xml:space="preserve">) in soil of </w:t>
      </w:r>
      <w:r w:rsidRPr="00811EE0">
        <w:rPr>
          <w:rFonts w:hint="eastAsia"/>
        </w:rPr>
        <w:t>≥</w:t>
      </w:r>
      <w:r w:rsidRPr="00811EE0">
        <w:rPr>
          <w:rFonts w:hint="eastAsia"/>
        </w:rPr>
        <w:t xml:space="preserve"> 6 months, or</w:t>
      </w:r>
    </w:p>
    <w:p w14:paraId="6A7484BB" w14:textId="77777777" w:rsidR="00171CFF" w:rsidRPr="00811EE0" w:rsidRDefault="00171CFF" w:rsidP="000D0955">
      <w:pPr>
        <w:pStyle w:val="ListParagraph"/>
        <w:numPr>
          <w:ilvl w:val="0"/>
          <w:numId w:val="54"/>
        </w:numPr>
      </w:pPr>
      <w:r w:rsidRPr="00811EE0">
        <w:rPr>
          <w:rFonts w:hint="eastAsia"/>
        </w:rPr>
        <w:t>it has a degradation half-life (T</w:t>
      </w:r>
      <w:r w:rsidRPr="00811EE0">
        <w:rPr>
          <w:rFonts w:hint="eastAsia"/>
        </w:rPr>
        <w:t>½</w:t>
      </w:r>
      <w:r w:rsidRPr="00811EE0">
        <w:rPr>
          <w:rFonts w:hint="eastAsia"/>
        </w:rPr>
        <w:t xml:space="preserve">) in sediment of </w:t>
      </w:r>
      <w:r w:rsidRPr="00811EE0">
        <w:rPr>
          <w:rFonts w:hint="eastAsia"/>
        </w:rPr>
        <w:t>≥</w:t>
      </w:r>
      <w:r w:rsidRPr="00811EE0">
        <w:rPr>
          <w:rFonts w:hint="eastAsia"/>
        </w:rPr>
        <w:t xml:space="preserve"> 6 months</w:t>
      </w:r>
      <w:r w:rsidR="00E25F7C">
        <w:t>.</w:t>
      </w:r>
    </w:p>
    <w:p w14:paraId="1314F066" w14:textId="77777777" w:rsidR="00171CFF" w:rsidRPr="00811EE0" w:rsidRDefault="00171CFF" w:rsidP="00805042">
      <w:r w:rsidRPr="00811EE0">
        <w:t>To demonstrate that this definition does not apply to a polyhalogen</w:t>
      </w:r>
      <w:r w:rsidR="007F64F1" w:rsidRPr="00811EE0">
        <w:t>at</w:t>
      </w:r>
      <w:r w:rsidRPr="00811EE0">
        <w:t>ed organic chemical, or its known environmental degradation products (for the purposes of table</w:t>
      </w:r>
      <w:r w:rsidR="00C45F57">
        <w:t xml:space="preserve"> item 2, section 28</w:t>
      </w:r>
      <w:r w:rsidRPr="00811EE0">
        <w:t xml:space="preserve"> and table</w:t>
      </w:r>
      <w:r w:rsidR="00C45F57">
        <w:t xml:space="preserve"> item 2, section 29 of the IC </w:t>
      </w:r>
      <w:r w:rsidR="00661C1A">
        <w:t xml:space="preserve">General </w:t>
      </w:r>
      <w:r w:rsidR="00C45F57">
        <w:t>Rules</w:t>
      </w:r>
      <w:r w:rsidRPr="00811EE0">
        <w:t>) the information required is at least one of the following:</w:t>
      </w:r>
    </w:p>
    <w:p w14:paraId="25573333" w14:textId="77777777" w:rsidR="00171CFF" w:rsidRPr="00811EE0" w:rsidRDefault="00171CFF" w:rsidP="000D0955">
      <w:pPr>
        <w:pStyle w:val="ListParagraph"/>
        <w:numPr>
          <w:ilvl w:val="0"/>
          <w:numId w:val="55"/>
        </w:numPr>
      </w:pPr>
      <w:r w:rsidRPr="00811EE0">
        <w:t>A study conducted on the industrial chemical following </w:t>
      </w:r>
      <w:hyperlink r:id="rId21" w:tgtFrame="_blank" w:tooltip="Opens in a new tab/window" w:history="1">
        <w:r w:rsidRPr="00811EE0">
          <w:t>OECD test guideline 301</w:t>
        </w:r>
      </w:hyperlink>
      <w:r w:rsidRPr="00811EE0">
        <w:t> result</w:t>
      </w:r>
      <w:r w:rsidR="00C14C62">
        <w:t>ing</w:t>
      </w:r>
      <w:r w:rsidRPr="00811EE0">
        <w:t xml:space="preserve"> in one of the following:</w:t>
      </w:r>
    </w:p>
    <w:p w14:paraId="1D540392" w14:textId="77777777" w:rsidR="00171CFF" w:rsidRPr="00811EE0" w:rsidRDefault="00CF4B13" w:rsidP="000D0955">
      <w:pPr>
        <w:pStyle w:val="ListParagraph"/>
        <w:numPr>
          <w:ilvl w:val="1"/>
          <w:numId w:val="55"/>
        </w:numPr>
      </w:pPr>
      <w:r>
        <w:t>t</w:t>
      </w:r>
      <w:r w:rsidR="00171CFF" w:rsidRPr="00811EE0">
        <w:t>he pass levels being reached within the specified time period such that the industrial chemical is considered to be read</w:t>
      </w:r>
      <w:r w:rsidR="00EF309A">
        <w:t>il</w:t>
      </w:r>
      <w:r w:rsidR="00171CFF" w:rsidRPr="00811EE0">
        <w:t>y biodegradable</w:t>
      </w:r>
      <w:r>
        <w:t>, or</w:t>
      </w:r>
    </w:p>
    <w:p w14:paraId="3B19BBED" w14:textId="77777777" w:rsidR="00171CFF" w:rsidRPr="00EF309A" w:rsidRDefault="00CF4B13" w:rsidP="000D0955">
      <w:pPr>
        <w:pStyle w:val="ListParagraph"/>
        <w:numPr>
          <w:ilvl w:val="1"/>
          <w:numId w:val="55"/>
        </w:numPr>
      </w:pPr>
      <w:r>
        <w:t>t</w:t>
      </w:r>
      <w:r w:rsidR="00171CFF" w:rsidRPr="00811EE0">
        <w:t>he pass levels being reached within the duration of the test, but not within the specified time period for the industrial chemical to be considered read</w:t>
      </w:r>
      <w:r w:rsidR="00EF309A">
        <w:t>il</w:t>
      </w:r>
      <w:r w:rsidR="00171CFF" w:rsidRPr="00811EE0">
        <w:t>y biodegradable</w:t>
      </w:r>
      <w:r w:rsidR="00EF309A" w:rsidRPr="00EF309A">
        <w:t xml:space="preserve">, </w:t>
      </w:r>
      <w:r w:rsidR="00EF309A" w:rsidRPr="00805042">
        <w:rPr>
          <w:rFonts w:eastAsia="Times New Roman"/>
        </w:rPr>
        <w:t>provided biodegradation has started within the specified time period</w:t>
      </w:r>
      <w:r w:rsidR="00F10B10">
        <w:rPr>
          <w:rFonts w:eastAsia="Times New Roman"/>
        </w:rPr>
        <w:t>, or</w:t>
      </w:r>
    </w:p>
    <w:p w14:paraId="654B3C4D" w14:textId="77777777" w:rsidR="00171CFF" w:rsidRPr="00811EE0" w:rsidRDefault="00171CFF" w:rsidP="000D0955">
      <w:pPr>
        <w:pStyle w:val="ListParagraph"/>
        <w:numPr>
          <w:ilvl w:val="0"/>
          <w:numId w:val="55"/>
        </w:numPr>
      </w:pPr>
      <w:r w:rsidRPr="00811EE0">
        <w:t>A study conducted on the industrial chemical following OECD test guideline </w:t>
      </w:r>
      <w:hyperlink r:id="rId22" w:tgtFrame="_blank" w:tooltip="Opens in a new tab/window" w:history="1">
        <w:r w:rsidRPr="00811EE0">
          <w:t>308</w:t>
        </w:r>
      </w:hyperlink>
      <w:r w:rsidRPr="00811EE0">
        <w:t> result</w:t>
      </w:r>
      <w:r w:rsidR="00C14C62">
        <w:t>ing</w:t>
      </w:r>
      <w:r w:rsidRPr="00811EE0">
        <w:t xml:space="preserve"> in both:</w:t>
      </w:r>
    </w:p>
    <w:p w14:paraId="12554193" w14:textId="77777777" w:rsidR="00171CFF" w:rsidRPr="00811EE0" w:rsidRDefault="00171CFF" w:rsidP="000D0955">
      <w:pPr>
        <w:pStyle w:val="ListParagraph"/>
        <w:numPr>
          <w:ilvl w:val="1"/>
          <w:numId w:val="55"/>
        </w:numPr>
      </w:pPr>
      <w:r w:rsidRPr="00811EE0">
        <w:t xml:space="preserve">a </w:t>
      </w:r>
      <w:r w:rsidR="00F54247" w:rsidRPr="00811EE0">
        <w:t xml:space="preserve">degradation </w:t>
      </w:r>
      <w:r w:rsidRPr="00811EE0">
        <w:t xml:space="preserve">half-life in water of </w:t>
      </w:r>
      <w:r w:rsidR="00F54247" w:rsidRPr="00811EE0">
        <w:t>&lt;</w:t>
      </w:r>
      <w:r w:rsidRPr="00811EE0">
        <w:t xml:space="preserve"> </w:t>
      </w:r>
      <w:r w:rsidR="00B54126">
        <w:t>2 months</w:t>
      </w:r>
      <w:r w:rsidR="00CF4B13">
        <w:t>,</w:t>
      </w:r>
      <w:r w:rsidRPr="00811EE0">
        <w:t xml:space="preserve"> and</w:t>
      </w:r>
    </w:p>
    <w:p w14:paraId="6BC15195" w14:textId="77777777" w:rsidR="0088089E" w:rsidRPr="00811EE0" w:rsidRDefault="00171CFF" w:rsidP="0072365D">
      <w:pPr>
        <w:pStyle w:val="ListParagraph"/>
        <w:numPr>
          <w:ilvl w:val="1"/>
          <w:numId w:val="55"/>
        </w:numPr>
      </w:pPr>
      <w:r w:rsidRPr="00811EE0">
        <w:t xml:space="preserve">a </w:t>
      </w:r>
      <w:r w:rsidR="00F54247" w:rsidRPr="00811EE0">
        <w:t xml:space="preserve">degradation </w:t>
      </w:r>
      <w:r w:rsidRPr="00811EE0">
        <w:t xml:space="preserve">half-life in sediment of </w:t>
      </w:r>
      <w:r w:rsidR="00F54247" w:rsidRPr="00811EE0">
        <w:t>&lt;</w:t>
      </w:r>
      <w:r w:rsidRPr="00811EE0">
        <w:t xml:space="preserve"> 6 months.</w:t>
      </w:r>
    </w:p>
    <w:p w14:paraId="7263AF45" w14:textId="77777777" w:rsidR="00B97029" w:rsidRDefault="00C45F57" w:rsidP="00805042">
      <w:pPr>
        <w:pStyle w:val="Heading2"/>
      </w:pPr>
      <w:bookmarkStart w:id="3" w:name="_Toc43890190"/>
      <w:r>
        <w:lastRenderedPageBreak/>
        <w:t xml:space="preserve">Section </w:t>
      </w:r>
      <w:r w:rsidR="00DB36BB">
        <w:t xml:space="preserve">6 of the </w:t>
      </w:r>
      <w:r w:rsidR="009547E9">
        <w:t>IC General Rules</w:t>
      </w:r>
      <w:bookmarkEnd w:id="3"/>
    </w:p>
    <w:p w14:paraId="7547EADD" w14:textId="77777777" w:rsidR="00DB36BB" w:rsidRPr="00F41138" w:rsidRDefault="00DB36BB" w:rsidP="00805042">
      <w:pPr>
        <w:pStyle w:val="Heading3"/>
        <w:ind w:left="709"/>
      </w:pPr>
      <w:r>
        <w:t>International parallel process</w:t>
      </w:r>
    </w:p>
    <w:p w14:paraId="630A29C7" w14:textId="77777777" w:rsidR="002652E0" w:rsidRDefault="006A17A0" w:rsidP="0088089E">
      <w:pPr>
        <w:rPr>
          <w:lang w:eastAsia="en-AU"/>
        </w:rPr>
      </w:pPr>
      <w:r>
        <w:rPr>
          <w:lang w:eastAsia="en-AU"/>
        </w:rPr>
        <w:t>For the purposes of tab</w:t>
      </w:r>
      <w:r w:rsidR="00C45F57">
        <w:rPr>
          <w:lang w:eastAsia="en-AU"/>
        </w:rPr>
        <w:t xml:space="preserve">le items 8 and 9 of subsection </w:t>
      </w:r>
      <w:r>
        <w:rPr>
          <w:lang w:eastAsia="en-AU"/>
        </w:rPr>
        <w:t xml:space="preserve">6(3) of </w:t>
      </w:r>
      <w:r w:rsidR="0062271E">
        <w:rPr>
          <w:lang w:eastAsia="en-AU"/>
        </w:rPr>
        <w:t>the IC General Rules</w:t>
      </w:r>
      <w:r w:rsidR="00041B7D">
        <w:rPr>
          <w:lang w:eastAsia="en-AU"/>
        </w:rPr>
        <w:t>, an</w:t>
      </w:r>
      <w:r w:rsidR="00ED2E95">
        <w:rPr>
          <w:lang w:eastAsia="en-AU"/>
        </w:rPr>
        <w:t xml:space="preserve"> </w:t>
      </w:r>
      <w:r w:rsidR="00ED2E95" w:rsidRPr="002F7909">
        <w:rPr>
          <w:b/>
          <w:lang w:eastAsia="en-AU"/>
        </w:rPr>
        <w:t>international parallel process</w:t>
      </w:r>
      <w:r w:rsidR="00041B7D">
        <w:rPr>
          <w:lang w:eastAsia="en-AU"/>
        </w:rPr>
        <w:t xml:space="preserve"> means a </w:t>
      </w:r>
      <w:r w:rsidR="00041B7D">
        <w:t>multilateral notification arrangement that has been undertaken in accordance with the ‘</w:t>
      </w:r>
      <w:r w:rsidR="002652E0">
        <w:t>Standard Operating Procedures (SOP) For The OECD Clearing House On New Chemicals Parallel Process</w:t>
      </w:r>
      <w:r w:rsidR="00041B7D">
        <w:t>’</w:t>
      </w:r>
      <w:r w:rsidR="002652E0">
        <w:t xml:space="preserve"> (ENV/JM/MONO(2012)26)</w:t>
      </w:r>
      <w:r w:rsidR="00041B7D">
        <w:rPr>
          <w:rStyle w:val="FootnoteReference"/>
        </w:rPr>
        <w:footnoteReference w:id="2"/>
      </w:r>
    </w:p>
    <w:p w14:paraId="17F19D20" w14:textId="77777777" w:rsidR="002652E0" w:rsidRDefault="002652E0" w:rsidP="0088089E">
      <w:pPr>
        <w:rPr>
          <w:lang w:eastAsia="en-AU"/>
        </w:rPr>
      </w:pPr>
    </w:p>
    <w:p w14:paraId="2B258255" w14:textId="77777777" w:rsidR="00FD3E19" w:rsidRDefault="00FD3E19" w:rsidP="0088089E">
      <w:pPr>
        <w:pStyle w:val="Heading1"/>
        <w:spacing w:line="240" w:lineRule="auto"/>
      </w:pPr>
      <w:bookmarkStart w:id="4" w:name="_Toc390594988"/>
      <w:bookmarkStart w:id="5" w:name="_Toc43890191"/>
      <w:bookmarkEnd w:id="4"/>
      <w:r>
        <w:t>Definition of terms in Chapter 2, Part 2 of the IC General Rules</w:t>
      </w:r>
      <w:bookmarkEnd w:id="5"/>
    </w:p>
    <w:p w14:paraId="5905C913" w14:textId="77777777" w:rsidR="00FD3E19" w:rsidRDefault="000121A9" w:rsidP="000121A9">
      <w:pPr>
        <w:pStyle w:val="Heading2"/>
      </w:pPr>
      <w:bookmarkStart w:id="6" w:name="_Toc43890192"/>
      <w:r>
        <w:t>High molecular weight polymer that has lung overloading potential</w:t>
      </w:r>
      <w:bookmarkEnd w:id="6"/>
    </w:p>
    <w:p w14:paraId="4DFFC1B5" w14:textId="77777777" w:rsidR="00FD3E19" w:rsidRDefault="00FD3E19" w:rsidP="00805042">
      <w:r>
        <w:rPr>
          <w:lang w:eastAsia="en-AU"/>
        </w:rPr>
        <w:t xml:space="preserve">For the </w:t>
      </w:r>
      <w:r>
        <w:t xml:space="preserve">purposes of </w:t>
      </w:r>
      <w:r w:rsidR="000121A9">
        <w:t>subs</w:t>
      </w:r>
      <w:r w:rsidR="00661C1A">
        <w:t>ection 26</w:t>
      </w:r>
      <w:r>
        <w:t>(6) of the IC General Rules:</w:t>
      </w:r>
    </w:p>
    <w:p w14:paraId="67B7147E" w14:textId="77777777" w:rsidR="00FD3E19" w:rsidRDefault="00FD3E19" w:rsidP="00805042">
      <w:r>
        <w:t>High molecular weight polymer that has lung overloading potential means that all of the following apply to the industrial chemical:</w:t>
      </w:r>
    </w:p>
    <w:p w14:paraId="759A1A82" w14:textId="77777777" w:rsidR="00FD3E19" w:rsidRDefault="00FD3E19" w:rsidP="000D0955">
      <w:pPr>
        <w:pStyle w:val="ListParagraph"/>
        <w:numPr>
          <w:ilvl w:val="0"/>
          <w:numId w:val="56"/>
        </w:numPr>
      </w:pPr>
      <w:r>
        <w:t>it is a polymer, and</w:t>
      </w:r>
    </w:p>
    <w:p w14:paraId="33F7ED48" w14:textId="77777777" w:rsidR="00FD3E19" w:rsidRPr="00460914" w:rsidRDefault="00FD3E19" w:rsidP="000D0955">
      <w:pPr>
        <w:pStyle w:val="ListParagraph"/>
        <w:numPr>
          <w:ilvl w:val="0"/>
          <w:numId w:val="56"/>
        </w:numPr>
      </w:pPr>
      <w:r>
        <w:t xml:space="preserve">it </w:t>
      </w:r>
      <w:r w:rsidRPr="00460914">
        <w:t>has a number average molecular weight that is &gt;70,000 g/mol, and</w:t>
      </w:r>
    </w:p>
    <w:p w14:paraId="4956A6F7" w14:textId="77777777" w:rsidR="00FD3E19" w:rsidRPr="00460914" w:rsidRDefault="00FD3E19" w:rsidP="000D0955">
      <w:pPr>
        <w:pStyle w:val="ListParagraph"/>
        <w:numPr>
          <w:ilvl w:val="0"/>
          <w:numId w:val="56"/>
        </w:numPr>
      </w:pPr>
      <w:r>
        <w:t xml:space="preserve">it </w:t>
      </w:r>
      <w:r w:rsidRPr="00460914">
        <w:t>has a solubility in water of &lt; 0.1 mg/L, and</w:t>
      </w:r>
    </w:p>
    <w:p w14:paraId="1C503A55" w14:textId="77777777" w:rsidR="00FD3E19" w:rsidRPr="00460914" w:rsidRDefault="00FD3E19" w:rsidP="000D0955">
      <w:pPr>
        <w:pStyle w:val="ListParagraph"/>
        <w:numPr>
          <w:ilvl w:val="0"/>
          <w:numId w:val="56"/>
        </w:numPr>
      </w:pPr>
      <w:r>
        <w:t xml:space="preserve">it </w:t>
      </w:r>
      <w:r w:rsidRPr="00460914">
        <w:t>becomes aerosolised during end use.</w:t>
      </w:r>
    </w:p>
    <w:p w14:paraId="4CDA983C" w14:textId="77777777" w:rsidR="00FD3E19" w:rsidRPr="00FD3E19" w:rsidRDefault="00FD3E19" w:rsidP="00FD3E19"/>
    <w:p w14:paraId="790F08F7" w14:textId="77777777" w:rsidR="00485858" w:rsidRDefault="009E7695" w:rsidP="00805042">
      <w:pPr>
        <w:pStyle w:val="Heading1"/>
      </w:pPr>
      <w:bookmarkStart w:id="7" w:name="_Toc43890193"/>
      <w:r>
        <w:t>D</w:t>
      </w:r>
      <w:r w:rsidR="006F61C9">
        <w:t>efinition of terms in Chapter 2, Part 3</w:t>
      </w:r>
      <w:r>
        <w:t xml:space="preserve"> of the </w:t>
      </w:r>
      <w:r w:rsidR="009547E9">
        <w:t>IC General Rules</w:t>
      </w:r>
      <w:bookmarkEnd w:id="7"/>
    </w:p>
    <w:p w14:paraId="50D7DD65" w14:textId="77777777" w:rsidR="009E7695" w:rsidRPr="00BD06B3" w:rsidRDefault="00661C1A" w:rsidP="00805042">
      <w:pPr>
        <w:pStyle w:val="Heading2"/>
      </w:pPr>
      <w:bookmarkStart w:id="8" w:name="_Toc43890194"/>
      <w:r>
        <w:t xml:space="preserve">Section </w:t>
      </w:r>
      <w:r w:rsidR="009E7695">
        <w:t>2</w:t>
      </w:r>
      <w:r>
        <w:t>8</w:t>
      </w:r>
      <w:r w:rsidR="009E7695">
        <w:t xml:space="preserve"> of the </w:t>
      </w:r>
      <w:r w:rsidR="009547E9">
        <w:t>IC General Rules</w:t>
      </w:r>
      <w:bookmarkEnd w:id="8"/>
    </w:p>
    <w:p w14:paraId="04555AAA" w14:textId="77777777" w:rsidR="00992792" w:rsidRDefault="00992792" w:rsidP="00805042">
      <w:pPr>
        <w:pStyle w:val="Heading3"/>
        <w:ind w:left="709"/>
      </w:pPr>
      <w:r>
        <w:t>Not soluble</w:t>
      </w:r>
    </w:p>
    <w:p w14:paraId="5983DF9B" w14:textId="77777777" w:rsidR="00DF12A7" w:rsidRDefault="00992792" w:rsidP="00330376">
      <w:r>
        <w:t>For the purposes o</w:t>
      </w:r>
      <w:r w:rsidR="00CE70C3">
        <w:t>f table item 3(b) of s</w:t>
      </w:r>
      <w:r w:rsidR="00661C1A">
        <w:t>ection 28</w:t>
      </w:r>
      <w:r>
        <w:t xml:space="preserve"> of </w:t>
      </w:r>
      <w:r w:rsidR="0062271E">
        <w:t>the IC General Rules</w:t>
      </w:r>
      <w:r>
        <w:t>, not soluble means</w:t>
      </w:r>
      <w:r w:rsidR="00DF12A7">
        <w:t xml:space="preserve"> at least one of the following applies:</w:t>
      </w:r>
    </w:p>
    <w:p w14:paraId="332631D3" w14:textId="77777777" w:rsidR="00DF12A7" w:rsidRDefault="009A3164" w:rsidP="000D0955">
      <w:pPr>
        <w:pStyle w:val="ListParagraph"/>
        <w:numPr>
          <w:ilvl w:val="0"/>
          <w:numId w:val="17"/>
        </w:numPr>
      </w:pPr>
      <w:r>
        <w:lastRenderedPageBreak/>
        <w:t>t</w:t>
      </w:r>
      <w:r w:rsidR="00DF12A7">
        <w:t>he solubility of the chemical in water is &lt;33.3 g/L</w:t>
      </w:r>
      <w:r w:rsidR="00596684">
        <w:t>, measured following an acceptable test guideline for water solubility, or</w:t>
      </w:r>
    </w:p>
    <w:p w14:paraId="5B52306F" w14:textId="77777777" w:rsidR="00DF12A7" w:rsidRPr="00992792" w:rsidRDefault="009A3164" w:rsidP="000D0955">
      <w:pPr>
        <w:pStyle w:val="ListParagraph"/>
        <w:numPr>
          <w:ilvl w:val="0"/>
          <w:numId w:val="17"/>
        </w:numPr>
      </w:pPr>
      <w:r>
        <w:t>t</w:t>
      </w:r>
      <w:r w:rsidR="00DF12A7">
        <w:t xml:space="preserve">he dissolution rate of the chemical is </w:t>
      </w:r>
      <w:r w:rsidR="00DF12A7">
        <w:rPr>
          <w:rFonts w:cs="Segoe UI"/>
        </w:rPr>
        <w:t>≤</w:t>
      </w:r>
      <w:r w:rsidR="00DF12A7">
        <w:t xml:space="preserve"> 70%</w:t>
      </w:r>
      <w:r w:rsidR="00596684">
        <w:t>.</w:t>
      </w:r>
    </w:p>
    <w:p w14:paraId="7B1908C8" w14:textId="77777777" w:rsidR="009E7695" w:rsidRPr="00F41138" w:rsidRDefault="009E7695" w:rsidP="00805042">
      <w:pPr>
        <w:pStyle w:val="Heading3"/>
        <w:ind w:left="709"/>
      </w:pPr>
      <w:r>
        <w:t xml:space="preserve">The risks to human health from the introduction and use of the industrial chemical are no higher in Australia than in the overseas jurisdiction </w:t>
      </w:r>
    </w:p>
    <w:p w14:paraId="0A72E788" w14:textId="77777777" w:rsidR="00992792" w:rsidRDefault="00992792" w:rsidP="00805042">
      <w:r>
        <w:t xml:space="preserve">For the purposes of </w:t>
      </w:r>
      <w:r w:rsidR="00661C1A">
        <w:t xml:space="preserve">table item 6(c) of </w:t>
      </w:r>
      <w:r w:rsidR="00831933">
        <w:t>s</w:t>
      </w:r>
      <w:r w:rsidR="00661C1A">
        <w:t>ection 28</w:t>
      </w:r>
      <w:r>
        <w:t xml:space="preserve"> of </w:t>
      </w:r>
      <w:r w:rsidR="0062271E">
        <w:t>the IC General Rules</w:t>
      </w:r>
      <w:r>
        <w:t>:</w:t>
      </w:r>
    </w:p>
    <w:p w14:paraId="7528FE15" w14:textId="77777777" w:rsidR="00805042" w:rsidRDefault="00DB7E0B" w:rsidP="00805042">
      <w:r w:rsidRPr="00E046B5">
        <w:t>To work out if the </w:t>
      </w:r>
      <w:r w:rsidR="00E35B55">
        <w:t xml:space="preserve">risks to </w:t>
      </w:r>
      <w:r w:rsidRPr="00E35B55">
        <w:rPr>
          <w:bCs/>
        </w:rPr>
        <w:t>human health</w:t>
      </w:r>
      <w:r w:rsidRPr="00E046B5">
        <w:t> </w:t>
      </w:r>
      <w:r w:rsidR="00E35B55">
        <w:t>from the introduction and use of the industrial chemical are</w:t>
      </w:r>
      <w:r w:rsidRPr="00E046B5">
        <w:t xml:space="preserve"> </w:t>
      </w:r>
      <w:r w:rsidR="00E35B55">
        <w:t xml:space="preserve">no </w:t>
      </w:r>
      <w:r w:rsidRPr="00E046B5">
        <w:t xml:space="preserve">higher in Australia </w:t>
      </w:r>
      <w:r w:rsidR="00E35B55">
        <w:t>tha</w:t>
      </w:r>
      <w:r w:rsidR="00FE2F5A">
        <w:t>n in the overseas jurisdiction,</w:t>
      </w:r>
      <w:r w:rsidR="00E35B55">
        <w:t xml:space="preserve"> all of the following</w:t>
      </w:r>
      <w:r w:rsidR="00FE2F5A">
        <w:t xml:space="preserve"> must be considered</w:t>
      </w:r>
      <w:r w:rsidR="00805042">
        <w:t>:</w:t>
      </w:r>
    </w:p>
    <w:p w14:paraId="40A855E1" w14:textId="77777777" w:rsidR="00805042" w:rsidRDefault="00DB7E0B" w:rsidP="000D0955">
      <w:pPr>
        <w:pStyle w:val="ListParagraph"/>
        <w:numPr>
          <w:ilvl w:val="0"/>
          <w:numId w:val="57"/>
        </w:numPr>
      </w:pPr>
      <w:r>
        <w:t>the mode of introduction of the chemical (import or manufacture) into Australia compared to the mode of introduction of the chemical into the overseas jurisdiction</w:t>
      </w:r>
      <w:r w:rsidR="0088089E">
        <w:t>, and</w:t>
      </w:r>
    </w:p>
    <w:p w14:paraId="14F36219" w14:textId="77777777" w:rsidR="00805042" w:rsidRDefault="00DB7E0B" w:rsidP="000D0955">
      <w:pPr>
        <w:pStyle w:val="ListParagraph"/>
        <w:numPr>
          <w:ilvl w:val="0"/>
          <w:numId w:val="57"/>
        </w:numPr>
      </w:pPr>
      <w:r>
        <w:t>the concentration of the chemical when introduced into Australia compared to the concentration when introduced into the overseas jurisdiction</w:t>
      </w:r>
      <w:r w:rsidR="0088089E">
        <w:t>, and</w:t>
      </w:r>
    </w:p>
    <w:p w14:paraId="580705E3" w14:textId="77777777" w:rsidR="00805042" w:rsidRDefault="00DB7E0B" w:rsidP="000D0955">
      <w:pPr>
        <w:pStyle w:val="ListParagraph"/>
        <w:numPr>
          <w:ilvl w:val="0"/>
          <w:numId w:val="57"/>
        </w:numPr>
      </w:pPr>
      <w:r>
        <w:t xml:space="preserve">the use of the chemical in Australia compared to the use of the chemical in the overseas jurisdiction </w:t>
      </w:r>
      <w:r w:rsidR="00F66851">
        <w:t>- n</w:t>
      </w:r>
      <w:r>
        <w:t xml:space="preserve">ote that ‘use’ </w:t>
      </w:r>
      <w:r w:rsidR="00C7627F">
        <w:t xml:space="preserve">is </w:t>
      </w:r>
      <w:r w:rsidR="00907CE4">
        <w:t>broader than</w:t>
      </w:r>
      <w:r w:rsidR="00805042">
        <w:t xml:space="preserve"> ‘end use’ </w:t>
      </w:r>
      <w:r w:rsidR="008E5ECB">
        <w:t>(refer to the IC Act for definitions of these terms)</w:t>
      </w:r>
      <w:r w:rsidR="0088089E">
        <w:t>, and</w:t>
      </w:r>
    </w:p>
    <w:p w14:paraId="2079C722" w14:textId="77777777" w:rsidR="00805042" w:rsidRDefault="00DB7E0B" w:rsidP="001E04F5">
      <w:pPr>
        <w:pStyle w:val="ListParagraph"/>
        <w:numPr>
          <w:ilvl w:val="0"/>
          <w:numId w:val="57"/>
        </w:numPr>
      </w:pPr>
      <w:r>
        <w:t>the concentration</w:t>
      </w:r>
      <w:r w:rsidR="008468D1">
        <w:t>(s)</w:t>
      </w:r>
      <w:r>
        <w:t xml:space="preserve"> of the chemical when used in Australia compared to the concentration</w:t>
      </w:r>
      <w:r w:rsidR="008468D1">
        <w:t>(s)</w:t>
      </w:r>
      <w:r>
        <w:t xml:space="preserve"> when used in the overseas jurisdiction</w:t>
      </w:r>
      <w:r w:rsidR="008E5ECB">
        <w:t xml:space="preserve"> </w:t>
      </w:r>
      <w:r w:rsidR="006F186F">
        <w:t>- note that ‘use’ is broader than ‘end use’</w:t>
      </w:r>
      <w:r w:rsidR="001E04F5">
        <w:t xml:space="preserve"> so</w:t>
      </w:r>
      <w:r w:rsidR="00000CE9">
        <w:t xml:space="preserve"> the </w:t>
      </w:r>
      <w:r>
        <w:t>concentration</w:t>
      </w:r>
      <w:r w:rsidR="008468D1">
        <w:t>(s)</w:t>
      </w:r>
      <w:r w:rsidR="00000CE9">
        <w:t xml:space="preserve"> during use</w:t>
      </w:r>
      <w:r>
        <w:t xml:space="preserve"> </w:t>
      </w:r>
      <w:r w:rsidR="008468D1">
        <w:t xml:space="preserve">may be different to the </w:t>
      </w:r>
      <w:r>
        <w:t xml:space="preserve">concentration </w:t>
      </w:r>
      <w:r w:rsidR="00000CE9">
        <w:t>during</w:t>
      </w:r>
      <w:r>
        <w:t xml:space="preserve"> end use</w:t>
      </w:r>
      <w:r w:rsidR="0088089E">
        <w:t>, and</w:t>
      </w:r>
      <w:r>
        <w:t xml:space="preserve"> </w:t>
      </w:r>
    </w:p>
    <w:p w14:paraId="7AD92BE1" w14:textId="77777777" w:rsidR="00DB7E0B" w:rsidRDefault="00DB7E0B" w:rsidP="000D0955">
      <w:pPr>
        <w:pStyle w:val="ListParagraph"/>
        <w:numPr>
          <w:ilvl w:val="0"/>
          <w:numId w:val="57"/>
        </w:numPr>
      </w:pPr>
      <w:r>
        <w:t>the route of any expected human exposure to the chemical during introduction</w:t>
      </w:r>
      <w:r w:rsidR="008468D1">
        <w:t xml:space="preserve"> and</w:t>
      </w:r>
      <w:r>
        <w:t xml:space="preserve"> use </w:t>
      </w:r>
      <w:r w:rsidR="008468D1">
        <w:t>(including</w:t>
      </w:r>
      <w:r>
        <w:t xml:space="preserve"> end use</w:t>
      </w:r>
      <w:r w:rsidR="008468D1">
        <w:t>)</w:t>
      </w:r>
      <w:r>
        <w:t xml:space="preserve"> in Australia compared to the route of any expected human exposure in the overseas jurisdiction during introduction</w:t>
      </w:r>
      <w:r w:rsidR="008468D1">
        <w:t xml:space="preserve"> and</w:t>
      </w:r>
      <w:r>
        <w:t xml:space="preserve"> use </w:t>
      </w:r>
      <w:r w:rsidR="008468D1">
        <w:t>(including</w:t>
      </w:r>
      <w:r>
        <w:t xml:space="preserve"> end use</w:t>
      </w:r>
      <w:r w:rsidR="008468D1">
        <w:t>)</w:t>
      </w:r>
      <w:r w:rsidR="0088089E">
        <w:t>.</w:t>
      </w:r>
    </w:p>
    <w:p w14:paraId="78755058" w14:textId="77777777" w:rsidR="00DB7E0B" w:rsidRPr="00E046B5" w:rsidRDefault="00DB7E0B" w:rsidP="00330376">
      <w:r w:rsidRPr="00E046B5">
        <w:t xml:space="preserve">If </w:t>
      </w:r>
      <w:r>
        <w:t xml:space="preserve">any of these </w:t>
      </w:r>
      <w:r w:rsidR="008468D1">
        <w:t xml:space="preserve">comparisons indicate a </w:t>
      </w:r>
      <w:r w:rsidRPr="00E046B5">
        <w:t>differen</w:t>
      </w:r>
      <w:r w:rsidR="008468D1">
        <w:t>ce between Australi</w:t>
      </w:r>
      <w:r w:rsidR="00174FE4">
        <w:t>a and the overseas jurisdiction</w:t>
      </w:r>
      <w:r w:rsidRPr="00E046B5">
        <w:t xml:space="preserve">, </w:t>
      </w:r>
      <w:r w:rsidR="00FE2F5A">
        <w:t>it</w:t>
      </w:r>
      <w:r w:rsidRPr="00E046B5">
        <w:t xml:space="preserve"> </w:t>
      </w:r>
      <w:r>
        <w:t>must</w:t>
      </w:r>
      <w:r w:rsidR="00FE2F5A">
        <w:t xml:space="preserve"> be</w:t>
      </w:r>
      <w:r w:rsidRPr="00E046B5">
        <w:t xml:space="preserve"> consider</w:t>
      </w:r>
      <w:r w:rsidR="00FE2F5A">
        <w:t>ed</w:t>
      </w:r>
      <w:r w:rsidRPr="00E046B5">
        <w:t xml:space="preserve"> </w:t>
      </w:r>
      <w:r w:rsidR="001E04F5">
        <w:t>whether</w:t>
      </w:r>
      <w:r w:rsidR="001E04F5" w:rsidRPr="00E046B5">
        <w:t xml:space="preserve"> </w:t>
      </w:r>
      <w:r w:rsidRPr="00E046B5">
        <w:t xml:space="preserve">this </w:t>
      </w:r>
      <w:r w:rsidR="008468D1">
        <w:t>increases</w:t>
      </w:r>
      <w:r w:rsidR="008468D1" w:rsidRPr="00E046B5">
        <w:t xml:space="preserve"> </w:t>
      </w:r>
      <w:r w:rsidRPr="00E046B5">
        <w:t>the risk to human health</w:t>
      </w:r>
      <w:r w:rsidR="008468D1">
        <w:t xml:space="preserve"> in Australia</w:t>
      </w:r>
      <w:r w:rsidRPr="00E046B5">
        <w:t>.</w:t>
      </w:r>
    </w:p>
    <w:p w14:paraId="479838AE" w14:textId="77777777" w:rsidR="00DB7E0B" w:rsidRDefault="00DB7E0B" w:rsidP="00330376"/>
    <w:p w14:paraId="35C336AA" w14:textId="77777777" w:rsidR="009E7695" w:rsidRPr="00BD06B3" w:rsidRDefault="009E7695" w:rsidP="00805042">
      <w:pPr>
        <w:pStyle w:val="Heading2"/>
      </w:pPr>
      <w:bookmarkStart w:id="9" w:name="_Toc43890195"/>
      <w:r w:rsidRPr="00805042">
        <w:t>Section</w:t>
      </w:r>
      <w:r w:rsidR="00661C1A">
        <w:t xml:space="preserve"> 29</w:t>
      </w:r>
      <w:r>
        <w:t xml:space="preserve"> of the </w:t>
      </w:r>
      <w:r w:rsidR="009547E9">
        <w:t>IC General Rules</w:t>
      </w:r>
      <w:bookmarkEnd w:id="9"/>
    </w:p>
    <w:p w14:paraId="1D14EE3A" w14:textId="77777777" w:rsidR="00992792" w:rsidRDefault="00992792" w:rsidP="00805042">
      <w:pPr>
        <w:pStyle w:val="Heading3"/>
        <w:ind w:left="709"/>
      </w:pPr>
      <w:r>
        <w:t xml:space="preserve">Not </w:t>
      </w:r>
      <w:r w:rsidRPr="00805042">
        <w:t>soluble</w:t>
      </w:r>
    </w:p>
    <w:p w14:paraId="4703F213" w14:textId="77777777" w:rsidR="008F00AF" w:rsidRDefault="00992792" w:rsidP="008F00AF">
      <w:r>
        <w:t>For the purposes o</w:t>
      </w:r>
      <w:r w:rsidR="00661C1A">
        <w:t xml:space="preserve">f table item 3(b) of </w:t>
      </w:r>
      <w:r w:rsidR="005E0599">
        <w:t>s</w:t>
      </w:r>
      <w:r w:rsidR="00661C1A">
        <w:t>ection 29</w:t>
      </w:r>
      <w:r>
        <w:t xml:space="preserve"> of </w:t>
      </w:r>
      <w:r w:rsidR="0062271E">
        <w:t>the IC General Rules</w:t>
      </w:r>
      <w:r>
        <w:t xml:space="preserve">, </w:t>
      </w:r>
      <w:r w:rsidR="008F00AF">
        <w:t>not soluble means at least one of the following applies:</w:t>
      </w:r>
    </w:p>
    <w:p w14:paraId="7D6A95EB" w14:textId="77777777" w:rsidR="008F00AF" w:rsidRDefault="005E0599" w:rsidP="000D0955">
      <w:pPr>
        <w:pStyle w:val="ListParagraph"/>
        <w:numPr>
          <w:ilvl w:val="0"/>
          <w:numId w:val="17"/>
        </w:numPr>
      </w:pPr>
      <w:r>
        <w:t>t</w:t>
      </w:r>
      <w:r w:rsidR="008F00AF">
        <w:t>he solubility of the chemical in water is &lt;33.3 g/L</w:t>
      </w:r>
      <w:r w:rsidR="00A872ED">
        <w:t>, measured following an acceptable test guideline for water solubility, or</w:t>
      </w:r>
    </w:p>
    <w:p w14:paraId="7D066276" w14:textId="77777777" w:rsidR="008F00AF" w:rsidRPr="00992792" w:rsidRDefault="005E0599" w:rsidP="000D0955">
      <w:pPr>
        <w:pStyle w:val="ListParagraph"/>
        <w:numPr>
          <w:ilvl w:val="0"/>
          <w:numId w:val="17"/>
        </w:numPr>
      </w:pPr>
      <w:r>
        <w:t>t</w:t>
      </w:r>
      <w:r w:rsidR="008F00AF">
        <w:t xml:space="preserve">he dissolution rate of the chemical is </w:t>
      </w:r>
      <w:r w:rsidR="008F00AF">
        <w:rPr>
          <w:rFonts w:cs="Segoe UI"/>
        </w:rPr>
        <w:t>≤</w:t>
      </w:r>
      <w:r w:rsidR="008F00AF">
        <w:t xml:space="preserve"> 70%</w:t>
      </w:r>
      <w:r w:rsidR="00A872ED">
        <w:t>.</w:t>
      </w:r>
    </w:p>
    <w:p w14:paraId="78FC4013" w14:textId="77777777" w:rsidR="00992792" w:rsidRPr="00992792" w:rsidRDefault="00992792" w:rsidP="00330376"/>
    <w:p w14:paraId="003318CF" w14:textId="77777777" w:rsidR="009E7695" w:rsidRPr="00F41138" w:rsidRDefault="009E7695" w:rsidP="00805042">
      <w:pPr>
        <w:pStyle w:val="Heading3"/>
        <w:ind w:left="709"/>
      </w:pPr>
      <w:r>
        <w:lastRenderedPageBreak/>
        <w:t xml:space="preserve">The risks to the environment from the introduction and use of the industrial chemical are no higher in Australia than in the overseas jurisdiction </w:t>
      </w:r>
    </w:p>
    <w:p w14:paraId="434B7313" w14:textId="77777777" w:rsidR="00992792" w:rsidRDefault="00992792" w:rsidP="00805042">
      <w:r>
        <w:t>For the purposes o</w:t>
      </w:r>
      <w:r w:rsidR="00661C1A">
        <w:t xml:space="preserve">f table item 9(c) of </w:t>
      </w:r>
      <w:r w:rsidR="00F61D62">
        <w:t>s</w:t>
      </w:r>
      <w:r w:rsidR="00661C1A">
        <w:t>ection 29</w:t>
      </w:r>
      <w:r>
        <w:t xml:space="preserve"> of </w:t>
      </w:r>
      <w:r w:rsidR="0062271E">
        <w:t>the IC General Rules</w:t>
      </w:r>
      <w:r>
        <w:t>:</w:t>
      </w:r>
    </w:p>
    <w:p w14:paraId="408A6A62" w14:textId="77777777" w:rsidR="00DB7E0B" w:rsidRDefault="00DB7E0B" w:rsidP="00805042">
      <w:r w:rsidRPr="00E046B5">
        <w:t>To work out if the </w:t>
      </w:r>
      <w:r w:rsidR="00E35B55">
        <w:t xml:space="preserve">risks to the </w:t>
      </w:r>
      <w:r w:rsidRPr="00E35B55">
        <w:rPr>
          <w:bCs/>
        </w:rPr>
        <w:t>environment</w:t>
      </w:r>
      <w:r w:rsidR="00E35B55">
        <w:rPr>
          <w:bCs/>
        </w:rPr>
        <w:t xml:space="preserve"> from the introduction and use of the industrial chemical are no higher in </w:t>
      </w:r>
      <w:r w:rsidRPr="00E046B5">
        <w:t xml:space="preserve">Australia </w:t>
      </w:r>
      <w:r w:rsidR="00E35B55">
        <w:t>th</w:t>
      </w:r>
      <w:r w:rsidR="00FE2F5A">
        <w:t>an in the overseas jurisdiction,</w:t>
      </w:r>
      <w:r w:rsidR="00E35B55">
        <w:t xml:space="preserve"> all of the following</w:t>
      </w:r>
      <w:r w:rsidR="00FE2F5A">
        <w:t xml:space="preserve"> must be considered</w:t>
      </w:r>
      <w:r>
        <w:t>:</w:t>
      </w:r>
    </w:p>
    <w:p w14:paraId="19200899" w14:textId="77777777" w:rsidR="00DB7E0B" w:rsidRDefault="00DB7E0B" w:rsidP="000D0955">
      <w:pPr>
        <w:pStyle w:val="ListParagraph"/>
        <w:numPr>
          <w:ilvl w:val="0"/>
          <w:numId w:val="58"/>
        </w:numPr>
      </w:pPr>
      <w:r>
        <w:t>the mode of introduction of the chemical (import or manufacture) into Australia compared to the mode of introduction of the chemical into the overseas jurisdiction</w:t>
      </w:r>
      <w:r w:rsidR="0088089E">
        <w:t>, and</w:t>
      </w:r>
    </w:p>
    <w:p w14:paraId="7CF684A2" w14:textId="77777777" w:rsidR="00DB7E0B" w:rsidRDefault="00DB7E0B" w:rsidP="000D0955">
      <w:pPr>
        <w:pStyle w:val="ListParagraph"/>
        <w:numPr>
          <w:ilvl w:val="0"/>
          <w:numId w:val="58"/>
        </w:numPr>
      </w:pPr>
      <w:r>
        <w:t xml:space="preserve">the use of the chemical in Australia compared to the use of the chemical in the overseas jurisdiction </w:t>
      </w:r>
      <w:r w:rsidR="002327C7">
        <w:t>- n</w:t>
      </w:r>
      <w:r>
        <w:t xml:space="preserve">ote that ‘use’ is </w:t>
      </w:r>
      <w:r w:rsidR="00992ED0">
        <w:t>broader than</w:t>
      </w:r>
      <w:r>
        <w:t xml:space="preserve"> ‘end use’</w:t>
      </w:r>
      <w:r w:rsidR="00E129AA">
        <w:t xml:space="preserve"> and includes release into the environment (such as waste disposal)</w:t>
      </w:r>
      <w:r w:rsidR="0088089E">
        <w:t>, and</w:t>
      </w:r>
    </w:p>
    <w:p w14:paraId="184B3DC1" w14:textId="77777777" w:rsidR="00DB7E0B" w:rsidRDefault="00DB7E0B" w:rsidP="000D0955">
      <w:pPr>
        <w:pStyle w:val="ListParagraph"/>
        <w:numPr>
          <w:ilvl w:val="0"/>
          <w:numId w:val="58"/>
        </w:numPr>
      </w:pPr>
      <w:r>
        <w:t>the</w:t>
      </w:r>
      <w:r w:rsidRPr="00E046B5">
        <w:t xml:space="preserve"> </w:t>
      </w:r>
      <w:r w:rsidR="00AA59A6">
        <w:t xml:space="preserve">environment </w:t>
      </w:r>
      <w:r w:rsidRPr="00E046B5">
        <w:t xml:space="preserve">risk assessment assumptions used by </w:t>
      </w:r>
      <w:r>
        <w:t>the</w:t>
      </w:r>
      <w:r w:rsidRPr="00E046B5">
        <w:t xml:space="preserve"> </w:t>
      </w:r>
      <w:r w:rsidR="00992ED0">
        <w:t>international assessment</w:t>
      </w:r>
      <w:r w:rsidR="00992ED0" w:rsidRPr="00E046B5">
        <w:t xml:space="preserve"> </w:t>
      </w:r>
      <w:r w:rsidRPr="00E046B5">
        <w:t xml:space="preserve">body compared to </w:t>
      </w:r>
      <w:r w:rsidR="00AA59A6">
        <w:t xml:space="preserve">the </w:t>
      </w:r>
      <w:r w:rsidR="00361893">
        <w:t xml:space="preserve">environment </w:t>
      </w:r>
      <w:r w:rsidRPr="00E046B5">
        <w:t>risk assessment assumptions</w:t>
      </w:r>
      <w:r w:rsidR="00AA59A6">
        <w:t xml:space="preserve"> that would be used in Australia</w:t>
      </w:r>
      <w:r w:rsidR="0088089E">
        <w:t>.</w:t>
      </w:r>
    </w:p>
    <w:p w14:paraId="198CD52E" w14:textId="77777777" w:rsidR="00DB7E0B" w:rsidRDefault="00992ED0" w:rsidP="00805042">
      <w:r w:rsidRPr="00E046B5">
        <w:t xml:space="preserve">If </w:t>
      </w:r>
      <w:r>
        <w:t xml:space="preserve">any of these comparisons indicate a </w:t>
      </w:r>
      <w:r w:rsidRPr="00E046B5">
        <w:t>differen</w:t>
      </w:r>
      <w:r>
        <w:t>ce between Australi</w:t>
      </w:r>
      <w:r w:rsidR="00FE2F5A">
        <w:t>a and the overseas jurisdiction</w:t>
      </w:r>
      <w:r w:rsidRPr="00E046B5">
        <w:t xml:space="preserve">, </w:t>
      </w:r>
      <w:r w:rsidR="00FE2F5A">
        <w:t>it must be</w:t>
      </w:r>
      <w:r w:rsidRPr="00E046B5">
        <w:t xml:space="preserve"> consider</w:t>
      </w:r>
      <w:r w:rsidR="00FE2F5A">
        <w:t>ed</w:t>
      </w:r>
      <w:r w:rsidRPr="00E046B5">
        <w:t xml:space="preserve"> </w:t>
      </w:r>
      <w:r w:rsidR="002327C7">
        <w:t>whether</w:t>
      </w:r>
      <w:r w:rsidR="002327C7" w:rsidRPr="00E046B5">
        <w:t xml:space="preserve"> </w:t>
      </w:r>
      <w:r w:rsidRPr="00E046B5">
        <w:t xml:space="preserve">this </w:t>
      </w:r>
      <w:r>
        <w:t>increases</w:t>
      </w:r>
      <w:r w:rsidRPr="00E046B5">
        <w:t xml:space="preserve"> </w:t>
      </w:r>
      <w:r w:rsidR="00DB7E0B" w:rsidRPr="00E046B5">
        <w:t>the risk to the environment</w:t>
      </w:r>
      <w:r>
        <w:t xml:space="preserve"> in Australia</w:t>
      </w:r>
      <w:r w:rsidR="00E129AA">
        <w:t xml:space="preserve"> (for example</w:t>
      </w:r>
      <w:r w:rsidR="001434A4">
        <w:t>,</w:t>
      </w:r>
      <w:r w:rsidR="00E129AA">
        <w:t xml:space="preserve"> if the risk quotient (RQ) value would be higher in Australia)</w:t>
      </w:r>
      <w:r w:rsidR="00DB7E0B" w:rsidRPr="00E046B5">
        <w:t>.</w:t>
      </w:r>
    </w:p>
    <w:p w14:paraId="4ADB04CD" w14:textId="77777777" w:rsidR="00DB7E0B" w:rsidRPr="00E046B5" w:rsidRDefault="00DB7E0B" w:rsidP="00805042">
      <w:r w:rsidRPr="00E046B5">
        <w:t>The</w:t>
      </w:r>
      <w:r w:rsidR="00361893">
        <w:t xml:space="preserve"> </w:t>
      </w:r>
      <w:r w:rsidRPr="00E046B5">
        <w:t xml:space="preserve">environment risk assessment assumptions </w:t>
      </w:r>
      <w:r w:rsidR="00FE2F5A">
        <w:t>that</w:t>
      </w:r>
      <w:r w:rsidRPr="00E046B5">
        <w:t xml:space="preserve"> </w:t>
      </w:r>
      <w:r>
        <w:t>must</w:t>
      </w:r>
      <w:r w:rsidR="00FE2F5A">
        <w:t xml:space="preserve"> be</w:t>
      </w:r>
      <w:r w:rsidRPr="00E046B5">
        <w:t xml:space="preserve"> consider</w:t>
      </w:r>
      <w:r w:rsidR="00FE2F5A">
        <w:t>ed</w:t>
      </w:r>
      <w:r w:rsidRPr="00E046B5">
        <w:t xml:space="preserve"> include:</w:t>
      </w:r>
    </w:p>
    <w:p w14:paraId="4F540410" w14:textId="77777777" w:rsidR="00DB7E0B" w:rsidRPr="00E046B5" w:rsidRDefault="00DB7E0B" w:rsidP="000D0955">
      <w:pPr>
        <w:pStyle w:val="ListParagraph"/>
        <w:numPr>
          <w:ilvl w:val="0"/>
          <w:numId w:val="59"/>
        </w:numPr>
      </w:pPr>
      <w:r w:rsidRPr="00E046B5">
        <w:t xml:space="preserve">PBT </w:t>
      </w:r>
      <w:r w:rsidR="00E574B4" w:rsidRPr="00E046B5">
        <w:t>(persistence, bioaccumulation and toxicity)</w:t>
      </w:r>
      <w:r w:rsidR="00E574B4">
        <w:t xml:space="preserve"> </w:t>
      </w:r>
      <w:r w:rsidRPr="00E046B5">
        <w:t xml:space="preserve">criteria </w:t>
      </w:r>
    </w:p>
    <w:p w14:paraId="652CC09D" w14:textId="77777777" w:rsidR="00DB7E0B" w:rsidRPr="00E046B5" w:rsidRDefault="00DB7E0B" w:rsidP="000D0955">
      <w:pPr>
        <w:pStyle w:val="ListParagraph"/>
        <w:numPr>
          <w:ilvl w:val="0"/>
          <w:numId w:val="59"/>
        </w:numPr>
      </w:pPr>
      <w:r w:rsidRPr="00E046B5">
        <w:t xml:space="preserve">factors used to estimate </w:t>
      </w:r>
      <w:r>
        <w:t xml:space="preserve">environmental </w:t>
      </w:r>
      <w:r w:rsidRPr="00E046B5">
        <w:t>exposure</w:t>
      </w:r>
    </w:p>
    <w:p w14:paraId="00E628F8" w14:textId="77777777" w:rsidR="00DB7E0B" w:rsidRPr="00DA6C1E" w:rsidRDefault="00DB7E0B" w:rsidP="000D0955">
      <w:pPr>
        <w:pStyle w:val="ListParagraph"/>
        <w:numPr>
          <w:ilvl w:val="0"/>
          <w:numId w:val="59"/>
        </w:numPr>
      </w:pPr>
      <w:r w:rsidRPr="00F109C7">
        <w:t>size of the population</w:t>
      </w:r>
    </w:p>
    <w:p w14:paraId="18BE7515" w14:textId="77777777" w:rsidR="008B0FDE" w:rsidRPr="00E046B5" w:rsidRDefault="008B0FDE" w:rsidP="008B0FDE">
      <w:pPr>
        <w:pStyle w:val="ListParagraph"/>
        <w:numPr>
          <w:ilvl w:val="0"/>
          <w:numId w:val="59"/>
        </w:numPr>
      </w:pPr>
      <w:r>
        <w:t>dilution factors during disposal</w:t>
      </w:r>
    </w:p>
    <w:p w14:paraId="5D9E68F1" w14:textId="77777777" w:rsidR="00DB7E0B" w:rsidRDefault="00DB7E0B" w:rsidP="00A27BBB">
      <w:pPr>
        <w:pStyle w:val="ListParagraph"/>
        <w:numPr>
          <w:ilvl w:val="0"/>
          <w:numId w:val="59"/>
        </w:numPr>
      </w:pPr>
      <w:r w:rsidRPr="00E046B5">
        <w:t>efficiency of sewage treatment plant (STP) removal</w:t>
      </w:r>
      <w:r w:rsidR="00A27BBB">
        <w:t>.</w:t>
      </w:r>
    </w:p>
    <w:p w14:paraId="212CC161" w14:textId="77777777" w:rsidR="009064FC" w:rsidRDefault="009064FC" w:rsidP="00A27BBB">
      <w:pPr>
        <w:pStyle w:val="ListParagraph"/>
        <w:numPr>
          <w:ilvl w:val="0"/>
          <w:numId w:val="0"/>
        </w:numPr>
        <w:ind w:left="720"/>
      </w:pPr>
    </w:p>
    <w:p w14:paraId="4D035D89" w14:textId="77777777" w:rsidR="009E7695" w:rsidRDefault="009E7695" w:rsidP="00A27BBB">
      <w:pPr>
        <w:pStyle w:val="Heading1"/>
        <w:spacing w:line="240" w:lineRule="auto"/>
      </w:pPr>
      <w:bookmarkStart w:id="10" w:name="_Toc43890196"/>
      <w:bookmarkStart w:id="11" w:name="_Toc388881491"/>
      <w:r>
        <w:t>Definitions of terms in Chapter 4</w:t>
      </w:r>
      <w:r w:rsidR="00980385">
        <w:t>, Part 4</w:t>
      </w:r>
      <w:r>
        <w:t xml:space="preserve"> of the </w:t>
      </w:r>
      <w:r w:rsidR="009547E9">
        <w:t>IC General Rules</w:t>
      </w:r>
      <w:bookmarkEnd w:id="10"/>
      <w:r>
        <w:t xml:space="preserve"> </w:t>
      </w:r>
    </w:p>
    <w:p w14:paraId="15282C8F" w14:textId="77777777" w:rsidR="003B5405" w:rsidRDefault="003B5405" w:rsidP="00916868">
      <w:pPr>
        <w:pStyle w:val="Heading2"/>
      </w:pPr>
      <w:bookmarkStart w:id="12" w:name="_Toc43890197"/>
      <w:r>
        <w:t>The potential for the industrial chemical to migrate to food</w:t>
      </w:r>
      <w:bookmarkEnd w:id="12"/>
    </w:p>
    <w:p w14:paraId="414230FB" w14:textId="77777777" w:rsidR="003B5405" w:rsidRPr="003B5405" w:rsidRDefault="003B5405" w:rsidP="003B5405">
      <w:pPr>
        <w:rPr>
          <w:bCs/>
        </w:rPr>
      </w:pPr>
      <w:r>
        <w:rPr>
          <w:bCs/>
        </w:rPr>
        <w:t>For the purpos</w:t>
      </w:r>
      <w:r w:rsidR="004348F4">
        <w:rPr>
          <w:bCs/>
        </w:rPr>
        <w:t>e</w:t>
      </w:r>
      <w:r w:rsidR="00B771A9">
        <w:rPr>
          <w:bCs/>
        </w:rPr>
        <w:t>s</w:t>
      </w:r>
      <w:r w:rsidR="004348F4">
        <w:rPr>
          <w:bCs/>
        </w:rPr>
        <w:t xml:space="preserve"> of table item 4 of subs</w:t>
      </w:r>
      <w:r w:rsidR="00661C1A">
        <w:rPr>
          <w:bCs/>
        </w:rPr>
        <w:t>ection 51</w:t>
      </w:r>
      <w:r>
        <w:rPr>
          <w:bCs/>
        </w:rPr>
        <w:t>(</w:t>
      </w:r>
      <w:r w:rsidR="00661C1A">
        <w:rPr>
          <w:bCs/>
        </w:rPr>
        <w:t>4</w:t>
      </w:r>
      <w:r>
        <w:rPr>
          <w:bCs/>
        </w:rPr>
        <w:t xml:space="preserve">), </w:t>
      </w:r>
      <w:r w:rsidR="004348F4">
        <w:rPr>
          <w:bCs/>
        </w:rPr>
        <w:t>table item 4 of subs</w:t>
      </w:r>
      <w:r w:rsidR="00C719D1">
        <w:rPr>
          <w:bCs/>
        </w:rPr>
        <w:t xml:space="preserve">ection </w:t>
      </w:r>
      <w:r w:rsidR="00661C1A">
        <w:rPr>
          <w:bCs/>
        </w:rPr>
        <w:t>54</w:t>
      </w:r>
      <w:r>
        <w:rPr>
          <w:bCs/>
        </w:rPr>
        <w:t>(</w:t>
      </w:r>
      <w:r w:rsidR="00661C1A">
        <w:rPr>
          <w:bCs/>
        </w:rPr>
        <w:t>4</w:t>
      </w:r>
      <w:r>
        <w:rPr>
          <w:bCs/>
        </w:rPr>
        <w:t>)</w:t>
      </w:r>
      <w:r w:rsidR="00661C1A">
        <w:rPr>
          <w:bCs/>
        </w:rPr>
        <w:t>,</w:t>
      </w:r>
      <w:r>
        <w:rPr>
          <w:bCs/>
        </w:rPr>
        <w:t xml:space="preserve"> and </w:t>
      </w:r>
      <w:r w:rsidR="00661C1A">
        <w:rPr>
          <w:bCs/>
        </w:rPr>
        <w:t>table item 5</w:t>
      </w:r>
      <w:r w:rsidR="004348F4">
        <w:rPr>
          <w:bCs/>
        </w:rPr>
        <w:t xml:space="preserve"> of subs</w:t>
      </w:r>
      <w:r w:rsidR="00C719D1">
        <w:rPr>
          <w:bCs/>
        </w:rPr>
        <w:t xml:space="preserve">ection </w:t>
      </w:r>
      <w:r w:rsidR="00661C1A">
        <w:rPr>
          <w:bCs/>
        </w:rPr>
        <w:t>57</w:t>
      </w:r>
      <w:r>
        <w:rPr>
          <w:bCs/>
        </w:rPr>
        <w:t>(3)</w:t>
      </w:r>
      <w:r w:rsidR="00C719D1">
        <w:rPr>
          <w:bCs/>
        </w:rPr>
        <w:t xml:space="preserve"> of </w:t>
      </w:r>
      <w:r w:rsidR="0062271E">
        <w:rPr>
          <w:bCs/>
        </w:rPr>
        <w:t>the IC General Rules</w:t>
      </w:r>
      <w:r>
        <w:rPr>
          <w:bCs/>
        </w:rPr>
        <w:t>:</w:t>
      </w:r>
    </w:p>
    <w:p w14:paraId="235DEE84" w14:textId="77777777" w:rsidR="008F00AF" w:rsidRDefault="003B5405" w:rsidP="00331690">
      <w:r w:rsidRPr="000D3EC3">
        <w:rPr>
          <w:b/>
          <w:bCs/>
        </w:rPr>
        <w:t>The potential for the industrial chemical to migrate to food</w:t>
      </w:r>
      <w:r w:rsidRPr="000D3EC3">
        <w:t>, in relation to the introduction of a</w:t>
      </w:r>
      <w:r w:rsidR="005E41B3">
        <w:t>n industrial</w:t>
      </w:r>
      <w:r w:rsidRPr="000D3EC3">
        <w:t xml:space="preserve"> che</w:t>
      </w:r>
      <w:r w:rsidR="00174FE4">
        <w:t xml:space="preserve">mical that has an end use in an </w:t>
      </w:r>
      <w:r w:rsidR="00174FE4">
        <w:rPr>
          <w:bCs/>
        </w:rPr>
        <w:t xml:space="preserve">article </w:t>
      </w:r>
      <w:r w:rsidRPr="000D3EC3">
        <w:t>with food contact, means</w:t>
      </w:r>
      <w:r w:rsidR="008F00AF">
        <w:t xml:space="preserve"> q</w:t>
      </w:r>
      <w:r w:rsidR="00174FE4">
        <w:t xml:space="preserve">uantitative </w:t>
      </w:r>
      <w:r w:rsidRPr="000D3EC3">
        <w:t xml:space="preserve">information on the extent of the chemical’s transfer from the article to food. This is </w:t>
      </w:r>
      <w:r w:rsidRPr="00A27BBB">
        <w:rPr>
          <w:b/>
        </w:rPr>
        <w:t>not</w:t>
      </w:r>
      <w:r w:rsidRPr="000D3EC3">
        <w:t xml:space="preserve"> required if </w:t>
      </w:r>
      <w:r w:rsidR="005E41B3">
        <w:t xml:space="preserve">any of </w:t>
      </w:r>
      <w:r w:rsidRPr="000D3EC3">
        <w:t xml:space="preserve">the </w:t>
      </w:r>
      <w:r w:rsidR="005E41B3">
        <w:t xml:space="preserve">following apply to </w:t>
      </w:r>
      <w:r w:rsidRPr="000D3EC3">
        <w:t xml:space="preserve">the </w:t>
      </w:r>
      <w:r w:rsidR="005E41B3">
        <w:t xml:space="preserve">industrial </w:t>
      </w:r>
      <w:r w:rsidRPr="000D3EC3">
        <w:t>chemical</w:t>
      </w:r>
      <w:r w:rsidR="005E41B3">
        <w:t>:</w:t>
      </w:r>
      <w:r w:rsidR="005E41B3" w:rsidRPr="000D3EC3" w:rsidDel="005E41B3">
        <w:t xml:space="preserve"> </w:t>
      </w:r>
    </w:p>
    <w:p w14:paraId="659415EB" w14:textId="77777777" w:rsidR="00711446" w:rsidRPr="00E046B5" w:rsidRDefault="00695F54" w:rsidP="00172EBB">
      <w:pPr>
        <w:pStyle w:val="ListParagraph"/>
        <w:numPr>
          <w:ilvl w:val="0"/>
          <w:numId w:val="60"/>
        </w:numPr>
      </w:pPr>
      <w:r>
        <w:lastRenderedPageBreak/>
        <w:t>i</w:t>
      </w:r>
      <w:r w:rsidR="005E41B3">
        <w:t>t</w:t>
      </w:r>
      <w:r w:rsidR="00711446" w:rsidRPr="00E046B5">
        <w:t xml:space="preserve"> has an estimated dietary exposure value less than the threshold of toxicological concern (TTC) for the industrial chemical based on its structural class categorisation according to Cramer</w:t>
      </w:r>
      <w:r w:rsidR="00341717">
        <w:rPr>
          <w:rStyle w:val="FootnoteReference"/>
        </w:rPr>
        <w:footnoteReference w:id="3"/>
      </w:r>
    </w:p>
    <w:p w14:paraId="7D19BBA6" w14:textId="77777777" w:rsidR="00711446" w:rsidRDefault="00711446" w:rsidP="00172EBB">
      <w:pPr>
        <w:pStyle w:val="ListParagraph"/>
        <w:numPr>
          <w:ilvl w:val="0"/>
          <w:numId w:val="0"/>
        </w:numPr>
      </w:pPr>
      <w:r>
        <w:t>or</w:t>
      </w:r>
    </w:p>
    <w:p w14:paraId="5F40C2FE" w14:textId="77777777" w:rsidR="00711446" w:rsidRPr="00E046B5" w:rsidRDefault="00695F54" w:rsidP="00172EBB">
      <w:pPr>
        <w:pStyle w:val="ListParagraph"/>
        <w:numPr>
          <w:ilvl w:val="0"/>
          <w:numId w:val="60"/>
        </w:numPr>
      </w:pPr>
      <w:r>
        <w:t>i</w:t>
      </w:r>
      <w:r w:rsidR="005E41B3">
        <w:t>ts</w:t>
      </w:r>
      <w:r w:rsidR="00711446" w:rsidRPr="00E046B5">
        <w:t xml:space="preserve"> end use, concentration at the end use</w:t>
      </w:r>
      <w:r w:rsidR="00B1668C">
        <w:t>,</w:t>
      </w:r>
      <w:r w:rsidR="00711446" w:rsidRPr="00E046B5">
        <w:t xml:space="preserve"> and dietary concentration associated with the end use, as applicable, are consistent with one </w:t>
      </w:r>
      <w:r w:rsidR="00A27BBB">
        <w:t xml:space="preserve">or more </w:t>
      </w:r>
      <w:r w:rsidR="00711446" w:rsidRPr="00E046B5">
        <w:t>of the following:</w:t>
      </w:r>
    </w:p>
    <w:p w14:paraId="5285757F" w14:textId="77777777" w:rsidR="00711446" w:rsidRPr="00E046B5" w:rsidRDefault="00695F54" w:rsidP="000D0955">
      <w:pPr>
        <w:pStyle w:val="ListParagraph"/>
        <w:numPr>
          <w:ilvl w:val="1"/>
          <w:numId w:val="60"/>
        </w:numPr>
      </w:pPr>
      <w:r>
        <w:t>t</w:t>
      </w:r>
      <w:r w:rsidR="00711446" w:rsidRPr="00E046B5">
        <w:t>he listing of the industrial chemical under Annexes I or II to Regulation (EC) No 10/2011 or Annex I to Regulation (EC) No 1935/2004 and any applicable restrictions</w:t>
      </w:r>
      <w:r w:rsidR="00A27BBB">
        <w:t>, or</w:t>
      </w:r>
    </w:p>
    <w:p w14:paraId="64F96034" w14:textId="77777777" w:rsidR="00711446" w:rsidRPr="00E046B5" w:rsidRDefault="00695F54" w:rsidP="000D0955">
      <w:pPr>
        <w:pStyle w:val="ListParagraph"/>
        <w:numPr>
          <w:ilvl w:val="1"/>
          <w:numId w:val="60"/>
        </w:numPr>
      </w:pPr>
      <w:r>
        <w:t>a</w:t>
      </w:r>
      <w:r w:rsidR="00711446" w:rsidRPr="00E046B5">
        <w:t>n adopted opinion on the industrial chemical by the European Food Safety Authority</w:t>
      </w:r>
      <w:r w:rsidR="00B1668C">
        <w:t xml:space="preserve"> that is in favour of authorising the evaluated substance</w:t>
      </w:r>
      <w:r w:rsidR="00A27BBB">
        <w:t>, or</w:t>
      </w:r>
    </w:p>
    <w:p w14:paraId="4DEC8747" w14:textId="77777777" w:rsidR="00711446" w:rsidRPr="00E046B5" w:rsidRDefault="00695F54" w:rsidP="00916868">
      <w:pPr>
        <w:pStyle w:val="ListParagraph"/>
        <w:numPr>
          <w:ilvl w:val="1"/>
          <w:numId w:val="60"/>
        </w:numPr>
        <w:spacing w:before="0" w:after="0"/>
      </w:pPr>
      <w:r>
        <w:t>u</w:t>
      </w:r>
      <w:r w:rsidR="00711446" w:rsidRPr="00E046B5">
        <w:t>se of the industrial chemical authorised under the United States Food and Drug Administration (US FDA) regulations, 21 CFR.170-199</w:t>
      </w:r>
    </w:p>
    <w:p w14:paraId="060E8736" w14:textId="77777777" w:rsidR="00711446" w:rsidRPr="00E046B5" w:rsidRDefault="00711446" w:rsidP="00916868">
      <w:pPr>
        <w:spacing w:before="0" w:after="0"/>
      </w:pPr>
      <w:r w:rsidRPr="00E046B5">
        <w:t>or</w:t>
      </w:r>
    </w:p>
    <w:p w14:paraId="7665E2FA" w14:textId="77777777" w:rsidR="00711446" w:rsidRPr="00E046B5" w:rsidRDefault="0072149A" w:rsidP="00916868">
      <w:pPr>
        <w:pStyle w:val="ListParagraph"/>
        <w:numPr>
          <w:ilvl w:val="0"/>
          <w:numId w:val="60"/>
        </w:numPr>
        <w:spacing w:before="0" w:after="0"/>
      </w:pPr>
      <w:r>
        <w:t>i</w:t>
      </w:r>
      <w:r w:rsidR="005E41B3">
        <w:t>t</w:t>
      </w:r>
      <w:r w:rsidR="00711446" w:rsidRPr="00E046B5">
        <w:t xml:space="preserve"> is a permitted flavouring substance as defined by </w:t>
      </w:r>
      <w:hyperlink r:id="rId23" w:tgtFrame="_blank" w:tooltip="Opens in a new tab/window" w:history="1">
        <w:r w:rsidR="00711446" w:rsidRPr="00E046B5">
          <w:rPr>
            <w:rStyle w:val="Hyperlink"/>
          </w:rPr>
          <w:t>Standard 1.1.2 of the Food Standards Australia New Zealand Act 1991</w:t>
        </w:r>
      </w:hyperlink>
      <w:r w:rsidR="00711446" w:rsidRPr="00E046B5">
        <w:t>, with the dietary concentration associated with the end use of the industrial chemical</w:t>
      </w:r>
      <w:r w:rsidR="00A27BBB">
        <w:t xml:space="preserve"> in an article with food contact</w:t>
      </w:r>
      <w:r w:rsidR="00711446" w:rsidRPr="00E046B5">
        <w:t xml:space="preserve"> less than that associated with </w:t>
      </w:r>
      <w:r w:rsidR="00A27BBB">
        <w:t xml:space="preserve">end </w:t>
      </w:r>
      <w:r w:rsidR="00711446" w:rsidRPr="00E046B5">
        <w:t>use as a flavouring substance</w:t>
      </w:r>
    </w:p>
    <w:p w14:paraId="3DC19226" w14:textId="77777777" w:rsidR="00711446" w:rsidRPr="00E046B5" w:rsidRDefault="00711446" w:rsidP="00172EBB">
      <w:pPr>
        <w:spacing w:before="0" w:after="0"/>
      </w:pPr>
      <w:r w:rsidRPr="00E046B5">
        <w:t>or</w:t>
      </w:r>
    </w:p>
    <w:p w14:paraId="46108310" w14:textId="77777777" w:rsidR="00711446" w:rsidRPr="00E046B5" w:rsidRDefault="0072149A" w:rsidP="000D0955">
      <w:pPr>
        <w:pStyle w:val="ListParagraph"/>
        <w:numPr>
          <w:ilvl w:val="0"/>
          <w:numId w:val="60"/>
        </w:numPr>
      </w:pPr>
      <w:r>
        <w:t>t</w:t>
      </w:r>
      <w:r w:rsidR="00711446" w:rsidRPr="00E046B5">
        <w:t xml:space="preserve">he extent of </w:t>
      </w:r>
      <w:r w:rsidR="005E41B3">
        <w:t xml:space="preserve">its </w:t>
      </w:r>
      <w:r w:rsidR="00711446" w:rsidRPr="00E046B5">
        <w:t>migration was below the level of detection in a migration study conducted under conditions that simulated:</w:t>
      </w:r>
    </w:p>
    <w:p w14:paraId="0280CCB1" w14:textId="77777777" w:rsidR="00711446" w:rsidRPr="00E046B5" w:rsidRDefault="0072149A" w:rsidP="000D0955">
      <w:pPr>
        <w:pStyle w:val="ListParagraph"/>
        <w:numPr>
          <w:ilvl w:val="1"/>
          <w:numId w:val="60"/>
        </w:numPr>
      </w:pPr>
      <w:r>
        <w:t>t</w:t>
      </w:r>
      <w:r w:rsidR="00711446" w:rsidRPr="00E046B5">
        <w:t>he food types that will be contacted at end use</w:t>
      </w:r>
      <w:r>
        <w:t>, and</w:t>
      </w:r>
    </w:p>
    <w:p w14:paraId="2239478B" w14:textId="77777777" w:rsidR="00711446" w:rsidRPr="00E046B5" w:rsidRDefault="0072149A" w:rsidP="00916868">
      <w:pPr>
        <w:pStyle w:val="ListParagraph"/>
        <w:numPr>
          <w:ilvl w:val="1"/>
          <w:numId w:val="60"/>
        </w:numPr>
        <w:spacing w:before="0" w:after="0"/>
      </w:pPr>
      <w:r>
        <w:t>t</w:t>
      </w:r>
      <w:r w:rsidR="00711446" w:rsidRPr="00E046B5">
        <w:t>he food contact conditions that are relevant for the end use</w:t>
      </w:r>
    </w:p>
    <w:p w14:paraId="0A7A5D8B" w14:textId="77777777" w:rsidR="00711446" w:rsidRPr="00E046B5" w:rsidRDefault="00711446" w:rsidP="00916868">
      <w:pPr>
        <w:spacing w:before="0" w:after="0"/>
      </w:pPr>
      <w:r w:rsidRPr="00E046B5">
        <w:t>or</w:t>
      </w:r>
    </w:p>
    <w:p w14:paraId="136350E6" w14:textId="77777777" w:rsidR="00711446" w:rsidRPr="00E046B5" w:rsidRDefault="00CF403E" w:rsidP="00916868">
      <w:pPr>
        <w:pStyle w:val="ListParagraph"/>
        <w:numPr>
          <w:ilvl w:val="0"/>
          <w:numId w:val="60"/>
        </w:numPr>
        <w:spacing w:before="0" w:after="0"/>
      </w:pPr>
      <w:r>
        <w:t>t</w:t>
      </w:r>
      <w:r w:rsidR="00711446" w:rsidRPr="00E046B5">
        <w:t xml:space="preserve">he No Observed Adverse Effect Level (NOAEL) in an in vivo study on the industrial chemical or </w:t>
      </w:r>
      <w:r w:rsidR="008F00AF">
        <w:t>from suitable read-across information</w:t>
      </w:r>
      <w:r w:rsidR="00711446" w:rsidRPr="00E046B5">
        <w:t xml:space="preserve"> conducted following </w:t>
      </w:r>
      <w:hyperlink r:id="rId24" w:history="1">
        <w:r w:rsidR="00711446" w:rsidRPr="00561C23">
          <w:rPr>
            <w:rStyle w:val="Hyperlink"/>
          </w:rPr>
          <w:t>The Organisation for Economic Co-operation and Development (OECD) test guidelines</w:t>
        </w:r>
        <w:r>
          <w:rPr>
            <w:rStyle w:val="Hyperlink"/>
          </w:rPr>
          <w:t xml:space="preserve"> was</w:t>
        </w:r>
        <w:r w:rsidR="00711446" w:rsidRPr="00561C23">
          <w:rPr>
            <w:rStyle w:val="Hyperlink"/>
          </w:rPr>
          <w:t>:</w:t>
        </w:r>
      </w:hyperlink>
    </w:p>
    <w:p w14:paraId="64235242" w14:textId="77777777" w:rsidR="00711446" w:rsidRPr="00E046B5" w:rsidRDefault="00CF403E" w:rsidP="000D0955">
      <w:pPr>
        <w:pStyle w:val="ListParagraph"/>
        <w:numPr>
          <w:ilvl w:val="1"/>
          <w:numId w:val="60"/>
        </w:numPr>
      </w:pPr>
      <w:r>
        <w:t xml:space="preserve">for </w:t>
      </w:r>
      <w:hyperlink r:id="rId25" w:tgtFrame="_blank" w:tooltip="Opens in a new tab/window" w:history="1">
        <w:r w:rsidR="00711446" w:rsidRPr="00E046B5">
          <w:rPr>
            <w:rStyle w:val="Hyperlink"/>
          </w:rPr>
          <w:t>OECD test guideline 407</w:t>
        </w:r>
      </w:hyperlink>
      <w:r w:rsidR="00711446" w:rsidRPr="00E046B5">
        <w:t> ≥1000 mg/kg bw/day</w:t>
      </w:r>
    </w:p>
    <w:p w14:paraId="3A178B7D" w14:textId="77777777" w:rsidR="00711446" w:rsidRPr="00E046B5" w:rsidRDefault="00CF403E" w:rsidP="000D0955">
      <w:pPr>
        <w:pStyle w:val="ListParagraph"/>
        <w:numPr>
          <w:ilvl w:val="1"/>
          <w:numId w:val="60"/>
        </w:numPr>
      </w:pPr>
      <w:r>
        <w:t xml:space="preserve">for </w:t>
      </w:r>
      <w:r w:rsidR="00711446" w:rsidRPr="00E046B5">
        <w:t>OECD test guideline </w:t>
      </w:r>
      <w:hyperlink r:id="rId26" w:tgtFrame="_blank" w:tooltip="Opens in a new tab/window" w:history="1">
        <w:r w:rsidR="00711446" w:rsidRPr="00E046B5">
          <w:rPr>
            <w:rStyle w:val="Hyperlink"/>
          </w:rPr>
          <w:t>408 </w:t>
        </w:r>
      </w:hyperlink>
      <w:r w:rsidR="00711446" w:rsidRPr="00E046B5">
        <w:t>or </w:t>
      </w:r>
      <w:hyperlink r:id="rId27" w:tgtFrame="_blank" w:tooltip="Opens in a new tab/window" w:history="1">
        <w:r w:rsidR="00711446" w:rsidRPr="00E046B5">
          <w:rPr>
            <w:rStyle w:val="Hyperlink"/>
          </w:rPr>
          <w:t>409 </w:t>
        </w:r>
      </w:hyperlink>
      <w:r w:rsidR="00711446" w:rsidRPr="00E046B5">
        <w:t>≥300 mg/kg bw/day</w:t>
      </w:r>
    </w:p>
    <w:p w14:paraId="344F0843" w14:textId="77777777" w:rsidR="00711446" w:rsidRDefault="00711446" w:rsidP="00331690">
      <w:pPr>
        <w:ind w:left="360"/>
      </w:pPr>
    </w:p>
    <w:p w14:paraId="56FCC19D" w14:textId="77777777" w:rsidR="008B0FDE" w:rsidRDefault="008B0FDE" w:rsidP="00916868">
      <w:pPr>
        <w:pStyle w:val="Heading2"/>
      </w:pPr>
      <w:bookmarkStart w:id="13" w:name="_Toc43890198"/>
      <w:r>
        <w:t xml:space="preserve">The potential for the industrial chemical to </w:t>
      </w:r>
      <w:r w:rsidR="004348F4">
        <w:t>be released into the mouth during end use or mouthing</w:t>
      </w:r>
      <w:bookmarkEnd w:id="13"/>
    </w:p>
    <w:p w14:paraId="399C849E" w14:textId="77777777" w:rsidR="008B0FDE" w:rsidRPr="003B5405" w:rsidRDefault="008B0FDE" w:rsidP="008B0FDE">
      <w:pPr>
        <w:rPr>
          <w:bCs/>
        </w:rPr>
      </w:pPr>
      <w:r>
        <w:rPr>
          <w:bCs/>
        </w:rPr>
        <w:t>For the purpose</w:t>
      </w:r>
      <w:r w:rsidR="00B771A9">
        <w:rPr>
          <w:bCs/>
        </w:rPr>
        <w:t>s</w:t>
      </w:r>
      <w:r>
        <w:rPr>
          <w:bCs/>
        </w:rPr>
        <w:t xml:space="preserve"> of table item 5</w:t>
      </w:r>
      <w:r w:rsidR="004348F4">
        <w:rPr>
          <w:bCs/>
        </w:rPr>
        <w:t xml:space="preserve"> of subs</w:t>
      </w:r>
      <w:r>
        <w:rPr>
          <w:bCs/>
        </w:rPr>
        <w:t>ection 51(4), table item 5</w:t>
      </w:r>
      <w:r w:rsidR="004348F4">
        <w:rPr>
          <w:bCs/>
        </w:rPr>
        <w:t xml:space="preserve"> of subs</w:t>
      </w:r>
      <w:r>
        <w:rPr>
          <w:bCs/>
        </w:rPr>
        <w:t>ection 54(4), and table item 6</w:t>
      </w:r>
      <w:r w:rsidR="004348F4">
        <w:rPr>
          <w:bCs/>
        </w:rPr>
        <w:t xml:space="preserve"> of subs</w:t>
      </w:r>
      <w:r>
        <w:rPr>
          <w:bCs/>
        </w:rPr>
        <w:t>ection 57(3) of the IC General Rules:</w:t>
      </w:r>
    </w:p>
    <w:p w14:paraId="44988068" w14:textId="77777777" w:rsidR="008B0FDE" w:rsidRDefault="008B0FDE" w:rsidP="008B0FDE">
      <w:r w:rsidRPr="000D3EC3">
        <w:rPr>
          <w:b/>
          <w:bCs/>
        </w:rPr>
        <w:lastRenderedPageBreak/>
        <w:t xml:space="preserve">The potential for the industrial chemical to </w:t>
      </w:r>
      <w:r w:rsidR="004348F4">
        <w:rPr>
          <w:b/>
          <w:bCs/>
        </w:rPr>
        <w:t>be released into the mouth during end use or mouthing</w:t>
      </w:r>
      <w:r w:rsidRPr="000D3EC3">
        <w:t>,</w:t>
      </w:r>
      <w:r w:rsidR="004348F4">
        <w:t xml:space="preserve"> in relation to the introduction of an industrial chemical that has an end use in an article that is a children’s toy or a children’s care product, means quantitative information on the extent of the chemical’s transfer from the article to the mouth.</w:t>
      </w:r>
    </w:p>
    <w:p w14:paraId="2982FBE9" w14:textId="77777777" w:rsidR="0011540F" w:rsidRPr="008B0FDE" w:rsidRDefault="0011540F" w:rsidP="008B0FDE"/>
    <w:p w14:paraId="2106E33A" w14:textId="77777777" w:rsidR="00924658" w:rsidRDefault="003B5405" w:rsidP="00916868">
      <w:pPr>
        <w:pStyle w:val="Heading2"/>
      </w:pPr>
      <w:bookmarkStart w:id="14" w:name="_Toc43890199"/>
      <w:r>
        <w:t>Toxicokinetics information</w:t>
      </w:r>
      <w:bookmarkEnd w:id="14"/>
    </w:p>
    <w:p w14:paraId="2047E9C9" w14:textId="77777777" w:rsidR="003B5405" w:rsidRPr="003B5405" w:rsidRDefault="003B5405" w:rsidP="00331690">
      <w:pPr>
        <w:rPr>
          <w:bCs/>
        </w:rPr>
      </w:pPr>
      <w:r w:rsidRPr="003B5405">
        <w:rPr>
          <w:bCs/>
        </w:rPr>
        <w:t xml:space="preserve">For the </w:t>
      </w:r>
      <w:r>
        <w:rPr>
          <w:bCs/>
        </w:rPr>
        <w:t>purpose</w:t>
      </w:r>
      <w:r w:rsidR="00CF403E">
        <w:rPr>
          <w:bCs/>
        </w:rPr>
        <w:t>s</w:t>
      </w:r>
      <w:r>
        <w:rPr>
          <w:bCs/>
        </w:rPr>
        <w:t xml:space="preserve"> of </w:t>
      </w:r>
      <w:r w:rsidR="004348F4">
        <w:rPr>
          <w:bCs/>
        </w:rPr>
        <w:t>table item 3 of subs</w:t>
      </w:r>
      <w:r w:rsidR="00593289">
        <w:rPr>
          <w:bCs/>
        </w:rPr>
        <w:t>ec</w:t>
      </w:r>
      <w:r w:rsidR="00B1668C">
        <w:rPr>
          <w:bCs/>
        </w:rPr>
        <w:t>tion 54(4) and table item 4 of subs</w:t>
      </w:r>
      <w:r w:rsidR="00593289">
        <w:rPr>
          <w:bCs/>
        </w:rPr>
        <w:t>ection 57</w:t>
      </w:r>
      <w:r w:rsidR="00C719D1">
        <w:rPr>
          <w:bCs/>
        </w:rPr>
        <w:t>(3)</w:t>
      </w:r>
      <w:r w:rsidR="00B1668C">
        <w:rPr>
          <w:bCs/>
        </w:rPr>
        <w:t xml:space="preserve"> of the IC General Rules</w:t>
      </w:r>
      <w:r w:rsidR="00C719D1">
        <w:rPr>
          <w:bCs/>
        </w:rPr>
        <w:t>:</w:t>
      </w:r>
    </w:p>
    <w:p w14:paraId="01E082F7" w14:textId="77777777" w:rsidR="00924658" w:rsidRPr="000D3EC3" w:rsidRDefault="00924658" w:rsidP="00331690">
      <w:r w:rsidRPr="000D3EC3">
        <w:rPr>
          <w:b/>
          <w:bCs/>
        </w:rPr>
        <w:t>Toxicokinetics information</w:t>
      </w:r>
      <w:r w:rsidRPr="000D3EC3">
        <w:t xml:space="preserve">, in relation to an industrial chemical that is a UV filter, means information </w:t>
      </w:r>
      <w:r w:rsidR="00C767D9">
        <w:t xml:space="preserve">(the </w:t>
      </w:r>
      <w:r w:rsidR="00986E3E">
        <w:t xml:space="preserve">full study report or the </w:t>
      </w:r>
      <w:r w:rsidR="00C767D9">
        <w:t xml:space="preserve">outcomes of the study </w:t>
      </w:r>
      <w:r w:rsidR="00986E3E">
        <w:t xml:space="preserve">and </w:t>
      </w:r>
      <w:r w:rsidR="00C767D9">
        <w:t xml:space="preserve">a written undertaking </w:t>
      </w:r>
      <w:r w:rsidR="00986E3E">
        <w:t>that the full study report</w:t>
      </w:r>
      <w:r w:rsidR="00C767D9">
        <w:t xml:space="preserve"> </w:t>
      </w:r>
      <w:r w:rsidR="00986E3E">
        <w:t>will</w:t>
      </w:r>
      <w:r w:rsidR="00C767D9">
        <w:t xml:space="preserve"> be provided</w:t>
      </w:r>
      <w:r w:rsidR="00986E3E">
        <w:t xml:space="preserve"> to the Executive Director if requested</w:t>
      </w:r>
      <w:r w:rsidR="00C767D9">
        <w:t>) for</w:t>
      </w:r>
      <w:r w:rsidR="0099790B">
        <w:t xml:space="preserve"> both of the following</w:t>
      </w:r>
      <w:r w:rsidR="008F00AF">
        <w:t>:</w:t>
      </w:r>
    </w:p>
    <w:p w14:paraId="1D0CE106" w14:textId="77777777" w:rsidR="00924658" w:rsidRPr="000D3EC3" w:rsidRDefault="009A21A0" w:rsidP="000D0955">
      <w:pPr>
        <w:pStyle w:val="ListParagraph"/>
        <w:numPr>
          <w:ilvl w:val="0"/>
          <w:numId w:val="60"/>
        </w:numPr>
      </w:pPr>
      <w:r>
        <w:t>t</w:t>
      </w:r>
      <w:r w:rsidR="00924658" w:rsidRPr="000D3EC3">
        <w:t xml:space="preserve">he </w:t>
      </w:r>
      <w:r w:rsidR="0099790B">
        <w:t>bioavailability</w:t>
      </w:r>
      <w:r w:rsidR="00924658" w:rsidRPr="000D3EC3">
        <w:t xml:space="preserve"> </w:t>
      </w:r>
      <w:r w:rsidR="0099790B">
        <w:t>o</w:t>
      </w:r>
      <w:r w:rsidR="00924658" w:rsidRPr="000D3EC3">
        <w:t>f the chemical by the dermal route, which may be determined using</w:t>
      </w:r>
      <w:r w:rsidR="0099790B">
        <w:t xml:space="preserve"> any of the following</w:t>
      </w:r>
      <w:r w:rsidR="00924658" w:rsidRPr="000D3EC3">
        <w:t>:</w:t>
      </w:r>
    </w:p>
    <w:p w14:paraId="12216BDE" w14:textId="77777777" w:rsidR="00161B92" w:rsidRDefault="00630E9A" w:rsidP="000D0955">
      <w:pPr>
        <w:pStyle w:val="ListParagraph"/>
        <w:numPr>
          <w:ilvl w:val="1"/>
          <w:numId w:val="60"/>
        </w:numPr>
      </w:pPr>
      <w:r>
        <w:t>a</w:t>
      </w:r>
      <w:r w:rsidR="00161B92" w:rsidRPr="000D3EC3">
        <w:t xml:space="preserve">n in vitro study on the chemical conducted following </w:t>
      </w:r>
      <w:r w:rsidR="00161B92">
        <w:t xml:space="preserve">OECD </w:t>
      </w:r>
      <w:r w:rsidR="00161B92" w:rsidRPr="000D3EC3">
        <w:t>test guideline 428 (to predict skin absorption)</w:t>
      </w:r>
      <w:r w:rsidR="00A27BBB">
        <w:t>, or</w:t>
      </w:r>
    </w:p>
    <w:p w14:paraId="2733CF1C" w14:textId="77777777" w:rsidR="00924658" w:rsidRPr="000D3EC3" w:rsidRDefault="00630E9A" w:rsidP="000D0955">
      <w:pPr>
        <w:pStyle w:val="ListParagraph"/>
        <w:numPr>
          <w:ilvl w:val="1"/>
          <w:numId w:val="60"/>
        </w:numPr>
      </w:pPr>
      <w:r>
        <w:t>a</w:t>
      </w:r>
      <w:r w:rsidR="00924658" w:rsidRPr="000D3EC3">
        <w:t xml:space="preserve">n in vivo study on the chemical </w:t>
      </w:r>
      <w:r w:rsidR="00986E3E">
        <w:t xml:space="preserve">or suitable read-across information </w:t>
      </w:r>
      <w:r w:rsidR="00924658" w:rsidRPr="000D3EC3">
        <w:t xml:space="preserve">conducted following </w:t>
      </w:r>
      <w:r w:rsidR="008F00AF">
        <w:t xml:space="preserve">OECD </w:t>
      </w:r>
      <w:r w:rsidR="00924658" w:rsidRPr="000D3EC3">
        <w:t>test guideline 417,</w:t>
      </w:r>
      <w:r w:rsidR="0036584E">
        <w:t xml:space="preserve"> or</w:t>
      </w:r>
    </w:p>
    <w:p w14:paraId="099D2623" w14:textId="77777777" w:rsidR="00924658" w:rsidRPr="000D3EC3" w:rsidRDefault="00630E9A" w:rsidP="000D0955">
      <w:pPr>
        <w:pStyle w:val="ListParagraph"/>
        <w:numPr>
          <w:ilvl w:val="1"/>
          <w:numId w:val="60"/>
        </w:numPr>
      </w:pPr>
      <w:r>
        <w:t>a</w:t>
      </w:r>
      <w:r w:rsidR="00924658" w:rsidRPr="000D3EC3">
        <w:t xml:space="preserve">n in vivo study on the chemical </w:t>
      </w:r>
      <w:r w:rsidR="00986E3E">
        <w:t xml:space="preserve">or suitable read-across information </w:t>
      </w:r>
      <w:r w:rsidR="00924658" w:rsidRPr="000D3EC3">
        <w:t xml:space="preserve">conducted following </w:t>
      </w:r>
      <w:r w:rsidR="008F00AF">
        <w:t xml:space="preserve">OECD </w:t>
      </w:r>
      <w:r w:rsidR="00924658" w:rsidRPr="000D3EC3">
        <w:t>test guideline 427 (to predict skin absorption)</w:t>
      </w:r>
      <w:r w:rsidR="0036584E">
        <w:t>, or</w:t>
      </w:r>
    </w:p>
    <w:p w14:paraId="6CCCD2B2" w14:textId="77777777" w:rsidR="00924658" w:rsidRPr="000D3EC3" w:rsidRDefault="00630E9A" w:rsidP="000D0955">
      <w:pPr>
        <w:pStyle w:val="ListParagraph"/>
        <w:numPr>
          <w:ilvl w:val="1"/>
          <w:numId w:val="60"/>
        </w:numPr>
      </w:pPr>
      <w:r>
        <w:t>a</w:t>
      </w:r>
      <w:r w:rsidR="00924658" w:rsidRPr="000D3EC3">
        <w:t xml:space="preserve">n in vivo study on the chemical </w:t>
      </w:r>
      <w:r w:rsidR="00986E3E">
        <w:t xml:space="preserve">or suitable read-across information </w:t>
      </w:r>
      <w:r w:rsidR="00924658" w:rsidRPr="000D3EC3">
        <w:t>that tests for specific target organ toxicity following repeated dermal exposure in which toxicokinetic parameters are also measured</w:t>
      </w:r>
    </w:p>
    <w:p w14:paraId="08BBE988" w14:textId="77777777" w:rsidR="0036584E" w:rsidRDefault="0036584E" w:rsidP="0036584E">
      <w:pPr>
        <w:ind w:left="720" w:hanging="360"/>
      </w:pPr>
      <w:r>
        <w:t>and</w:t>
      </w:r>
    </w:p>
    <w:p w14:paraId="2BFACB6B" w14:textId="77777777" w:rsidR="00924658" w:rsidRPr="000D3EC3" w:rsidRDefault="009A21A0" w:rsidP="000D0955">
      <w:pPr>
        <w:pStyle w:val="ListParagraph"/>
        <w:numPr>
          <w:ilvl w:val="0"/>
          <w:numId w:val="60"/>
        </w:numPr>
      </w:pPr>
      <w:r>
        <w:t>a</w:t>
      </w:r>
      <w:r w:rsidR="0099790B">
        <w:t>ny available information on the toxicokinetics of the chemical, which may include</w:t>
      </w:r>
      <w:r w:rsidR="00924658" w:rsidRPr="000D3EC3">
        <w:t xml:space="preserve"> information on:</w:t>
      </w:r>
    </w:p>
    <w:p w14:paraId="4F5A8683" w14:textId="77777777" w:rsidR="0099790B" w:rsidRDefault="00630E9A" w:rsidP="000D0955">
      <w:pPr>
        <w:pStyle w:val="ListParagraph"/>
        <w:numPr>
          <w:ilvl w:val="1"/>
          <w:numId w:val="60"/>
        </w:numPr>
      </w:pPr>
      <w:r>
        <w:t>t</w:t>
      </w:r>
      <w:r w:rsidR="0099790B">
        <w:t>he absorption of the chemical into the body</w:t>
      </w:r>
    </w:p>
    <w:p w14:paraId="5EE723BC" w14:textId="77777777" w:rsidR="00924658" w:rsidRPr="000D3EC3" w:rsidRDefault="00630E9A" w:rsidP="000D0955">
      <w:pPr>
        <w:pStyle w:val="ListParagraph"/>
        <w:numPr>
          <w:ilvl w:val="1"/>
          <w:numId w:val="60"/>
        </w:numPr>
      </w:pPr>
      <w:r>
        <w:t>t</w:t>
      </w:r>
      <w:r w:rsidR="00924658" w:rsidRPr="000D3EC3">
        <w:t>he distribution of the chemical within the body</w:t>
      </w:r>
    </w:p>
    <w:p w14:paraId="6452BC76" w14:textId="77777777" w:rsidR="00924658" w:rsidRPr="000D3EC3" w:rsidRDefault="00630E9A" w:rsidP="000D0955">
      <w:pPr>
        <w:pStyle w:val="ListParagraph"/>
        <w:numPr>
          <w:ilvl w:val="1"/>
          <w:numId w:val="60"/>
        </w:numPr>
      </w:pPr>
      <w:r>
        <w:t>t</w:t>
      </w:r>
      <w:r w:rsidR="00924658" w:rsidRPr="000D3EC3">
        <w:t>he metabolism of the chemical within the body</w:t>
      </w:r>
    </w:p>
    <w:p w14:paraId="5514DA8D" w14:textId="77777777" w:rsidR="00924658" w:rsidRDefault="00630E9A" w:rsidP="000D0955">
      <w:pPr>
        <w:pStyle w:val="ListParagraph"/>
        <w:numPr>
          <w:ilvl w:val="1"/>
          <w:numId w:val="60"/>
        </w:numPr>
      </w:pPr>
      <w:r>
        <w:t>t</w:t>
      </w:r>
      <w:r w:rsidR="00924658" w:rsidRPr="000D3EC3">
        <w:t>he excretion of the chemical from the body</w:t>
      </w:r>
      <w:r w:rsidR="0036584E">
        <w:t>.</w:t>
      </w:r>
    </w:p>
    <w:p w14:paraId="1C112B57" w14:textId="77777777" w:rsidR="0036584E" w:rsidRPr="000D3EC3" w:rsidRDefault="0036584E" w:rsidP="0036584E">
      <w:pPr>
        <w:pStyle w:val="ListParagraph"/>
        <w:numPr>
          <w:ilvl w:val="0"/>
          <w:numId w:val="0"/>
        </w:numPr>
        <w:ind w:left="1440"/>
      </w:pPr>
    </w:p>
    <w:p w14:paraId="59B87375" w14:textId="77777777" w:rsidR="004348F4" w:rsidRDefault="004348F4" w:rsidP="00916868">
      <w:pPr>
        <w:pStyle w:val="Heading2"/>
      </w:pPr>
      <w:bookmarkStart w:id="15" w:name="_Toc43890200"/>
      <w:r>
        <w:t>Photostability information</w:t>
      </w:r>
      <w:bookmarkEnd w:id="15"/>
    </w:p>
    <w:p w14:paraId="14323AF4" w14:textId="77777777" w:rsidR="00B1668C" w:rsidRPr="003B5405" w:rsidRDefault="00B1668C" w:rsidP="00B1668C">
      <w:pPr>
        <w:rPr>
          <w:bCs/>
        </w:rPr>
      </w:pPr>
      <w:r w:rsidRPr="003B5405">
        <w:rPr>
          <w:bCs/>
        </w:rPr>
        <w:t xml:space="preserve">For the </w:t>
      </w:r>
      <w:r>
        <w:rPr>
          <w:bCs/>
        </w:rPr>
        <w:t>purpose</w:t>
      </w:r>
      <w:r w:rsidR="00B771A9">
        <w:rPr>
          <w:bCs/>
        </w:rPr>
        <w:t>s</w:t>
      </w:r>
      <w:r>
        <w:rPr>
          <w:bCs/>
        </w:rPr>
        <w:t xml:space="preserve"> of table item 3 of subsection 54(4) and table item 4 of subsection 57(3) of the IC General Rules:</w:t>
      </w:r>
    </w:p>
    <w:p w14:paraId="660C683F" w14:textId="77777777" w:rsidR="002529E4" w:rsidRPr="002529E4" w:rsidRDefault="003B5405" w:rsidP="00330376">
      <w:r w:rsidRPr="000D3EC3">
        <w:rPr>
          <w:b/>
          <w:bCs/>
        </w:rPr>
        <w:t>Photostability information</w:t>
      </w:r>
      <w:r w:rsidRPr="000D3EC3">
        <w:t>, in relation to an industrial chem</w:t>
      </w:r>
      <w:r w:rsidR="004348F4">
        <w:t>ical that is a UV filter, means i</w:t>
      </w:r>
      <w:r w:rsidRPr="000D3EC3">
        <w:t>nformation on the chemical to demonstrate its stability in light, including the degree to which it degrades after exposure to UV light.</w:t>
      </w:r>
    </w:p>
    <w:p w14:paraId="05082F47" w14:textId="77777777" w:rsidR="009E7695" w:rsidRDefault="009E7695" w:rsidP="00331690">
      <w:pPr>
        <w:pStyle w:val="Heading1"/>
      </w:pPr>
      <w:bookmarkStart w:id="16" w:name="_Toc43890201"/>
      <w:r>
        <w:lastRenderedPageBreak/>
        <w:t xml:space="preserve">Definitions of terms </w:t>
      </w:r>
      <w:r w:rsidR="000D689A">
        <w:t xml:space="preserve">and concepts relating to </w:t>
      </w:r>
      <w:r>
        <w:t>Schedule</w:t>
      </w:r>
      <w:r w:rsidR="0011540F">
        <w:t> </w:t>
      </w:r>
      <w:r>
        <w:t xml:space="preserve">1 </w:t>
      </w:r>
      <w:r w:rsidR="00863BBD">
        <w:t xml:space="preserve">to </w:t>
      </w:r>
      <w:r>
        <w:t xml:space="preserve">the </w:t>
      </w:r>
      <w:r w:rsidR="009547E9">
        <w:t>IC General Rules</w:t>
      </w:r>
      <w:bookmarkEnd w:id="16"/>
      <w:r>
        <w:t xml:space="preserve"> </w:t>
      </w:r>
    </w:p>
    <w:p w14:paraId="260A69F9" w14:textId="77777777" w:rsidR="00531E98" w:rsidRDefault="000B4B1D" w:rsidP="00331690">
      <w:pPr>
        <w:pStyle w:val="Heading2"/>
      </w:pPr>
      <w:bookmarkStart w:id="17" w:name="_Toc43890202"/>
      <w:r>
        <w:t xml:space="preserve">Definitions of additional terms used within this </w:t>
      </w:r>
      <w:r w:rsidR="00E875CB">
        <w:t xml:space="preserve">Part </w:t>
      </w:r>
      <w:r w:rsidR="002529E4">
        <w:t>of the Guidelines</w:t>
      </w:r>
      <w:bookmarkEnd w:id="17"/>
    </w:p>
    <w:p w14:paraId="78902B41" w14:textId="77777777" w:rsidR="00633E3F" w:rsidRPr="008433AE" w:rsidRDefault="00633E3F" w:rsidP="00633E3F">
      <w:pPr>
        <w:rPr>
          <w:lang w:eastAsia="en-AU"/>
        </w:rPr>
      </w:pPr>
      <w:r w:rsidRPr="008433AE">
        <w:rPr>
          <w:b/>
          <w:lang w:eastAsia="en-AU"/>
        </w:rPr>
        <w:t>GHS</w:t>
      </w:r>
      <w:r>
        <w:rPr>
          <w:lang w:eastAsia="en-AU"/>
        </w:rPr>
        <w:t xml:space="preserve"> means the </w:t>
      </w:r>
      <w:r w:rsidRPr="00E046B5">
        <w:t>‘</w:t>
      </w:r>
      <w:hyperlink r:id="rId28" w:tgtFrame="_blank" w:tooltip="Opens in a new tab/window" w:history="1">
        <w:r w:rsidRPr="00E046B5">
          <w:rPr>
            <w:rStyle w:val="Hyperlink"/>
          </w:rPr>
          <w:t>Globally Harmoni</w:t>
        </w:r>
        <w:r w:rsidR="00072241">
          <w:rPr>
            <w:rStyle w:val="Hyperlink"/>
          </w:rPr>
          <w:t>z</w:t>
        </w:r>
        <w:r w:rsidRPr="00E046B5">
          <w:rPr>
            <w:rStyle w:val="Hyperlink"/>
          </w:rPr>
          <w:t>ed System of Classification and Labelling of Chemicals</w:t>
        </w:r>
      </w:hyperlink>
      <w:r w:rsidRPr="00E046B5">
        <w:t xml:space="preserve">’ </w:t>
      </w:r>
      <w:r w:rsidRPr="00B54905">
        <w:rPr>
          <w:lang w:eastAsia="en-AU"/>
        </w:rPr>
        <w:t>(GHS)</w:t>
      </w:r>
      <w:r>
        <w:rPr>
          <w:lang w:eastAsia="en-AU"/>
        </w:rPr>
        <w:t>, Seventh revised edition</w:t>
      </w:r>
    </w:p>
    <w:p w14:paraId="4DD8467D" w14:textId="77777777" w:rsidR="00ED5F99" w:rsidRPr="00DE18AD" w:rsidRDefault="000849B9" w:rsidP="00331690">
      <w:pPr>
        <w:rPr>
          <w:lang w:eastAsia="en-AU"/>
        </w:rPr>
      </w:pPr>
      <w:r>
        <w:rPr>
          <w:b/>
          <w:lang w:eastAsia="en-AU"/>
        </w:rPr>
        <w:t xml:space="preserve">List of chemicals with high hazards for categorisation </w:t>
      </w:r>
      <w:r w:rsidR="00DE18AD">
        <w:rPr>
          <w:lang w:eastAsia="en-AU"/>
        </w:rPr>
        <w:t>means</w:t>
      </w:r>
      <w:r w:rsidR="00EB1AEF">
        <w:rPr>
          <w:lang w:eastAsia="en-AU"/>
        </w:rPr>
        <w:t xml:space="preserve"> a list of chemicals that have hazard characteristics in human health hazard band C </w:t>
      </w:r>
      <w:r>
        <w:rPr>
          <w:lang w:eastAsia="en-AU"/>
        </w:rPr>
        <w:t xml:space="preserve">or </w:t>
      </w:r>
      <w:r w:rsidR="00EB1AEF">
        <w:rPr>
          <w:lang w:eastAsia="en-AU"/>
        </w:rPr>
        <w:t xml:space="preserve">environment hazard bands D </w:t>
      </w:r>
      <w:r>
        <w:rPr>
          <w:lang w:eastAsia="en-AU"/>
        </w:rPr>
        <w:t xml:space="preserve">or </w:t>
      </w:r>
      <w:r w:rsidR="00EB1AEF">
        <w:rPr>
          <w:lang w:eastAsia="en-AU"/>
        </w:rPr>
        <w:t>C</w:t>
      </w:r>
      <w:r w:rsidR="00820ED1">
        <w:rPr>
          <w:lang w:eastAsia="en-AU"/>
        </w:rPr>
        <w:t xml:space="preserve"> </w:t>
      </w:r>
      <w:r w:rsidR="00CB731C">
        <w:rPr>
          <w:lang w:eastAsia="en-AU"/>
        </w:rPr>
        <w:t>based on</w:t>
      </w:r>
      <w:r w:rsidR="00820ED1">
        <w:rPr>
          <w:lang w:eastAsia="en-AU"/>
        </w:rPr>
        <w:t xml:space="preserve"> </w:t>
      </w:r>
      <w:r>
        <w:rPr>
          <w:lang w:eastAsia="en-AU"/>
        </w:rPr>
        <w:t xml:space="preserve">at least one of </w:t>
      </w:r>
      <w:r w:rsidR="00820ED1">
        <w:rPr>
          <w:lang w:eastAsia="en-AU"/>
        </w:rPr>
        <w:t xml:space="preserve">the information sources shown in Appendix </w:t>
      </w:r>
      <w:r w:rsidR="00174FE4">
        <w:rPr>
          <w:lang w:eastAsia="en-AU"/>
        </w:rPr>
        <w:t>8.1</w:t>
      </w:r>
      <w:r w:rsidR="00500604">
        <w:rPr>
          <w:lang w:eastAsia="en-AU"/>
        </w:rPr>
        <w:t xml:space="preserve"> of these Guidelines</w:t>
      </w:r>
      <w:r w:rsidR="00820ED1">
        <w:rPr>
          <w:lang w:eastAsia="en-AU"/>
        </w:rPr>
        <w:t>.</w:t>
      </w:r>
      <w:r w:rsidR="00773CEF">
        <w:rPr>
          <w:lang w:eastAsia="en-AU"/>
        </w:rPr>
        <w:t xml:space="preserve"> </w:t>
      </w:r>
      <w:r w:rsidR="00070DA0">
        <w:rPr>
          <w:lang w:eastAsia="en-AU"/>
        </w:rPr>
        <w:t xml:space="preserve">This list is published on the AICIS website. It is used as a screening tool for categorisation. </w:t>
      </w:r>
    </w:p>
    <w:p w14:paraId="7D14F635" w14:textId="77777777" w:rsidR="00011B24" w:rsidRDefault="00011B24" w:rsidP="00331690">
      <w:pPr>
        <w:rPr>
          <w:lang w:eastAsia="en-AU"/>
        </w:rPr>
      </w:pPr>
      <w:r>
        <w:rPr>
          <w:b/>
          <w:lang w:eastAsia="en-AU"/>
        </w:rPr>
        <w:t>Suitable</w:t>
      </w:r>
      <w:r w:rsidRPr="00DE2DAA">
        <w:rPr>
          <w:b/>
          <w:lang w:eastAsia="en-AU"/>
        </w:rPr>
        <w:t xml:space="preserve"> in silico prediction </w:t>
      </w:r>
      <w:r w:rsidRPr="00DE2DAA">
        <w:rPr>
          <w:lang w:eastAsia="en-AU"/>
        </w:rPr>
        <w:t>means</w:t>
      </w:r>
      <w:r>
        <w:rPr>
          <w:lang w:eastAsia="en-AU"/>
        </w:rPr>
        <w:t xml:space="preserve"> a prediction of the hazard characteristics of an industrial chemical using a computational approach </w:t>
      </w:r>
      <w:r w:rsidR="0063261D">
        <w:rPr>
          <w:lang w:eastAsia="en-AU"/>
        </w:rPr>
        <w:t xml:space="preserve">(either a quantitative prediction or a prediction indicating the absence or presence of alerting groups) </w:t>
      </w:r>
      <w:r>
        <w:rPr>
          <w:lang w:eastAsia="en-AU"/>
        </w:rPr>
        <w:t>for which all of the following apply:</w:t>
      </w:r>
    </w:p>
    <w:p w14:paraId="2836566D" w14:textId="77777777" w:rsidR="00331690" w:rsidRPr="00331690" w:rsidRDefault="00B67049" w:rsidP="000D0955">
      <w:pPr>
        <w:pStyle w:val="ListParagraph"/>
        <w:numPr>
          <w:ilvl w:val="0"/>
          <w:numId w:val="61"/>
        </w:numPr>
        <w:rPr>
          <w:b/>
          <w:lang w:eastAsia="en-AU"/>
        </w:rPr>
      </w:pPr>
      <w:r>
        <w:rPr>
          <w:lang w:eastAsia="en-AU"/>
        </w:rPr>
        <w:t>t</w:t>
      </w:r>
      <w:r w:rsidR="00011B24">
        <w:rPr>
          <w:lang w:eastAsia="en-AU"/>
        </w:rPr>
        <w:t>he prediction is for the industrial chemical itself</w:t>
      </w:r>
    </w:p>
    <w:p w14:paraId="479E6126" w14:textId="77777777" w:rsidR="00331690" w:rsidRPr="00331690" w:rsidRDefault="00B67049" w:rsidP="000D0955">
      <w:pPr>
        <w:pStyle w:val="ListParagraph"/>
        <w:numPr>
          <w:ilvl w:val="0"/>
          <w:numId w:val="61"/>
        </w:numPr>
        <w:rPr>
          <w:b/>
          <w:lang w:eastAsia="en-AU"/>
        </w:rPr>
      </w:pPr>
      <w:r>
        <w:rPr>
          <w:lang w:eastAsia="en-AU"/>
        </w:rPr>
        <w:t>t</w:t>
      </w:r>
      <w:r w:rsidR="00011B24">
        <w:rPr>
          <w:lang w:eastAsia="en-AU"/>
        </w:rPr>
        <w:t xml:space="preserve">he in silico model </w:t>
      </w:r>
      <w:r w:rsidR="00011B24" w:rsidRPr="1C79E3C8">
        <w:rPr>
          <w:lang w:eastAsia="en-AU"/>
        </w:rPr>
        <w:t xml:space="preserve">used for the prediction </w:t>
      </w:r>
      <w:r w:rsidR="00011B24">
        <w:rPr>
          <w:lang w:eastAsia="en-AU"/>
        </w:rPr>
        <w:t xml:space="preserve">is </w:t>
      </w:r>
      <w:r w:rsidR="00F22395">
        <w:rPr>
          <w:lang w:eastAsia="en-AU"/>
        </w:rPr>
        <w:t xml:space="preserve">listed in Appendix </w:t>
      </w:r>
      <w:r w:rsidR="00174FE4">
        <w:rPr>
          <w:lang w:eastAsia="en-AU"/>
        </w:rPr>
        <w:t>8.2</w:t>
      </w:r>
      <w:r w:rsidR="001C5A7B">
        <w:rPr>
          <w:lang w:eastAsia="en-AU"/>
        </w:rPr>
        <w:t xml:space="preserve"> of these Guidelines</w:t>
      </w:r>
      <w:r w:rsidR="00174FE4">
        <w:rPr>
          <w:lang w:eastAsia="en-AU"/>
        </w:rPr>
        <w:t xml:space="preserve"> </w:t>
      </w:r>
      <w:r w:rsidR="00F22395">
        <w:rPr>
          <w:lang w:eastAsia="en-AU"/>
        </w:rPr>
        <w:t xml:space="preserve">as </w:t>
      </w:r>
      <w:r w:rsidR="00011B24">
        <w:rPr>
          <w:lang w:eastAsia="en-AU"/>
        </w:rPr>
        <w:t>acceptable for the hazard characteristic</w:t>
      </w:r>
    </w:p>
    <w:p w14:paraId="2201C892" w14:textId="77777777" w:rsidR="00F22395" w:rsidRPr="00331690" w:rsidRDefault="00B67049" w:rsidP="000D0955">
      <w:pPr>
        <w:pStyle w:val="ListParagraph"/>
        <w:numPr>
          <w:ilvl w:val="0"/>
          <w:numId w:val="61"/>
        </w:numPr>
        <w:rPr>
          <w:b/>
          <w:lang w:eastAsia="en-AU"/>
        </w:rPr>
      </w:pPr>
      <w:r>
        <w:rPr>
          <w:lang w:eastAsia="en-AU"/>
        </w:rPr>
        <w:t>t</w:t>
      </w:r>
      <w:r w:rsidR="00011B24">
        <w:rPr>
          <w:lang w:eastAsia="en-AU"/>
        </w:rPr>
        <w:t>he industrial chemical is within the</w:t>
      </w:r>
      <w:r w:rsidR="00011B24" w:rsidRPr="7FBC8ECD">
        <w:rPr>
          <w:lang w:eastAsia="en-AU"/>
        </w:rPr>
        <w:t xml:space="preserve"> </w:t>
      </w:r>
      <w:r w:rsidR="00011B24" w:rsidRPr="018592E9">
        <w:rPr>
          <w:lang w:eastAsia="en-AU"/>
        </w:rPr>
        <w:t xml:space="preserve">chemical space for which the </w:t>
      </w:r>
      <w:r w:rsidR="00011B24" w:rsidRPr="38705B16">
        <w:rPr>
          <w:lang w:eastAsia="en-AU"/>
        </w:rPr>
        <w:t xml:space="preserve">in silico model </w:t>
      </w:r>
      <w:r w:rsidR="00011B24" w:rsidRPr="018592E9">
        <w:rPr>
          <w:lang w:eastAsia="en-AU"/>
        </w:rPr>
        <w:t>gives reliable predictions</w:t>
      </w:r>
      <w:r w:rsidR="00011B24">
        <w:rPr>
          <w:lang w:eastAsia="en-AU"/>
        </w:rPr>
        <w:t xml:space="preserve"> (the applicability domain)</w:t>
      </w:r>
      <w:r w:rsidR="007A12D1">
        <w:rPr>
          <w:lang w:eastAsia="en-AU"/>
        </w:rPr>
        <w:t xml:space="preserve"> -</w:t>
      </w:r>
      <w:r w:rsidR="00011B24" w:rsidRPr="73886CCC">
        <w:rPr>
          <w:lang w:eastAsia="en-AU"/>
        </w:rPr>
        <w:t xml:space="preserve"> </w:t>
      </w:r>
      <w:r w:rsidR="007A12D1">
        <w:rPr>
          <w:lang w:eastAsia="en-AU"/>
        </w:rPr>
        <w:t>t</w:t>
      </w:r>
      <w:r w:rsidR="00011B24" w:rsidRPr="6E0D62EE">
        <w:rPr>
          <w:lang w:eastAsia="en-AU"/>
        </w:rPr>
        <w:t>he model applicability could be in relation to</w:t>
      </w:r>
      <w:r w:rsidR="00F22395">
        <w:rPr>
          <w:lang w:eastAsia="en-AU"/>
        </w:rPr>
        <w:t xml:space="preserve"> any of:</w:t>
      </w:r>
    </w:p>
    <w:p w14:paraId="397853BE" w14:textId="77777777" w:rsidR="00F22395" w:rsidRPr="00331690" w:rsidRDefault="00011B24" w:rsidP="000D0955">
      <w:pPr>
        <w:pStyle w:val="ListParagraph"/>
        <w:numPr>
          <w:ilvl w:val="1"/>
          <w:numId w:val="61"/>
        </w:numPr>
        <w:rPr>
          <w:b/>
          <w:lang w:eastAsia="en-AU"/>
        </w:rPr>
      </w:pPr>
      <w:r w:rsidRPr="6E0D62EE">
        <w:rPr>
          <w:lang w:eastAsia="en-AU"/>
        </w:rPr>
        <w:t>(sub)structures present in the training set</w:t>
      </w:r>
    </w:p>
    <w:p w14:paraId="58317D88" w14:textId="77777777" w:rsidR="00F22395" w:rsidRPr="00331690" w:rsidRDefault="00011B24" w:rsidP="000D0955">
      <w:pPr>
        <w:pStyle w:val="ListParagraph"/>
        <w:numPr>
          <w:ilvl w:val="1"/>
          <w:numId w:val="61"/>
        </w:numPr>
        <w:rPr>
          <w:b/>
          <w:lang w:eastAsia="en-AU"/>
        </w:rPr>
      </w:pPr>
      <w:r w:rsidRPr="6E0D62EE">
        <w:rPr>
          <w:lang w:eastAsia="en-AU"/>
        </w:rPr>
        <w:t xml:space="preserve">a range of molecular descriptors </w:t>
      </w:r>
    </w:p>
    <w:p w14:paraId="7DA9BE9E" w14:textId="77777777" w:rsidR="00F22395" w:rsidRPr="00331690" w:rsidRDefault="00011B24" w:rsidP="000D0955">
      <w:pPr>
        <w:pStyle w:val="ListParagraph"/>
        <w:numPr>
          <w:ilvl w:val="1"/>
          <w:numId w:val="61"/>
        </w:numPr>
        <w:rPr>
          <w:b/>
          <w:lang w:eastAsia="en-AU"/>
        </w:rPr>
      </w:pPr>
      <w:r w:rsidRPr="6E0D62EE">
        <w:rPr>
          <w:lang w:eastAsia="en-AU"/>
        </w:rPr>
        <w:t xml:space="preserve">metabolites/degradation products </w:t>
      </w:r>
    </w:p>
    <w:p w14:paraId="7402A908" w14:textId="77777777" w:rsidR="00011B24" w:rsidRPr="00331690" w:rsidRDefault="00011B24" w:rsidP="000D0955">
      <w:pPr>
        <w:pStyle w:val="ListParagraph"/>
        <w:numPr>
          <w:ilvl w:val="1"/>
          <w:numId w:val="61"/>
        </w:numPr>
        <w:rPr>
          <w:b/>
          <w:lang w:eastAsia="en-AU"/>
        </w:rPr>
      </w:pPr>
      <w:r w:rsidRPr="6E0D62EE">
        <w:rPr>
          <w:lang w:eastAsia="en-AU"/>
        </w:rPr>
        <w:t>mechanisms of action</w:t>
      </w:r>
    </w:p>
    <w:p w14:paraId="251B9F01" w14:textId="77777777" w:rsidR="00011B24" w:rsidRPr="00F509A7" w:rsidRDefault="00B67049" w:rsidP="000D0955">
      <w:pPr>
        <w:pStyle w:val="ListParagraph"/>
        <w:numPr>
          <w:ilvl w:val="0"/>
          <w:numId w:val="61"/>
        </w:numPr>
        <w:rPr>
          <w:b/>
          <w:lang w:eastAsia="en-AU"/>
        </w:rPr>
      </w:pPr>
      <w:r>
        <w:rPr>
          <w:lang w:eastAsia="en-AU"/>
        </w:rPr>
        <w:t>t</w:t>
      </w:r>
      <w:r w:rsidR="00011B24">
        <w:rPr>
          <w:lang w:eastAsia="en-AU"/>
        </w:rPr>
        <w:t xml:space="preserve">he guidelines, instructions and parameters for the in silico model have been followed in order to get the prediction </w:t>
      </w:r>
    </w:p>
    <w:p w14:paraId="2FAFB006" w14:textId="77777777" w:rsidR="00011B24" w:rsidRPr="00F509A7" w:rsidRDefault="00B67049" w:rsidP="000D0955">
      <w:pPr>
        <w:pStyle w:val="ListParagraph"/>
        <w:numPr>
          <w:ilvl w:val="0"/>
          <w:numId w:val="61"/>
        </w:numPr>
        <w:rPr>
          <w:b/>
          <w:lang w:eastAsia="en-AU"/>
        </w:rPr>
      </w:pPr>
      <w:r>
        <w:rPr>
          <w:lang w:eastAsia="en-AU"/>
        </w:rPr>
        <w:t>t</w:t>
      </w:r>
      <w:r w:rsidR="00011B24">
        <w:rPr>
          <w:lang w:eastAsia="en-AU"/>
        </w:rPr>
        <w:t>he industrial chemical is not any of the following types of chemicals:</w:t>
      </w:r>
    </w:p>
    <w:p w14:paraId="020094AD" w14:textId="77777777" w:rsidR="00011B24" w:rsidRPr="00331690" w:rsidRDefault="00011B24" w:rsidP="000D0955">
      <w:pPr>
        <w:pStyle w:val="ListParagraph"/>
        <w:numPr>
          <w:ilvl w:val="1"/>
          <w:numId w:val="61"/>
        </w:numPr>
        <w:rPr>
          <w:b/>
          <w:lang w:eastAsia="en-AU"/>
        </w:rPr>
      </w:pPr>
      <w:r>
        <w:rPr>
          <w:lang w:eastAsia="en-AU"/>
        </w:rPr>
        <w:t>UVCB substance</w:t>
      </w:r>
    </w:p>
    <w:p w14:paraId="6B5450B1" w14:textId="77777777" w:rsidR="00011B24" w:rsidRPr="00331690" w:rsidRDefault="00B67049" w:rsidP="000D0955">
      <w:pPr>
        <w:pStyle w:val="ListParagraph"/>
        <w:numPr>
          <w:ilvl w:val="1"/>
          <w:numId w:val="61"/>
        </w:numPr>
        <w:rPr>
          <w:b/>
          <w:lang w:eastAsia="en-AU"/>
        </w:rPr>
      </w:pPr>
      <w:r>
        <w:rPr>
          <w:lang w:eastAsia="en-AU"/>
        </w:rPr>
        <w:t>p</w:t>
      </w:r>
      <w:r w:rsidR="00011B24">
        <w:rPr>
          <w:lang w:eastAsia="en-AU"/>
        </w:rPr>
        <w:t>olymer</w:t>
      </w:r>
    </w:p>
    <w:p w14:paraId="1CA877B6" w14:textId="77777777" w:rsidR="00011B24" w:rsidRPr="00331690" w:rsidRDefault="00B67049" w:rsidP="000D0955">
      <w:pPr>
        <w:pStyle w:val="ListParagraph"/>
        <w:numPr>
          <w:ilvl w:val="1"/>
          <w:numId w:val="61"/>
        </w:numPr>
        <w:rPr>
          <w:b/>
          <w:lang w:eastAsia="en-AU"/>
        </w:rPr>
      </w:pPr>
      <w:r>
        <w:rPr>
          <w:lang w:eastAsia="en-AU"/>
        </w:rPr>
        <w:t>s</w:t>
      </w:r>
      <w:r w:rsidR="00011B24">
        <w:rPr>
          <w:lang w:eastAsia="en-AU"/>
        </w:rPr>
        <w:t>urfactant</w:t>
      </w:r>
    </w:p>
    <w:p w14:paraId="060550C5" w14:textId="77777777" w:rsidR="00011B24" w:rsidRPr="00331690" w:rsidRDefault="00B67049" w:rsidP="000D0955">
      <w:pPr>
        <w:pStyle w:val="ListParagraph"/>
        <w:numPr>
          <w:ilvl w:val="1"/>
          <w:numId w:val="61"/>
        </w:numPr>
        <w:rPr>
          <w:b/>
          <w:lang w:eastAsia="en-AU"/>
        </w:rPr>
      </w:pPr>
      <w:r>
        <w:rPr>
          <w:lang w:eastAsia="en-AU"/>
        </w:rPr>
        <w:t>i</w:t>
      </w:r>
      <w:r w:rsidR="00011B24">
        <w:rPr>
          <w:lang w:eastAsia="en-AU"/>
        </w:rPr>
        <w:t>norganic chemical</w:t>
      </w:r>
    </w:p>
    <w:p w14:paraId="14F84C44" w14:textId="77777777" w:rsidR="00011B24" w:rsidRPr="00331690" w:rsidRDefault="00B67049" w:rsidP="000D0955">
      <w:pPr>
        <w:pStyle w:val="ListParagraph"/>
        <w:numPr>
          <w:ilvl w:val="1"/>
          <w:numId w:val="61"/>
        </w:numPr>
        <w:rPr>
          <w:b/>
          <w:lang w:eastAsia="en-AU"/>
        </w:rPr>
      </w:pPr>
      <w:r>
        <w:rPr>
          <w:lang w:eastAsia="en-AU"/>
        </w:rPr>
        <w:t>o</w:t>
      </w:r>
      <w:r w:rsidR="00011B24">
        <w:rPr>
          <w:lang w:eastAsia="en-AU"/>
        </w:rPr>
        <w:t>rganometallic chemical</w:t>
      </w:r>
    </w:p>
    <w:p w14:paraId="1492971C" w14:textId="77777777" w:rsidR="00F22395" w:rsidRDefault="00B67049" w:rsidP="000D0955">
      <w:pPr>
        <w:pStyle w:val="ListParagraph"/>
        <w:numPr>
          <w:ilvl w:val="1"/>
          <w:numId w:val="61"/>
        </w:numPr>
        <w:rPr>
          <w:lang w:eastAsia="en-AU"/>
        </w:rPr>
      </w:pPr>
      <w:r>
        <w:rPr>
          <w:lang w:eastAsia="en-AU"/>
        </w:rPr>
        <w:t>a</w:t>
      </w:r>
      <w:r w:rsidR="00F22395" w:rsidRPr="00F22395">
        <w:rPr>
          <w:lang w:eastAsia="en-AU"/>
        </w:rPr>
        <w:t xml:space="preserve"> chemical that is</w:t>
      </w:r>
      <w:r w:rsidR="00F22395">
        <w:rPr>
          <w:lang w:eastAsia="en-AU"/>
        </w:rPr>
        <w:t>:</w:t>
      </w:r>
    </w:p>
    <w:p w14:paraId="56BBCECF" w14:textId="77777777" w:rsidR="00F22395" w:rsidRDefault="00F22395" w:rsidP="000D0955">
      <w:pPr>
        <w:pStyle w:val="ListParagraph"/>
        <w:numPr>
          <w:ilvl w:val="2"/>
          <w:numId w:val="61"/>
        </w:numPr>
        <w:rPr>
          <w:lang w:eastAsia="en-AU"/>
        </w:rPr>
      </w:pPr>
      <w:r>
        <w:rPr>
          <w:lang w:eastAsia="en-AU"/>
        </w:rPr>
        <w:t>a solid or in a dispersion, and</w:t>
      </w:r>
    </w:p>
    <w:p w14:paraId="7DF9B988" w14:textId="77777777" w:rsidR="00F22395" w:rsidRDefault="00F22395" w:rsidP="000D0955">
      <w:pPr>
        <w:pStyle w:val="ListParagraph"/>
        <w:numPr>
          <w:ilvl w:val="2"/>
          <w:numId w:val="61"/>
        </w:numPr>
        <w:rPr>
          <w:lang w:eastAsia="en-AU"/>
        </w:rPr>
      </w:pPr>
      <w:r>
        <w:rPr>
          <w:lang w:eastAsia="en-AU"/>
        </w:rPr>
        <w:t>consists of particles in an unbound state or as an aggregate or agglomerate, at least 50% (by number size distribution) of which have at least one external dimension in the nanoscale, and</w:t>
      </w:r>
    </w:p>
    <w:p w14:paraId="704F8A8B" w14:textId="77777777" w:rsidR="00F22395" w:rsidRPr="00F22395" w:rsidRDefault="00F22395" w:rsidP="000D0955">
      <w:pPr>
        <w:pStyle w:val="ListParagraph"/>
        <w:numPr>
          <w:ilvl w:val="2"/>
          <w:numId w:val="61"/>
        </w:numPr>
        <w:rPr>
          <w:lang w:eastAsia="en-AU"/>
        </w:rPr>
      </w:pPr>
      <w:r>
        <w:rPr>
          <w:lang w:eastAsia="en-AU"/>
        </w:rPr>
        <w:t>is not soluble</w:t>
      </w:r>
    </w:p>
    <w:p w14:paraId="3682E551" w14:textId="77777777" w:rsidR="008D039F" w:rsidRPr="00E749E0" w:rsidRDefault="00DE18AD" w:rsidP="007F4225">
      <w:r w:rsidRPr="008D039F">
        <w:rPr>
          <w:b/>
          <w:lang w:eastAsia="en-AU"/>
        </w:rPr>
        <w:t>Read across approach</w:t>
      </w:r>
      <w:r>
        <w:rPr>
          <w:lang w:eastAsia="en-AU"/>
        </w:rPr>
        <w:t xml:space="preserve"> means an approach to predict the hazard characteristics of a chemical (target chemical) </w:t>
      </w:r>
      <w:r w:rsidR="008D039F">
        <w:rPr>
          <w:lang w:eastAsia="en-AU"/>
        </w:rPr>
        <w:t xml:space="preserve">and fill information gaps </w:t>
      </w:r>
      <w:r>
        <w:rPr>
          <w:lang w:eastAsia="en-AU"/>
        </w:rPr>
        <w:t>by using information from one or more other chemicals (source chemicals</w:t>
      </w:r>
      <w:r w:rsidR="008D039F">
        <w:rPr>
          <w:lang w:eastAsia="en-AU"/>
        </w:rPr>
        <w:t xml:space="preserve">). </w:t>
      </w:r>
      <w:r w:rsidR="008D039F" w:rsidRPr="00E749E0">
        <w:t>There are two read-across techniques:</w:t>
      </w:r>
    </w:p>
    <w:p w14:paraId="56A420C7" w14:textId="77777777" w:rsidR="008D039F" w:rsidRPr="00E749E0" w:rsidRDefault="008D039F" w:rsidP="000D0955">
      <w:pPr>
        <w:pStyle w:val="ListParagraph"/>
        <w:numPr>
          <w:ilvl w:val="0"/>
          <w:numId w:val="62"/>
        </w:numPr>
      </w:pPr>
      <w:r w:rsidRPr="00E749E0">
        <w:lastRenderedPageBreak/>
        <w:t>Analogue approach –</w:t>
      </w:r>
      <w:r w:rsidR="000A1A88">
        <w:t xml:space="preserve"> </w:t>
      </w:r>
      <w:r w:rsidRPr="00E749E0">
        <w:t xml:space="preserve">a single chemical </w:t>
      </w:r>
      <w:r w:rsidR="00A24AA4">
        <w:t xml:space="preserve">is used </w:t>
      </w:r>
      <w:r w:rsidRPr="00E749E0">
        <w:t>as the source chemical (this single chemical is then kn</w:t>
      </w:r>
      <w:r w:rsidR="00006037">
        <w:t>own as the ‘analogue chemical’)</w:t>
      </w:r>
    </w:p>
    <w:p w14:paraId="718A4FA7" w14:textId="77777777" w:rsidR="008D039F" w:rsidRPr="00E749E0" w:rsidRDefault="008D039F" w:rsidP="000D0955">
      <w:pPr>
        <w:pStyle w:val="ListParagraph"/>
        <w:numPr>
          <w:ilvl w:val="0"/>
          <w:numId w:val="62"/>
        </w:numPr>
      </w:pPr>
      <w:r w:rsidRPr="00E749E0">
        <w:t>Category approach –</w:t>
      </w:r>
      <w:r w:rsidR="000A1A88">
        <w:t xml:space="preserve"> </w:t>
      </w:r>
      <w:r w:rsidRPr="00E749E0">
        <w:t xml:space="preserve">a group of chemicals </w:t>
      </w:r>
      <w:r w:rsidR="00921AB6">
        <w:t xml:space="preserve">are </w:t>
      </w:r>
      <w:r w:rsidR="00A24AA4">
        <w:t xml:space="preserve">used </w:t>
      </w:r>
      <w:r w:rsidRPr="00E749E0">
        <w:t>as the source chemicals.</w:t>
      </w:r>
    </w:p>
    <w:p w14:paraId="621E9FF1" w14:textId="77777777" w:rsidR="001E3A73" w:rsidRDefault="00DE18AD" w:rsidP="007F4225">
      <w:pPr>
        <w:rPr>
          <w:lang w:eastAsia="en-AU"/>
        </w:rPr>
      </w:pPr>
      <w:r w:rsidRPr="008D039F">
        <w:rPr>
          <w:b/>
          <w:lang w:eastAsia="en-AU"/>
        </w:rPr>
        <w:t>Suitable read across information</w:t>
      </w:r>
      <w:r>
        <w:rPr>
          <w:lang w:eastAsia="en-AU"/>
        </w:rPr>
        <w:t xml:space="preserve"> means that the read across </w:t>
      </w:r>
      <w:r w:rsidR="008D039F">
        <w:rPr>
          <w:lang w:eastAsia="en-AU"/>
        </w:rPr>
        <w:t>approach</w:t>
      </w:r>
      <w:r>
        <w:rPr>
          <w:lang w:eastAsia="en-AU"/>
        </w:rPr>
        <w:t xml:space="preserve"> is </w:t>
      </w:r>
      <w:r w:rsidR="00E62EC3">
        <w:rPr>
          <w:lang w:eastAsia="en-AU"/>
        </w:rPr>
        <w:t>acceptable</w:t>
      </w:r>
      <w:r w:rsidR="00F91DCE">
        <w:rPr>
          <w:lang w:eastAsia="en-AU"/>
        </w:rPr>
        <w:t xml:space="preserve"> </w:t>
      </w:r>
      <w:r w:rsidR="008D039F">
        <w:rPr>
          <w:lang w:eastAsia="en-AU"/>
        </w:rPr>
        <w:t xml:space="preserve">to fill an information gap </w:t>
      </w:r>
      <w:r w:rsidR="002529E4">
        <w:rPr>
          <w:lang w:eastAsia="en-AU"/>
        </w:rPr>
        <w:t xml:space="preserve">for a hazard characteristic </w:t>
      </w:r>
      <w:r w:rsidR="00D23C17">
        <w:rPr>
          <w:lang w:eastAsia="en-AU"/>
        </w:rPr>
        <w:t xml:space="preserve">because </w:t>
      </w:r>
      <w:r>
        <w:rPr>
          <w:lang w:eastAsia="en-AU"/>
        </w:rPr>
        <w:t>all</w:t>
      </w:r>
      <w:r w:rsidR="00D23C17">
        <w:rPr>
          <w:lang w:eastAsia="en-AU"/>
        </w:rPr>
        <w:t xml:space="preserve"> of</w:t>
      </w:r>
      <w:r>
        <w:rPr>
          <w:lang w:eastAsia="en-AU"/>
        </w:rPr>
        <w:t xml:space="preserve"> the </w:t>
      </w:r>
      <w:r w:rsidR="008D039F">
        <w:rPr>
          <w:lang w:eastAsia="en-AU"/>
        </w:rPr>
        <w:t xml:space="preserve">aspects outlined in Appendix </w:t>
      </w:r>
      <w:r w:rsidR="00174FE4">
        <w:rPr>
          <w:lang w:eastAsia="en-AU"/>
        </w:rPr>
        <w:t>8.3</w:t>
      </w:r>
      <w:r w:rsidR="00EE6644">
        <w:rPr>
          <w:lang w:eastAsia="en-AU"/>
        </w:rPr>
        <w:t xml:space="preserve"> of these Guidelines</w:t>
      </w:r>
      <w:r w:rsidR="00921AB6">
        <w:rPr>
          <w:lang w:eastAsia="en-AU"/>
        </w:rPr>
        <w:t xml:space="preserve"> </w:t>
      </w:r>
      <w:r w:rsidR="00D23C17">
        <w:rPr>
          <w:lang w:eastAsia="en-AU"/>
        </w:rPr>
        <w:t>have been considered</w:t>
      </w:r>
      <w:r w:rsidR="004A3C2E">
        <w:rPr>
          <w:lang w:eastAsia="en-AU"/>
        </w:rPr>
        <w:t>, justified and documented</w:t>
      </w:r>
      <w:r w:rsidR="008D039F">
        <w:rPr>
          <w:lang w:eastAsia="en-AU"/>
        </w:rPr>
        <w:t>.</w:t>
      </w:r>
    </w:p>
    <w:p w14:paraId="4BEADE81" w14:textId="77777777" w:rsidR="004D2A1C" w:rsidRDefault="004D2A1C" w:rsidP="007F4225">
      <w:pPr>
        <w:rPr>
          <w:lang w:eastAsia="en-AU"/>
        </w:rPr>
      </w:pPr>
      <w:r>
        <w:rPr>
          <w:b/>
          <w:lang w:eastAsia="en-AU"/>
        </w:rPr>
        <w:t xml:space="preserve">Acceptable test guideline </w:t>
      </w:r>
      <w:r w:rsidR="00340EA8">
        <w:rPr>
          <w:lang w:eastAsia="en-AU"/>
        </w:rPr>
        <w:t xml:space="preserve">means a test guideline set out in Appendix </w:t>
      </w:r>
      <w:r w:rsidR="00174FE4">
        <w:rPr>
          <w:lang w:eastAsia="en-AU"/>
        </w:rPr>
        <w:t>8.4</w:t>
      </w:r>
      <w:r w:rsidR="00373056">
        <w:rPr>
          <w:lang w:eastAsia="en-AU"/>
        </w:rPr>
        <w:t xml:space="preserve"> of these Guidelines</w:t>
      </w:r>
      <w:r w:rsidR="00340EA8">
        <w:rPr>
          <w:lang w:eastAsia="en-AU"/>
        </w:rPr>
        <w:t xml:space="preserve"> for the</w:t>
      </w:r>
      <w:r>
        <w:rPr>
          <w:lang w:eastAsia="en-AU"/>
        </w:rPr>
        <w:t xml:space="preserve"> hazard characteristic.</w:t>
      </w:r>
    </w:p>
    <w:p w14:paraId="0C66E1AB" w14:textId="77777777" w:rsidR="000A1A88" w:rsidRPr="000B4B1D" w:rsidRDefault="000A1A88" w:rsidP="007F4225">
      <w:pPr>
        <w:rPr>
          <w:lang w:eastAsia="en-AU"/>
        </w:rPr>
      </w:pPr>
    </w:p>
    <w:p w14:paraId="61EC18B0" w14:textId="77777777" w:rsidR="00ED7BDF" w:rsidRDefault="00B26B7F" w:rsidP="007F4225">
      <w:pPr>
        <w:pStyle w:val="Heading2"/>
      </w:pPr>
      <w:bookmarkStart w:id="18" w:name="_Toc43890203"/>
      <w:r>
        <w:t>Use of animal test data for demonstrating the absence of hazard characteristics</w:t>
      </w:r>
      <w:bookmarkEnd w:id="18"/>
    </w:p>
    <w:p w14:paraId="397C014A" w14:textId="77777777" w:rsidR="00B26B7F" w:rsidRDefault="00C15DF3" w:rsidP="007F4225">
      <w:pPr>
        <w:rPr>
          <w:lang w:eastAsia="en-AU"/>
        </w:rPr>
      </w:pPr>
      <w:r>
        <w:rPr>
          <w:lang w:eastAsia="en-AU"/>
        </w:rPr>
        <w:t xml:space="preserve">Part </w:t>
      </w:r>
      <w:r w:rsidR="000A1A88">
        <w:rPr>
          <w:lang w:eastAsia="en-AU"/>
        </w:rPr>
        <w:t xml:space="preserve">6 </w:t>
      </w:r>
      <w:r>
        <w:rPr>
          <w:lang w:eastAsia="en-AU"/>
        </w:rPr>
        <w:t>of the</w:t>
      </w:r>
      <w:r w:rsidR="000A1A88">
        <w:rPr>
          <w:lang w:eastAsia="en-AU"/>
        </w:rPr>
        <w:t>se</w:t>
      </w:r>
      <w:r w:rsidR="00B26B7F">
        <w:rPr>
          <w:lang w:eastAsia="en-AU"/>
        </w:rPr>
        <w:t xml:space="preserve"> Guidelines set</w:t>
      </w:r>
      <w:r w:rsidR="000A1A88">
        <w:rPr>
          <w:lang w:eastAsia="en-AU"/>
        </w:rPr>
        <w:t>s</w:t>
      </w:r>
      <w:r w:rsidR="00B26B7F">
        <w:rPr>
          <w:lang w:eastAsia="en-AU"/>
        </w:rPr>
        <w:t xml:space="preserve"> out the information needed to demonstrate the absence of each hazard characteristic, for the purpose of </w:t>
      </w:r>
      <w:r w:rsidR="00593289">
        <w:rPr>
          <w:lang w:eastAsia="en-AU"/>
        </w:rPr>
        <w:t>section 30</w:t>
      </w:r>
      <w:r w:rsidR="00B26B7F">
        <w:rPr>
          <w:lang w:eastAsia="en-AU"/>
        </w:rPr>
        <w:t xml:space="preserve"> of the </w:t>
      </w:r>
      <w:r w:rsidR="009547E9">
        <w:rPr>
          <w:lang w:eastAsia="en-AU"/>
        </w:rPr>
        <w:t>IC General Rules</w:t>
      </w:r>
      <w:r w:rsidR="00B26B7F">
        <w:rPr>
          <w:lang w:eastAsia="en-AU"/>
        </w:rPr>
        <w:t>.</w:t>
      </w:r>
    </w:p>
    <w:p w14:paraId="654A3631" w14:textId="77777777" w:rsidR="00C15DF3" w:rsidRDefault="00B26B7F" w:rsidP="007F4225">
      <w:pPr>
        <w:rPr>
          <w:lang w:eastAsia="en-AU"/>
        </w:rPr>
      </w:pPr>
      <w:r>
        <w:rPr>
          <w:lang w:eastAsia="en-AU"/>
        </w:rPr>
        <w:t xml:space="preserve">For many hazard </w:t>
      </w:r>
      <w:r w:rsidR="00633E3F">
        <w:rPr>
          <w:lang w:eastAsia="en-AU"/>
        </w:rPr>
        <w:t>characteristics,</w:t>
      </w:r>
      <w:r>
        <w:rPr>
          <w:lang w:eastAsia="en-AU"/>
        </w:rPr>
        <w:t xml:space="preserve"> there are options for the type of information </w:t>
      </w:r>
      <w:r w:rsidR="00A24AA4">
        <w:rPr>
          <w:lang w:eastAsia="en-AU"/>
        </w:rPr>
        <w:t>that can be used</w:t>
      </w:r>
      <w:r>
        <w:rPr>
          <w:lang w:eastAsia="en-AU"/>
        </w:rPr>
        <w:t xml:space="preserve">, including both animal test data and non-animal test data. </w:t>
      </w:r>
    </w:p>
    <w:p w14:paraId="6B0DEC7C" w14:textId="77777777" w:rsidR="008452BC" w:rsidRDefault="00A24AA4" w:rsidP="007F4225">
      <w:pPr>
        <w:rPr>
          <w:lang w:eastAsia="en-AU"/>
        </w:rPr>
      </w:pPr>
      <w:r>
        <w:rPr>
          <w:lang w:eastAsia="en-AU"/>
        </w:rPr>
        <w:t>The first step should be considering a</w:t>
      </w:r>
      <w:r w:rsidR="00B26B7F">
        <w:rPr>
          <w:lang w:eastAsia="en-AU"/>
        </w:rPr>
        <w:t xml:space="preserve">ll existing information </w:t>
      </w:r>
      <w:r>
        <w:rPr>
          <w:lang w:eastAsia="en-AU"/>
        </w:rPr>
        <w:t>that is available to an introducer to determine whether it</w:t>
      </w:r>
      <w:r w:rsidR="00921AB6">
        <w:rPr>
          <w:lang w:eastAsia="en-AU"/>
        </w:rPr>
        <w:t xml:space="preserve"> </w:t>
      </w:r>
      <w:r>
        <w:rPr>
          <w:lang w:eastAsia="en-AU"/>
        </w:rPr>
        <w:t>meets</w:t>
      </w:r>
      <w:r w:rsidR="00B26B7F">
        <w:rPr>
          <w:lang w:eastAsia="en-AU"/>
        </w:rPr>
        <w:t xml:space="preserve"> the requirements set out in </w:t>
      </w:r>
      <w:r w:rsidR="0089468F">
        <w:rPr>
          <w:lang w:eastAsia="en-AU"/>
        </w:rPr>
        <w:t xml:space="preserve">Part </w:t>
      </w:r>
      <w:r w:rsidR="000A1A88">
        <w:rPr>
          <w:lang w:eastAsia="en-AU"/>
        </w:rPr>
        <w:t xml:space="preserve">6 </w:t>
      </w:r>
      <w:r w:rsidR="00B26B7F">
        <w:rPr>
          <w:lang w:eastAsia="en-AU"/>
        </w:rPr>
        <w:t>of the</w:t>
      </w:r>
      <w:r w:rsidR="000A1A88">
        <w:rPr>
          <w:lang w:eastAsia="en-AU"/>
        </w:rPr>
        <w:t>se</w:t>
      </w:r>
      <w:r w:rsidR="00B26B7F">
        <w:rPr>
          <w:lang w:eastAsia="en-AU"/>
        </w:rPr>
        <w:t xml:space="preserve"> Guidelines. If</w:t>
      </w:r>
      <w:r>
        <w:rPr>
          <w:lang w:eastAsia="en-AU"/>
        </w:rPr>
        <w:t xml:space="preserve"> it does not meet the requirements in this </w:t>
      </w:r>
      <w:r w:rsidR="008452BC">
        <w:rPr>
          <w:lang w:eastAsia="en-AU"/>
        </w:rPr>
        <w:t xml:space="preserve">Part, </w:t>
      </w:r>
      <w:r w:rsidR="00B26B7F">
        <w:rPr>
          <w:lang w:eastAsia="en-AU"/>
        </w:rPr>
        <w:t xml:space="preserve">information </w:t>
      </w:r>
      <w:r>
        <w:rPr>
          <w:lang w:eastAsia="en-AU"/>
        </w:rPr>
        <w:t>may</w:t>
      </w:r>
      <w:r w:rsidR="00B26B7F">
        <w:rPr>
          <w:lang w:eastAsia="en-AU"/>
        </w:rPr>
        <w:t xml:space="preserve"> need to be generated to demonstrate the absence of a hazard characteristic</w:t>
      </w:r>
      <w:r>
        <w:rPr>
          <w:lang w:eastAsia="en-AU"/>
        </w:rPr>
        <w:t xml:space="preserve">. </w:t>
      </w:r>
    </w:p>
    <w:p w14:paraId="10364676" w14:textId="77777777" w:rsidR="00B26B7F" w:rsidRDefault="008452BC" w:rsidP="007F4225">
      <w:pPr>
        <w:rPr>
          <w:lang w:eastAsia="en-AU"/>
        </w:rPr>
      </w:pPr>
      <w:r>
        <w:rPr>
          <w:lang w:eastAsia="en-AU"/>
        </w:rPr>
        <w:t xml:space="preserve">If new data </w:t>
      </w:r>
      <w:r w:rsidR="00C15DF3">
        <w:rPr>
          <w:lang w:eastAsia="en-AU"/>
        </w:rPr>
        <w:t>needs</w:t>
      </w:r>
      <w:r>
        <w:rPr>
          <w:lang w:eastAsia="en-AU"/>
        </w:rPr>
        <w:t xml:space="preserve"> to be generated,</w:t>
      </w:r>
      <w:r w:rsidR="00B26B7F">
        <w:rPr>
          <w:lang w:eastAsia="en-AU"/>
        </w:rPr>
        <w:t xml:space="preserve"> the options for non-animal test data</w:t>
      </w:r>
      <w:r w:rsidR="00A24AA4">
        <w:rPr>
          <w:lang w:eastAsia="en-AU"/>
        </w:rPr>
        <w:t xml:space="preserve"> should be considered first</w:t>
      </w:r>
      <w:r w:rsidR="00B26B7F">
        <w:rPr>
          <w:lang w:eastAsia="en-AU"/>
        </w:rPr>
        <w:t xml:space="preserve">. The generation of </w:t>
      </w:r>
      <w:r w:rsidR="00921AB6">
        <w:rPr>
          <w:lang w:eastAsia="en-AU"/>
        </w:rPr>
        <w:t xml:space="preserve">new </w:t>
      </w:r>
      <w:r w:rsidR="00B26B7F">
        <w:rPr>
          <w:lang w:eastAsia="en-AU"/>
        </w:rPr>
        <w:t>animal test data should be considered as a last resort.</w:t>
      </w:r>
    </w:p>
    <w:p w14:paraId="0D39E8A0" w14:textId="77777777" w:rsidR="00633E3F" w:rsidRPr="00B26B7F" w:rsidRDefault="00633E3F" w:rsidP="007F4225">
      <w:pPr>
        <w:rPr>
          <w:lang w:eastAsia="en-AU"/>
        </w:rPr>
      </w:pPr>
    </w:p>
    <w:p w14:paraId="019DE7BE" w14:textId="77777777" w:rsidR="009E7695" w:rsidRDefault="000D689A" w:rsidP="007F4225">
      <w:pPr>
        <w:pStyle w:val="Heading2"/>
      </w:pPr>
      <w:bookmarkStart w:id="19" w:name="_Toc43890204"/>
      <w:r>
        <w:t>Carcinogenicity – Human health hazard band C</w:t>
      </w:r>
      <w:bookmarkEnd w:id="19"/>
      <w:r>
        <w:t xml:space="preserve"> </w:t>
      </w:r>
    </w:p>
    <w:p w14:paraId="21D01E8B" w14:textId="77777777" w:rsidR="00336A73" w:rsidRDefault="002511D2" w:rsidP="007F4225">
      <w:pPr>
        <w:pStyle w:val="Heading3"/>
        <w:ind w:left="709"/>
      </w:pPr>
      <w:r>
        <w:t xml:space="preserve">Clause </w:t>
      </w:r>
      <w:r w:rsidR="00914929">
        <w:t xml:space="preserve">2 of Part 1, Schedule 1 </w:t>
      </w:r>
      <w:r w:rsidR="00394B31">
        <w:t xml:space="preserve">to </w:t>
      </w:r>
      <w:r w:rsidR="00914929">
        <w:t xml:space="preserve">the </w:t>
      </w:r>
      <w:r w:rsidR="009547E9">
        <w:t>IC General Rules</w:t>
      </w:r>
      <w:r w:rsidR="00914929">
        <w:t xml:space="preserve"> </w:t>
      </w:r>
    </w:p>
    <w:p w14:paraId="48308F04" w14:textId="77777777" w:rsidR="00336A73" w:rsidRPr="00336A73" w:rsidRDefault="00336A73" w:rsidP="007F4225">
      <w:pPr>
        <w:rPr>
          <w:lang w:eastAsia="en-AU"/>
        </w:rPr>
      </w:pPr>
      <w:r w:rsidRPr="00336A73">
        <w:rPr>
          <w:lang w:eastAsia="en-AU"/>
        </w:rPr>
        <w:t xml:space="preserve">For the purposes of table item 1 of </w:t>
      </w:r>
      <w:r w:rsidR="00394B31">
        <w:rPr>
          <w:lang w:eastAsia="en-AU"/>
        </w:rPr>
        <w:t xml:space="preserve">Clause 2, </w:t>
      </w:r>
      <w:r w:rsidRPr="00336A73">
        <w:rPr>
          <w:lang w:eastAsia="en-AU"/>
        </w:rPr>
        <w:t xml:space="preserve">Part 1, Schedule 1 </w:t>
      </w:r>
      <w:r w:rsidR="00394B31">
        <w:rPr>
          <w:lang w:eastAsia="en-AU"/>
        </w:rPr>
        <w:t>to</w:t>
      </w:r>
      <w:r w:rsidR="00394B31" w:rsidRPr="00336A73">
        <w:rPr>
          <w:lang w:eastAsia="en-AU"/>
        </w:rPr>
        <w:t xml:space="preserve"> </w:t>
      </w:r>
      <w:r w:rsidR="0062271E">
        <w:rPr>
          <w:lang w:eastAsia="en-AU"/>
        </w:rPr>
        <w:t>the IC General Rules</w:t>
      </w:r>
      <w:r w:rsidRPr="00336A73">
        <w:rPr>
          <w:lang w:eastAsia="en-AU"/>
        </w:rPr>
        <w:t>:</w:t>
      </w:r>
    </w:p>
    <w:p w14:paraId="09EB6D9A" w14:textId="77777777" w:rsidR="00336A73" w:rsidRDefault="00336A73" w:rsidP="007F4225">
      <w:pPr>
        <w:rPr>
          <w:lang w:eastAsia="en-AU"/>
        </w:rPr>
      </w:pPr>
      <w:r w:rsidRPr="00C74C1A">
        <w:rPr>
          <w:b/>
          <w:lang w:eastAsia="en-AU"/>
        </w:rPr>
        <w:t>Carcinogenicity</w:t>
      </w:r>
      <w:r w:rsidRPr="00336A73">
        <w:rPr>
          <w:lang w:eastAsia="en-AU"/>
        </w:rPr>
        <w:t xml:space="preserve"> means that any of the following apply to the industrial chemical:</w:t>
      </w:r>
    </w:p>
    <w:p w14:paraId="27D86059" w14:textId="77777777" w:rsidR="006F5E9D" w:rsidRPr="00045961" w:rsidRDefault="006F5E9D" w:rsidP="000D0955">
      <w:pPr>
        <w:pStyle w:val="ListParagraph"/>
        <w:numPr>
          <w:ilvl w:val="0"/>
          <w:numId w:val="63"/>
        </w:numPr>
      </w:pPr>
      <w:r w:rsidRPr="00045961">
        <w:t>the chemical is a known, presumed or suspected human carcinogen, as described in chapter 3.6 of the GHS, with the chemical classified as carcinogenicity (category 1 or 2)</w:t>
      </w:r>
      <w:r>
        <w:t>, or</w:t>
      </w:r>
    </w:p>
    <w:p w14:paraId="32F50109" w14:textId="77777777" w:rsidR="006F5E9D" w:rsidRPr="00045961" w:rsidRDefault="006F5E9D" w:rsidP="000D0955">
      <w:pPr>
        <w:pStyle w:val="ListParagraph"/>
        <w:numPr>
          <w:ilvl w:val="0"/>
          <w:numId w:val="63"/>
        </w:numPr>
      </w:pPr>
      <w:r w:rsidRPr="00045961">
        <w:t xml:space="preserve">the chemical (or the chemical of which it is an ester or salt) is on </w:t>
      </w:r>
      <w:r w:rsidRPr="000A1A88">
        <w:t>the</w:t>
      </w:r>
      <w:r w:rsidRPr="000A1A88">
        <w:rPr>
          <w:b/>
        </w:rPr>
        <w:t xml:space="preserve"> </w:t>
      </w:r>
      <w:r w:rsidR="000849B9" w:rsidRPr="000A1A88">
        <w:rPr>
          <w:b/>
        </w:rPr>
        <w:t>list of chemicals with high hazards for categorisation</w:t>
      </w:r>
      <w:r>
        <w:t xml:space="preserve"> </w:t>
      </w:r>
      <w:r w:rsidRPr="00045961">
        <w:t>based on its carcinogenicity</w:t>
      </w:r>
      <w:r>
        <w:t>, or</w:t>
      </w:r>
    </w:p>
    <w:p w14:paraId="7C3593C7" w14:textId="77777777" w:rsidR="006F5E9D" w:rsidRDefault="00FD3DCE" w:rsidP="000D0955">
      <w:pPr>
        <w:pStyle w:val="ListParagraph"/>
        <w:numPr>
          <w:ilvl w:val="0"/>
          <w:numId w:val="63"/>
        </w:numPr>
      </w:pPr>
      <w:r>
        <w:t>a</w:t>
      </w:r>
      <w:r w:rsidR="006F5E9D">
        <w:t xml:space="preserve">n in vivo study on the chemical conducted following </w:t>
      </w:r>
      <w:r w:rsidR="000B03B4">
        <w:t>an acceptable test guideline</w:t>
      </w:r>
      <w:r w:rsidR="006F5E9D">
        <w:t xml:space="preserve"> </w:t>
      </w:r>
      <w:r w:rsidR="002A48A6">
        <w:t>for carcinogenicity, chronic toxicity</w:t>
      </w:r>
      <w:r w:rsidR="00E37391">
        <w:t>, subchronic oral toxicity, subchronic dermal toxicity</w:t>
      </w:r>
      <w:r w:rsidR="002A48A6">
        <w:t xml:space="preserve"> or </w:t>
      </w:r>
      <w:r w:rsidR="002A48A6">
        <w:lastRenderedPageBreak/>
        <w:t>subchronic</w:t>
      </w:r>
      <w:r w:rsidR="00E37391">
        <w:t xml:space="preserve"> inhalation</w:t>
      </w:r>
      <w:r w:rsidR="002A48A6">
        <w:t xml:space="preserve"> toxicity </w:t>
      </w:r>
      <w:r w:rsidR="006F5E9D">
        <w:t xml:space="preserve">results in </w:t>
      </w:r>
      <w:r w:rsidR="003755D3">
        <w:t>the induction of cancer, or an increase in the incidence of cancer</w:t>
      </w:r>
      <w:r w:rsidR="006F5E9D">
        <w:t>.</w:t>
      </w:r>
    </w:p>
    <w:p w14:paraId="2E732D82" w14:textId="77777777" w:rsidR="00914929" w:rsidRDefault="00593289" w:rsidP="007F4225">
      <w:pPr>
        <w:pStyle w:val="Heading3"/>
        <w:ind w:left="709"/>
      </w:pPr>
      <w:r>
        <w:t>Section 30</w:t>
      </w:r>
      <w:r w:rsidR="005108D6">
        <w:t xml:space="preserve"> of the </w:t>
      </w:r>
      <w:r w:rsidR="009547E9">
        <w:t>IC General Rules</w:t>
      </w:r>
      <w:r w:rsidR="005108D6">
        <w:t xml:space="preserve"> - </w:t>
      </w:r>
      <w:r w:rsidR="00914929">
        <w:t>Information required to demonstrate the absence of hazard ch</w:t>
      </w:r>
      <w:r w:rsidR="005108D6">
        <w:t xml:space="preserve">aracteristics </w:t>
      </w:r>
      <w:r w:rsidR="00914929">
        <w:t xml:space="preserve"> </w:t>
      </w:r>
    </w:p>
    <w:p w14:paraId="13A5A394" w14:textId="77777777" w:rsidR="006F5E9D" w:rsidRDefault="00D3734D" w:rsidP="00970E14">
      <w:r>
        <w:t xml:space="preserve">For the purposes of </w:t>
      </w:r>
      <w:r w:rsidR="00394B31">
        <w:t xml:space="preserve">paragraph </w:t>
      </w:r>
      <w:r>
        <w:t>30</w:t>
      </w:r>
      <w:r w:rsidR="006F5E9D">
        <w:t>(</w:t>
      </w:r>
      <w:r>
        <w:t>2</w:t>
      </w:r>
      <w:r w:rsidR="006F5E9D">
        <w:t>)</w:t>
      </w:r>
      <w:r w:rsidR="00CE70C3">
        <w:t xml:space="preserve">(b) and </w:t>
      </w:r>
      <w:r w:rsidR="00094A66">
        <w:t xml:space="preserve">subparagraph </w:t>
      </w:r>
      <w:r w:rsidR="00CE70C3">
        <w:t>30(2)(c)(iv) of the IC General Rules</w:t>
      </w:r>
      <w:r w:rsidR="00970E14">
        <w:t>, t</w:t>
      </w:r>
      <w:r w:rsidR="006F5E9D">
        <w:t xml:space="preserve">he information required to </w:t>
      </w:r>
      <w:r w:rsidR="000F3D5E">
        <w:t>demonstrate</w:t>
      </w:r>
      <w:r w:rsidR="006F5E9D">
        <w:t xml:space="preserve"> that a chemical does not have the hazard characteristic</w:t>
      </w:r>
      <w:r w:rsidR="00FD3DCE">
        <w:t>,</w:t>
      </w:r>
      <w:r w:rsidR="006F5E9D">
        <w:t xml:space="preserve"> </w:t>
      </w:r>
      <w:r w:rsidR="009956F1" w:rsidRPr="00FA4D05">
        <w:rPr>
          <w:b/>
        </w:rPr>
        <w:t>carcinogenicity</w:t>
      </w:r>
      <w:r w:rsidR="00FD3DCE">
        <w:t>,</w:t>
      </w:r>
      <w:r w:rsidR="009956F1">
        <w:t xml:space="preserve"> </w:t>
      </w:r>
      <w:r w:rsidR="006F5E9D">
        <w:t xml:space="preserve">is confirmation that the chemical (or the chemical of which it is an ester or salt) is not on </w:t>
      </w:r>
      <w:r w:rsidR="00FD3DCE">
        <w:t xml:space="preserve">the </w:t>
      </w:r>
      <w:r w:rsidR="00C942F2" w:rsidRPr="000A1A88">
        <w:rPr>
          <w:b/>
        </w:rPr>
        <w:t>list of chemicals with high hazards for categorisation</w:t>
      </w:r>
      <w:r w:rsidR="006F5E9D">
        <w:t>, based on its carcinogenicity.</w:t>
      </w:r>
    </w:p>
    <w:p w14:paraId="548125F4" w14:textId="71D07929" w:rsidR="00C942F2" w:rsidRDefault="006F5E9D" w:rsidP="00970E14">
      <w:r>
        <w:t xml:space="preserve">In addition, </w:t>
      </w:r>
      <w:r w:rsidR="1C640103">
        <w:t>if the human health exposure band</w:t>
      </w:r>
      <w:r w:rsidR="2B92B8DC">
        <w:t xml:space="preserve"> for the introduction is 4</w:t>
      </w:r>
      <w:r w:rsidR="1C640103">
        <w:t xml:space="preserve"> </w:t>
      </w:r>
      <w:r w:rsidR="600EFD12">
        <w:t xml:space="preserve">and the chemical is a UV filter, </w:t>
      </w:r>
      <w:r w:rsidR="00C942F2">
        <w:t>information is required to justify why the chemical would not cause carcinogenicity mediated by exposure to UV light</w:t>
      </w:r>
      <w:r w:rsidR="5255DA35">
        <w:t>. This may include one or more of</w:t>
      </w:r>
      <w:r w:rsidR="00934AF6">
        <w:t xml:space="preserve"> the following</w:t>
      </w:r>
      <w:r w:rsidR="00C942F2">
        <w:t>:</w:t>
      </w:r>
    </w:p>
    <w:p w14:paraId="32BAE418" w14:textId="0F24A17C" w:rsidR="00C942F2" w:rsidRDefault="00C942F2" w:rsidP="000D0955">
      <w:pPr>
        <w:pStyle w:val="ListParagraph"/>
        <w:numPr>
          <w:ilvl w:val="1"/>
          <w:numId w:val="64"/>
        </w:numPr>
      </w:pPr>
      <w:r>
        <w:t>the chemical has a</w:t>
      </w:r>
      <w:r w:rsidR="006F5E9D">
        <w:t xml:space="preserve"> molar extinction/absorption coefficient of </w:t>
      </w:r>
      <w:r w:rsidR="00934AF6">
        <w:t xml:space="preserve">less </w:t>
      </w:r>
      <w:r w:rsidR="006F5E9D">
        <w:t>than 1,000Lmol</w:t>
      </w:r>
      <w:r w:rsidR="006F5E9D" w:rsidRPr="2F7D7CB0">
        <w:rPr>
          <w:vertAlign w:val="superscript"/>
        </w:rPr>
        <w:t>-1</w:t>
      </w:r>
      <w:r w:rsidR="006F5E9D">
        <w:t>cm</w:t>
      </w:r>
      <w:r w:rsidR="006F5E9D" w:rsidRPr="2F7D7CB0">
        <w:rPr>
          <w:vertAlign w:val="superscript"/>
        </w:rPr>
        <w:t>-1</w:t>
      </w:r>
      <w:r w:rsidR="006F5E9D">
        <w:t xml:space="preserve"> at wavelengths between 290 and 700nm (based on the results of a study following OECD test guideline 101)</w:t>
      </w:r>
      <w:r w:rsidR="000C59F4">
        <w:t>,</w:t>
      </w:r>
      <w:r>
        <w:t xml:space="preserve"> </w:t>
      </w:r>
      <w:r w:rsidR="572CCC2F">
        <w:t>or</w:t>
      </w:r>
    </w:p>
    <w:p w14:paraId="42E5F518" w14:textId="15C4FEA7" w:rsidR="00C942F2" w:rsidRPr="00934AF6" w:rsidRDefault="2036B404" w:rsidP="2F7D7CB0">
      <w:pPr>
        <w:pStyle w:val="ListParagraph"/>
        <w:numPr>
          <w:ilvl w:val="1"/>
          <w:numId w:val="64"/>
        </w:numPr>
        <w:rPr>
          <w:rFonts w:asciiTheme="minorHAnsi" w:hAnsiTheme="minorHAnsi"/>
          <w:lang w:val="en-GB"/>
        </w:rPr>
      </w:pPr>
      <w:r w:rsidRPr="00934AF6">
        <w:rPr>
          <w:rFonts w:eastAsia="Segoe UI" w:cs="Segoe UI"/>
        </w:rPr>
        <w:t>results from in vitro phototoxicity studies, or</w:t>
      </w:r>
    </w:p>
    <w:p w14:paraId="62AB8878" w14:textId="4B379204" w:rsidR="00C942F2" w:rsidRPr="00934AF6" w:rsidRDefault="2036B404" w:rsidP="00934AF6">
      <w:pPr>
        <w:pStyle w:val="ListParagraph"/>
        <w:numPr>
          <w:ilvl w:val="1"/>
          <w:numId w:val="64"/>
        </w:numPr>
        <w:rPr>
          <w:rFonts w:asciiTheme="minorHAnsi" w:hAnsiTheme="minorHAnsi"/>
        </w:rPr>
      </w:pPr>
      <w:r w:rsidRPr="00934AF6">
        <w:rPr>
          <w:rFonts w:eastAsia="Segoe UI" w:cs="Segoe UI"/>
        </w:rPr>
        <w:t xml:space="preserve">results from in vivo </w:t>
      </w:r>
      <w:r w:rsidR="40B6CD50" w:rsidRPr="00934AF6">
        <w:rPr>
          <w:rFonts w:eastAsia="Segoe UI" w:cs="Segoe UI"/>
        </w:rPr>
        <w:t>carcinogenicity</w:t>
      </w:r>
      <w:r w:rsidRPr="00934AF6">
        <w:rPr>
          <w:rFonts w:eastAsia="Segoe UI" w:cs="Segoe UI"/>
        </w:rPr>
        <w:t xml:space="preserve"> studies where the methods have been modified to include photoactivation.</w:t>
      </w:r>
      <w:r w:rsidRPr="00934AF6">
        <w:t xml:space="preserve"> </w:t>
      </w:r>
    </w:p>
    <w:p w14:paraId="4C2C2291" w14:textId="77777777" w:rsidR="00D52C32" w:rsidRDefault="00D52C32" w:rsidP="007F4225">
      <w:pPr>
        <w:pStyle w:val="Heading2"/>
      </w:pPr>
      <w:bookmarkStart w:id="20" w:name="_Toc43890205"/>
      <w:r>
        <w:t xml:space="preserve">Reproductive toxicity – </w:t>
      </w:r>
      <w:r w:rsidRPr="007F4225">
        <w:t>Human</w:t>
      </w:r>
      <w:r>
        <w:t xml:space="preserve"> health hazard band C</w:t>
      </w:r>
      <w:bookmarkEnd w:id="20"/>
    </w:p>
    <w:p w14:paraId="5436E96B" w14:textId="77777777" w:rsidR="00D52C32" w:rsidRDefault="002511D2" w:rsidP="007F4225">
      <w:pPr>
        <w:pStyle w:val="Heading3"/>
        <w:ind w:left="709"/>
      </w:pPr>
      <w:r>
        <w:t xml:space="preserve">Clause </w:t>
      </w:r>
      <w:r w:rsidR="00D52C32">
        <w:t xml:space="preserve">2 of Part 1, Schedule 1 </w:t>
      </w:r>
      <w:r w:rsidR="008D1BDC">
        <w:t xml:space="preserve">to </w:t>
      </w:r>
      <w:r w:rsidR="00D52C32">
        <w:t xml:space="preserve">the </w:t>
      </w:r>
      <w:r w:rsidR="009547E9">
        <w:t>IC General Rules</w:t>
      </w:r>
      <w:r w:rsidR="00D52C32">
        <w:t xml:space="preserve"> </w:t>
      </w:r>
    </w:p>
    <w:p w14:paraId="59A5986B" w14:textId="77777777" w:rsidR="00D52C32" w:rsidRPr="00336A73" w:rsidRDefault="00D52C32" w:rsidP="007F4225">
      <w:pPr>
        <w:rPr>
          <w:lang w:eastAsia="en-AU"/>
        </w:rPr>
      </w:pPr>
      <w:r w:rsidRPr="00336A73">
        <w:rPr>
          <w:lang w:eastAsia="en-AU"/>
        </w:rPr>
        <w:t xml:space="preserve">For the purposes of table item </w:t>
      </w:r>
      <w:r w:rsidR="00DA176C">
        <w:rPr>
          <w:lang w:eastAsia="en-AU"/>
        </w:rPr>
        <w:t>2</w:t>
      </w:r>
      <w:r w:rsidRPr="00336A73">
        <w:rPr>
          <w:lang w:eastAsia="en-AU"/>
        </w:rPr>
        <w:t xml:space="preserve"> of </w:t>
      </w:r>
      <w:r w:rsidR="00C74C1A">
        <w:rPr>
          <w:lang w:eastAsia="en-AU"/>
        </w:rPr>
        <w:t>Clause</w:t>
      </w:r>
      <w:r w:rsidR="00C74C1A" w:rsidRPr="00336A73">
        <w:rPr>
          <w:lang w:eastAsia="en-AU"/>
        </w:rPr>
        <w:t xml:space="preserve"> 2, </w:t>
      </w:r>
      <w:r w:rsidRPr="00336A73">
        <w:rPr>
          <w:lang w:eastAsia="en-AU"/>
        </w:rPr>
        <w:t xml:space="preserve">Part 1, Schedule 1 </w:t>
      </w:r>
      <w:r w:rsidR="00C74C1A">
        <w:rPr>
          <w:lang w:eastAsia="en-AU"/>
        </w:rPr>
        <w:t>to</w:t>
      </w:r>
      <w:r w:rsidR="00C74C1A" w:rsidRPr="00336A73">
        <w:rPr>
          <w:lang w:eastAsia="en-AU"/>
        </w:rPr>
        <w:t xml:space="preserve"> </w:t>
      </w:r>
      <w:r w:rsidR="0062271E">
        <w:rPr>
          <w:lang w:eastAsia="en-AU"/>
        </w:rPr>
        <w:t>the IC General Rules</w:t>
      </w:r>
      <w:r w:rsidRPr="00336A73">
        <w:rPr>
          <w:lang w:eastAsia="en-AU"/>
        </w:rPr>
        <w:t>:</w:t>
      </w:r>
    </w:p>
    <w:p w14:paraId="40D525F3" w14:textId="77777777" w:rsidR="00D52C32" w:rsidRDefault="00D52C32" w:rsidP="007F4225">
      <w:pPr>
        <w:rPr>
          <w:lang w:eastAsia="en-AU"/>
        </w:rPr>
      </w:pPr>
      <w:r w:rsidRPr="00C74C1A">
        <w:rPr>
          <w:b/>
          <w:lang w:eastAsia="en-AU"/>
        </w:rPr>
        <w:t>Reproductive toxicity</w:t>
      </w:r>
      <w:r w:rsidRPr="00336A73">
        <w:rPr>
          <w:lang w:eastAsia="en-AU"/>
        </w:rPr>
        <w:t xml:space="preserve"> means that any of the following apply to the industrial chemical:</w:t>
      </w:r>
    </w:p>
    <w:p w14:paraId="4C1DB664" w14:textId="77777777" w:rsidR="006F5E9D" w:rsidRPr="00045961" w:rsidRDefault="006F5E9D" w:rsidP="000D0955">
      <w:pPr>
        <w:pStyle w:val="ListParagraph"/>
        <w:numPr>
          <w:ilvl w:val="0"/>
          <w:numId w:val="65"/>
        </w:numPr>
      </w:pPr>
      <w:r w:rsidRPr="00045961">
        <w:t>the chemical is known, presumed or suspected to produce adverse effects on sexual function and fertility, as described in chapter 3.7 of the GHS, with the chemical classified as</w:t>
      </w:r>
      <w:r>
        <w:t xml:space="preserve"> </w:t>
      </w:r>
      <w:r w:rsidRPr="00045961">
        <w:t>toxic to reproduction (category 1 or 2)</w:t>
      </w:r>
      <w:r>
        <w:t>, or</w:t>
      </w:r>
      <w:r w:rsidRPr="00045961">
        <w:t xml:space="preserve"> </w:t>
      </w:r>
    </w:p>
    <w:p w14:paraId="2AEAEF60" w14:textId="77777777" w:rsidR="006F5E9D" w:rsidRPr="00045961" w:rsidRDefault="006F5E9D" w:rsidP="000D0955">
      <w:pPr>
        <w:pStyle w:val="ListParagraph"/>
        <w:numPr>
          <w:ilvl w:val="0"/>
          <w:numId w:val="65"/>
        </w:numPr>
      </w:pPr>
      <w:r w:rsidRPr="00045961">
        <w:t xml:space="preserve">the chemical (or the chemical of which it is an ester or salt) is on the </w:t>
      </w:r>
      <w:r w:rsidR="0045165A" w:rsidRPr="000A1A88">
        <w:rPr>
          <w:b/>
        </w:rPr>
        <w:t>list of chemicals with high hazards for categorisation</w:t>
      </w:r>
      <w:r>
        <w:t xml:space="preserve"> </w:t>
      </w:r>
      <w:r w:rsidRPr="00045961">
        <w:t xml:space="preserve">based on its </w:t>
      </w:r>
      <w:r>
        <w:t>reproductive toxicity, or</w:t>
      </w:r>
    </w:p>
    <w:p w14:paraId="11EDEF93" w14:textId="77777777" w:rsidR="006F5E9D" w:rsidRDefault="006F5E9D" w:rsidP="000D0955">
      <w:pPr>
        <w:pStyle w:val="ListParagraph"/>
        <w:numPr>
          <w:ilvl w:val="0"/>
          <w:numId w:val="65"/>
        </w:numPr>
      </w:pPr>
      <w:r w:rsidRPr="00045961">
        <w:t>an in vivo st</w:t>
      </w:r>
      <w:r>
        <w:t xml:space="preserve">udy on the chemical </w:t>
      </w:r>
      <w:r w:rsidRPr="00045961">
        <w:t xml:space="preserve">conducted following </w:t>
      </w:r>
      <w:r w:rsidR="0045165A">
        <w:t>an acceptable test guideline</w:t>
      </w:r>
      <w:r w:rsidRPr="00045961">
        <w:t xml:space="preserve"> </w:t>
      </w:r>
      <w:r w:rsidR="002A48A6">
        <w:t xml:space="preserve">for reproductive toxicity, carcinogenicity, chronic toxicity, </w:t>
      </w:r>
      <w:r w:rsidR="0004021A">
        <w:t xml:space="preserve">subchronic oral toxicity, subchronic dermal toxicity or subchronic inhalation toxicity </w:t>
      </w:r>
      <w:r w:rsidRPr="00045961">
        <w:t>results in adverse effects on sexual function and fertility, as described in chapter 3.7 of the GHS.</w:t>
      </w:r>
    </w:p>
    <w:p w14:paraId="700C88A1" w14:textId="77777777" w:rsidR="0072365D" w:rsidRPr="00045961" w:rsidRDefault="0072365D" w:rsidP="0072365D"/>
    <w:p w14:paraId="2BE28B77" w14:textId="77777777" w:rsidR="00D52C32" w:rsidRDefault="00CE70C3" w:rsidP="007F4225">
      <w:pPr>
        <w:pStyle w:val="Heading3"/>
        <w:ind w:left="709"/>
      </w:pPr>
      <w:r>
        <w:t>Section 30</w:t>
      </w:r>
      <w:r w:rsidR="00831575">
        <w:t xml:space="preserve"> of the </w:t>
      </w:r>
      <w:r w:rsidR="009547E9">
        <w:t>IC General Rules</w:t>
      </w:r>
      <w:r w:rsidR="00831575">
        <w:t xml:space="preserve"> - </w:t>
      </w:r>
      <w:r w:rsidR="00D52C32">
        <w:t xml:space="preserve">Information required to demonstrate the absence of hazard characteristics  </w:t>
      </w:r>
    </w:p>
    <w:p w14:paraId="2D0D1B30" w14:textId="77777777" w:rsidR="008F2653" w:rsidRDefault="008F2653" w:rsidP="007F4225">
      <w:r>
        <w:lastRenderedPageBreak/>
        <w:t xml:space="preserve">For the purposes of </w:t>
      </w:r>
      <w:r w:rsidR="001701A8">
        <w:t xml:space="preserve">paragraph </w:t>
      </w:r>
      <w:r w:rsidR="00CE70C3">
        <w:t>30(2)(b) and</w:t>
      </w:r>
      <w:r w:rsidR="001701A8">
        <w:t xml:space="preserve"> subparagraph</w:t>
      </w:r>
      <w:r w:rsidR="00CE70C3">
        <w:t xml:space="preserve"> 30(2)(c)(iv) of the IC General Rules, </w:t>
      </w:r>
      <w:r>
        <w:t xml:space="preserve">the information required to </w:t>
      </w:r>
      <w:r w:rsidR="000F3D5E">
        <w:t>demonstr</w:t>
      </w:r>
      <w:r w:rsidR="00970E14">
        <w:t>a</w:t>
      </w:r>
      <w:r w:rsidR="000F3D5E">
        <w:t>te</w:t>
      </w:r>
      <w:r>
        <w:t xml:space="preserve"> that a chemical does not have the hazard characteristic</w:t>
      </w:r>
      <w:r w:rsidR="00CE70C3">
        <w:t>,</w:t>
      </w:r>
      <w:r>
        <w:t xml:space="preserve"> </w:t>
      </w:r>
      <w:r w:rsidRPr="00486E56">
        <w:rPr>
          <w:b/>
        </w:rPr>
        <w:t>reproductive toxicity</w:t>
      </w:r>
      <w:r w:rsidR="00CE70C3">
        <w:t>,</w:t>
      </w:r>
      <w:r>
        <w:t xml:space="preserve"> is:</w:t>
      </w:r>
    </w:p>
    <w:p w14:paraId="6AD8DACC" w14:textId="77777777" w:rsidR="008F2653" w:rsidRDefault="004D19DB" w:rsidP="000D0955">
      <w:pPr>
        <w:pStyle w:val="ListParagraph"/>
        <w:numPr>
          <w:ilvl w:val="0"/>
          <w:numId w:val="66"/>
        </w:numPr>
      </w:pPr>
      <w:r>
        <w:t>i</w:t>
      </w:r>
      <w:r w:rsidR="008F2653">
        <w:t xml:space="preserve">f the chemical is a polyhalogenated organic chemical and the human health exposure band for the introduction is 4 - </w:t>
      </w:r>
    </w:p>
    <w:p w14:paraId="1C4EC690" w14:textId="77777777" w:rsidR="008F2653" w:rsidRDefault="008F2653" w:rsidP="000D0955">
      <w:pPr>
        <w:pStyle w:val="ListParagraph"/>
        <w:numPr>
          <w:ilvl w:val="1"/>
          <w:numId w:val="66"/>
        </w:numPr>
      </w:pPr>
      <w:r>
        <w:t xml:space="preserve">an in vivo test result on the chemical or suitable read across information conducted following </w:t>
      </w:r>
      <w:r w:rsidR="009833F8">
        <w:t>an acceptable test guideline for reproductive toxicity, which results in none of the adverse effects on sexual function or fertility described in chapter 3.7 of the GHS</w:t>
      </w:r>
      <w:r w:rsidR="004D19DB">
        <w:t>;</w:t>
      </w:r>
    </w:p>
    <w:p w14:paraId="15243EEF" w14:textId="77777777" w:rsidR="008F2653" w:rsidRDefault="004D19DB" w:rsidP="000D0955">
      <w:pPr>
        <w:pStyle w:val="ListParagraph"/>
        <w:numPr>
          <w:ilvl w:val="0"/>
          <w:numId w:val="66"/>
        </w:numPr>
      </w:pPr>
      <w:r>
        <w:t>o</w:t>
      </w:r>
      <w:r w:rsidR="008F2653">
        <w:t xml:space="preserve">therwise – </w:t>
      </w:r>
    </w:p>
    <w:p w14:paraId="2A8F0847" w14:textId="77777777" w:rsidR="008F2653" w:rsidRDefault="008F2653" w:rsidP="000D0955">
      <w:pPr>
        <w:pStyle w:val="ListParagraph"/>
        <w:numPr>
          <w:ilvl w:val="1"/>
          <w:numId w:val="66"/>
        </w:numPr>
      </w:pPr>
      <w:r>
        <w:t xml:space="preserve">confirmation that the chemical (or the chemical of which it is an ester or salt) is not on the </w:t>
      </w:r>
      <w:r w:rsidR="00E26FC6" w:rsidRPr="000A1A88">
        <w:rPr>
          <w:b/>
        </w:rPr>
        <w:t>list of chemicals with high hazards for categorisation</w:t>
      </w:r>
      <w:r w:rsidR="00E26FC6">
        <w:t xml:space="preserve">, </w:t>
      </w:r>
      <w:r>
        <w:t>based on its reproductive toxicity.</w:t>
      </w:r>
    </w:p>
    <w:p w14:paraId="4C3D6123" w14:textId="77777777" w:rsidR="008F2653" w:rsidRDefault="008F2653" w:rsidP="008F2653">
      <w:pPr>
        <w:spacing w:before="0" w:after="0"/>
        <w:ind w:left="-360"/>
      </w:pPr>
    </w:p>
    <w:p w14:paraId="69C45148" w14:textId="77777777" w:rsidR="006F5E9D" w:rsidRDefault="006F5E9D" w:rsidP="007F4225">
      <w:pPr>
        <w:pStyle w:val="Heading2"/>
      </w:pPr>
      <w:bookmarkStart w:id="21" w:name="_Toc43890206"/>
      <w:r>
        <w:t>Developmental toxicity – Human health hazard band C</w:t>
      </w:r>
      <w:bookmarkEnd w:id="21"/>
    </w:p>
    <w:p w14:paraId="2B6F21A2" w14:textId="77777777" w:rsidR="006F5E9D" w:rsidRDefault="002511D2" w:rsidP="007F4225">
      <w:pPr>
        <w:pStyle w:val="Heading3"/>
        <w:ind w:left="709"/>
      </w:pPr>
      <w:r>
        <w:t xml:space="preserve">Clause </w:t>
      </w:r>
      <w:r w:rsidR="006F5E9D">
        <w:t xml:space="preserve">2 of Part 1, Schedule 1 </w:t>
      </w:r>
      <w:r w:rsidR="004D19DB">
        <w:t xml:space="preserve">to </w:t>
      </w:r>
      <w:r w:rsidR="006F5E9D">
        <w:t xml:space="preserve">the </w:t>
      </w:r>
      <w:r w:rsidR="009547E9">
        <w:t>IC General Rules</w:t>
      </w:r>
      <w:r w:rsidR="006F5E9D">
        <w:t xml:space="preserve"> </w:t>
      </w:r>
    </w:p>
    <w:p w14:paraId="6169FB99" w14:textId="77777777" w:rsidR="006F5E9D" w:rsidRDefault="006F5E9D" w:rsidP="007F4225">
      <w:r>
        <w:t xml:space="preserve">For the purposes of table item 3 of </w:t>
      </w:r>
      <w:r w:rsidR="004D19DB">
        <w:t xml:space="preserve">Clause 2, </w:t>
      </w:r>
      <w:r>
        <w:t xml:space="preserve">Part 1, Schedule 1 </w:t>
      </w:r>
      <w:r w:rsidR="004D19DB">
        <w:t xml:space="preserve">to </w:t>
      </w:r>
      <w:r w:rsidR="0062271E">
        <w:t>the IC General Rules</w:t>
      </w:r>
      <w:r>
        <w:t>:</w:t>
      </w:r>
    </w:p>
    <w:p w14:paraId="39E5FBD1" w14:textId="77777777" w:rsidR="006F5E9D" w:rsidRDefault="006F5E9D" w:rsidP="007F4225">
      <w:r w:rsidRPr="00DC427D">
        <w:rPr>
          <w:b/>
        </w:rPr>
        <w:t>Developmental toxicity</w:t>
      </w:r>
      <w:r>
        <w:t xml:space="preserve"> means that any of the following apply to the industrial chemical:</w:t>
      </w:r>
    </w:p>
    <w:p w14:paraId="46FA5598" w14:textId="77777777" w:rsidR="006F5E9D" w:rsidRPr="00045961" w:rsidRDefault="006F5E9D" w:rsidP="000D0955">
      <w:pPr>
        <w:pStyle w:val="ListParagraph"/>
        <w:numPr>
          <w:ilvl w:val="0"/>
          <w:numId w:val="67"/>
        </w:numPr>
      </w:pPr>
      <w:r w:rsidRPr="00045961">
        <w:t>the chemical is known, presumed or suspected to produce adverse effects on the development of the offspring or effects on the offspring via lactation, as described in chapter 3.7 of the GHS, with the chemical classified as follows:</w:t>
      </w:r>
    </w:p>
    <w:p w14:paraId="0CB28BCD" w14:textId="77777777" w:rsidR="006F5E9D" w:rsidRPr="00045961" w:rsidRDefault="006F5E9D" w:rsidP="000D0955">
      <w:pPr>
        <w:pStyle w:val="ListParagraph"/>
        <w:numPr>
          <w:ilvl w:val="1"/>
          <w:numId w:val="67"/>
        </w:numPr>
      </w:pPr>
      <w:r w:rsidRPr="00045961">
        <w:t>toxic to reproduction (category 1 or 2)</w:t>
      </w:r>
      <w:r w:rsidR="00B873E6">
        <w:t>,</w:t>
      </w:r>
      <w:r w:rsidRPr="00045961">
        <w:t xml:space="preserve"> or</w:t>
      </w:r>
    </w:p>
    <w:p w14:paraId="38A9FA4F" w14:textId="77777777" w:rsidR="006F5E9D" w:rsidRPr="00045961" w:rsidRDefault="006F5E9D" w:rsidP="000D0955">
      <w:pPr>
        <w:pStyle w:val="ListParagraph"/>
        <w:numPr>
          <w:ilvl w:val="1"/>
          <w:numId w:val="67"/>
        </w:numPr>
      </w:pPr>
      <w:r w:rsidRPr="00045961">
        <w:t>effects on or via lactation, or</w:t>
      </w:r>
    </w:p>
    <w:p w14:paraId="6BF4836F" w14:textId="77777777" w:rsidR="006F5E9D" w:rsidRPr="00045961" w:rsidRDefault="006F5E9D" w:rsidP="000D0955">
      <w:pPr>
        <w:pStyle w:val="ListParagraph"/>
        <w:numPr>
          <w:ilvl w:val="0"/>
          <w:numId w:val="67"/>
        </w:numPr>
      </w:pPr>
      <w:r w:rsidRPr="00045961">
        <w:t xml:space="preserve">the chemical (or the chemical of which it is an ester or salt) is on the </w:t>
      </w:r>
      <w:r w:rsidR="00E26FC6" w:rsidRPr="000A1A88">
        <w:rPr>
          <w:b/>
        </w:rPr>
        <w:t>list of chemicals with high hazards for categorisation</w:t>
      </w:r>
      <w:r w:rsidR="00E26FC6">
        <w:t xml:space="preserve"> </w:t>
      </w:r>
      <w:r w:rsidRPr="00045961">
        <w:t xml:space="preserve">based on its </w:t>
      </w:r>
      <w:r w:rsidR="002341D9">
        <w:t xml:space="preserve">developmental </w:t>
      </w:r>
      <w:r>
        <w:t>toxicity, or</w:t>
      </w:r>
    </w:p>
    <w:p w14:paraId="1E633841" w14:textId="77777777" w:rsidR="006F5E9D" w:rsidRDefault="006F5E9D" w:rsidP="000D0955">
      <w:pPr>
        <w:pStyle w:val="ListParagraph"/>
        <w:numPr>
          <w:ilvl w:val="0"/>
          <w:numId w:val="67"/>
        </w:numPr>
      </w:pPr>
      <w:r w:rsidRPr="00045961">
        <w:t>an in vivo s</w:t>
      </w:r>
      <w:r>
        <w:t xml:space="preserve">tudy on the chemical </w:t>
      </w:r>
      <w:r w:rsidRPr="00045961">
        <w:t xml:space="preserve">conducted following </w:t>
      </w:r>
      <w:r w:rsidR="00E26FC6">
        <w:t>an acceptable test guideline for developmental toxicity or reproductive toxicity</w:t>
      </w:r>
      <w:r w:rsidRPr="00045961">
        <w:t xml:space="preserve"> results in adverse effects on the development of the offspring or effects on the offspring via lactation, as described in chapter 3.7 of the GHS.</w:t>
      </w:r>
    </w:p>
    <w:p w14:paraId="5F71E410" w14:textId="77777777" w:rsidR="00006037" w:rsidRPr="00045961" w:rsidRDefault="00006037" w:rsidP="00006037">
      <w:pPr>
        <w:pStyle w:val="ListParagraph"/>
        <w:numPr>
          <w:ilvl w:val="0"/>
          <w:numId w:val="0"/>
        </w:numPr>
        <w:ind w:left="720"/>
      </w:pPr>
    </w:p>
    <w:p w14:paraId="2F471A79" w14:textId="77777777" w:rsidR="006F5E9D" w:rsidRDefault="006F5E9D" w:rsidP="00CD3D26">
      <w:pPr>
        <w:pStyle w:val="Heading3"/>
        <w:ind w:left="709"/>
      </w:pPr>
      <w:r w:rsidRPr="00CD3D26">
        <w:t>Section</w:t>
      </w:r>
      <w:r w:rsidR="00CE70C3">
        <w:t xml:space="preserve"> 30</w:t>
      </w:r>
      <w:r>
        <w:t xml:space="preserve"> of the </w:t>
      </w:r>
      <w:r w:rsidR="009547E9">
        <w:t>IC General Rules</w:t>
      </w:r>
      <w:r>
        <w:t xml:space="preserve"> - Information required to demonstrate the absence of hazard characteristics  </w:t>
      </w:r>
    </w:p>
    <w:p w14:paraId="55CF5392" w14:textId="77777777" w:rsidR="006F5E9D" w:rsidRDefault="006F5E9D" w:rsidP="00CD3D26">
      <w:r>
        <w:t xml:space="preserve">For the purposes of </w:t>
      </w:r>
      <w:r w:rsidR="0009537A">
        <w:t xml:space="preserve">paragraph </w:t>
      </w:r>
      <w:r w:rsidR="00CE70C3">
        <w:t xml:space="preserve">30(2)(b) and </w:t>
      </w:r>
      <w:r w:rsidR="0009537A">
        <w:t xml:space="preserve">subparagraph </w:t>
      </w:r>
      <w:r w:rsidR="00CE70C3">
        <w:t xml:space="preserve">30(2)(c)(iv) of the IC General Rules, </w:t>
      </w:r>
      <w:r w:rsidR="0039751F">
        <w:t xml:space="preserve">the information required to </w:t>
      </w:r>
      <w:r w:rsidR="000F3D5E">
        <w:t>demonstrate</w:t>
      </w:r>
      <w:r w:rsidR="0039751F">
        <w:t xml:space="preserve"> that a chemical does not have the hazard characteristic, </w:t>
      </w:r>
      <w:r w:rsidR="0039751F" w:rsidRPr="0009537A">
        <w:rPr>
          <w:b/>
        </w:rPr>
        <w:t>developmental toxicity</w:t>
      </w:r>
      <w:r w:rsidR="0039751F">
        <w:t>, is:</w:t>
      </w:r>
    </w:p>
    <w:p w14:paraId="0DC5EA0C" w14:textId="77777777" w:rsidR="0039751F" w:rsidRDefault="009F440D" w:rsidP="000D0955">
      <w:pPr>
        <w:pStyle w:val="ListParagraph"/>
        <w:numPr>
          <w:ilvl w:val="0"/>
          <w:numId w:val="68"/>
        </w:numPr>
        <w:ind w:hanging="357"/>
      </w:pPr>
      <w:r>
        <w:t>i</w:t>
      </w:r>
      <w:r w:rsidR="006F5E9D">
        <w:t xml:space="preserve">f the chemical is a polyhalogenated organic chemical and the human health exposure band for the introduction is 4 </w:t>
      </w:r>
      <w:r w:rsidR="0039751F">
        <w:t xml:space="preserve">– </w:t>
      </w:r>
    </w:p>
    <w:p w14:paraId="7CB0984F" w14:textId="77777777" w:rsidR="006F5E9D" w:rsidRDefault="006F5E9D" w:rsidP="000D0955">
      <w:pPr>
        <w:pStyle w:val="ListParagraph"/>
        <w:numPr>
          <w:ilvl w:val="1"/>
          <w:numId w:val="68"/>
        </w:numPr>
        <w:ind w:hanging="357"/>
      </w:pPr>
      <w:r>
        <w:lastRenderedPageBreak/>
        <w:t xml:space="preserve">an in vivo test result on the chemical or suitable read across information conducted following </w:t>
      </w:r>
      <w:r w:rsidR="0039751F">
        <w:t>an acceptable test guideline</w:t>
      </w:r>
      <w:r w:rsidRPr="00045961">
        <w:t xml:space="preserve"> </w:t>
      </w:r>
      <w:r w:rsidR="00E26FC6">
        <w:t xml:space="preserve">for developmental toxicity or reproductive toxicity </w:t>
      </w:r>
      <w:r>
        <w:t>which</w:t>
      </w:r>
      <w:r w:rsidR="00E26FC6">
        <w:t xml:space="preserve"> results in none of the adverse effects on</w:t>
      </w:r>
      <w:r w:rsidR="00E26FC6" w:rsidRPr="00045961">
        <w:t xml:space="preserve"> the development of the offspring or effects on the offspring via lactation, as described in chapter 3.7 of the GHS</w:t>
      </w:r>
      <w:r w:rsidR="009F440D">
        <w:t>;</w:t>
      </w:r>
    </w:p>
    <w:p w14:paraId="1DD0199E" w14:textId="77777777" w:rsidR="00BF4386" w:rsidRDefault="009F440D" w:rsidP="000D0955">
      <w:pPr>
        <w:pStyle w:val="ListParagraph"/>
        <w:numPr>
          <w:ilvl w:val="0"/>
          <w:numId w:val="68"/>
        </w:numPr>
        <w:ind w:hanging="357"/>
      </w:pPr>
      <w:r>
        <w:t>o</w:t>
      </w:r>
      <w:r w:rsidR="006F5E9D">
        <w:t>therwise</w:t>
      </w:r>
      <w:r w:rsidR="0039751F">
        <w:t xml:space="preserve"> </w:t>
      </w:r>
      <w:r w:rsidR="00BF4386">
        <w:t>–</w:t>
      </w:r>
      <w:r w:rsidR="0039751F">
        <w:t xml:space="preserve"> </w:t>
      </w:r>
      <w:r w:rsidR="006F5E9D">
        <w:t xml:space="preserve"> </w:t>
      </w:r>
    </w:p>
    <w:p w14:paraId="5373933F" w14:textId="77777777" w:rsidR="006F5E9D" w:rsidRDefault="006F5E9D" w:rsidP="000D0955">
      <w:pPr>
        <w:pStyle w:val="ListParagraph"/>
        <w:numPr>
          <w:ilvl w:val="1"/>
          <w:numId w:val="68"/>
        </w:numPr>
        <w:ind w:hanging="357"/>
      </w:pPr>
      <w:r>
        <w:t xml:space="preserve">confirmation that the chemical (or the chemical of which it is an ester or salt) is not on the </w:t>
      </w:r>
      <w:r w:rsidR="00E26FC6" w:rsidRPr="000A1A88">
        <w:rPr>
          <w:b/>
        </w:rPr>
        <w:t>list of chemicals with high hazards for categorisation</w:t>
      </w:r>
      <w:r w:rsidR="00E26FC6">
        <w:t xml:space="preserve">, </w:t>
      </w:r>
      <w:r>
        <w:t>based on its developmental toxicity.</w:t>
      </w:r>
    </w:p>
    <w:p w14:paraId="13E4B15B" w14:textId="77777777" w:rsidR="00633E3F" w:rsidRDefault="00633E3F" w:rsidP="00633E3F">
      <w:pPr>
        <w:pStyle w:val="ListParagraph"/>
        <w:numPr>
          <w:ilvl w:val="0"/>
          <w:numId w:val="0"/>
        </w:numPr>
        <w:ind w:left="1440"/>
      </w:pPr>
    </w:p>
    <w:p w14:paraId="47749EE3" w14:textId="77777777" w:rsidR="008E5733" w:rsidRDefault="008E5733" w:rsidP="00CD3D26">
      <w:pPr>
        <w:pStyle w:val="Heading2"/>
      </w:pPr>
      <w:bookmarkStart w:id="22" w:name="_Toc43890207"/>
      <w:r>
        <w:t>Adverse effects mediated by an endocrine mode of action – Human health hazard band C</w:t>
      </w:r>
      <w:bookmarkEnd w:id="22"/>
    </w:p>
    <w:p w14:paraId="60005875" w14:textId="77777777" w:rsidR="008E5733" w:rsidRDefault="002511D2" w:rsidP="00CD3D26">
      <w:pPr>
        <w:pStyle w:val="Heading3"/>
        <w:ind w:left="709"/>
      </w:pPr>
      <w:r>
        <w:t xml:space="preserve">Clause </w:t>
      </w:r>
      <w:r w:rsidR="008E5733">
        <w:t xml:space="preserve">2 of Part 1, </w:t>
      </w:r>
      <w:r w:rsidR="008E5733" w:rsidRPr="00CD3D26">
        <w:t>Schedule</w:t>
      </w:r>
      <w:r w:rsidR="008E5733">
        <w:t xml:space="preserve"> 1 </w:t>
      </w:r>
      <w:r w:rsidR="00006037">
        <w:t>to</w:t>
      </w:r>
      <w:r w:rsidR="008E5733">
        <w:t xml:space="preserve"> the </w:t>
      </w:r>
      <w:r w:rsidR="009547E9">
        <w:t>IC General Rules</w:t>
      </w:r>
      <w:r w:rsidR="008E5733">
        <w:t xml:space="preserve"> </w:t>
      </w:r>
    </w:p>
    <w:p w14:paraId="084E7339" w14:textId="77777777" w:rsidR="008E5733" w:rsidRDefault="008E5733" w:rsidP="00CD3D26">
      <w:r>
        <w:t xml:space="preserve">For the purposes of table item 4 of </w:t>
      </w:r>
      <w:r w:rsidR="00976855">
        <w:t xml:space="preserve">Clause 2, </w:t>
      </w:r>
      <w:r>
        <w:t xml:space="preserve">Part 1, Schedule 1 </w:t>
      </w:r>
      <w:r w:rsidR="003F04BB">
        <w:t xml:space="preserve">to </w:t>
      </w:r>
      <w:r w:rsidR="0062271E">
        <w:t>the IC General Rules</w:t>
      </w:r>
      <w:r>
        <w:t>:</w:t>
      </w:r>
    </w:p>
    <w:p w14:paraId="44A708B4" w14:textId="77777777" w:rsidR="008E5733" w:rsidRDefault="008E5733" w:rsidP="00CD3D26">
      <w:r w:rsidRPr="00AD032B">
        <w:rPr>
          <w:b/>
        </w:rPr>
        <w:t>Adverse effects mediated by an endocrine mode of action</w:t>
      </w:r>
      <w:r>
        <w:t xml:space="preserve"> means that any of the following apply to the industrial chemical:</w:t>
      </w:r>
    </w:p>
    <w:p w14:paraId="5705C7AB" w14:textId="77777777" w:rsidR="008E5733" w:rsidRPr="00045961" w:rsidRDefault="003F04BB" w:rsidP="000D0955">
      <w:pPr>
        <w:pStyle w:val="ListParagraph"/>
        <w:numPr>
          <w:ilvl w:val="0"/>
          <w:numId w:val="69"/>
        </w:numPr>
      </w:pPr>
      <w:r>
        <w:t>t</w:t>
      </w:r>
      <w:r w:rsidR="008E5733" w:rsidRPr="00045961">
        <w:t>he chemical meets all of the following:</w:t>
      </w:r>
    </w:p>
    <w:p w14:paraId="13C9C2A4" w14:textId="77777777" w:rsidR="008E5733" w:rsidRPr="00045961" w:rsidRDefault="003F04BB" w:rsidP="000D0955">
      <w:pPr>
        <w:pStyle w:val="ListParagraph"/>
        <w:numPr>
          <w:ilvl w:val="1"/>
          <w:numId w:val="69"/>
        </w:numPr>
      </w:pPr>
      <w:r>
        <w:t>i</w:t>
      </w:r>
      <w:r w:rsidR="008E5733" w:rsidRPr="00045961">
        <w:t>t shows an adverse effect in an intact organism or its progeny, which is a change in the morphology, physiology, growth, development, reproduction or lifespan of an organism, system or (sub)population that results in an impairment of functional capacity, an impairment of the capacity to compensate for additional stress or an increase in the susceptibilit</w:t>
      </w:r>
      <w:r w:rsidR="008E5733">
        <w:t>y to other influences, and</w:t>
      </w:r>
    </w:p>
    <w:p w14:paraId="3E3CC70C" w14:textId="77777777" w:rsidR="008E5733" w:rsidRPr="00045961" w:rsidRDefault="003F04BB" w:rsidP="000D0955">
      <w:pPr>
        <w:pStyle w:val="ListParagraph"/>
        <w:numPr>
          <w:ilvl w:val="1"/>
          <w:numId w:val="69"/>
        </w:numPr>
      </w:pPr>
      <w:r>
        <w:t>i</w:t>
      </w:r>
      <w:r w:rsidR="008E5733" w:rsidRPr="00045961">
        <w:t>t has an endocrine activity, which is the capacity to alter the func</w:t>
      </w:r>
      <w:r w:rsidR="008E5733">
        <w:t>tion(s) of the endocrine system, and</w:t>
      </w:r>
    </w:p>
    <w:p w14:paraId="3CACFD6A" w14:textId="77777777" w:rsidR="008E5733" w:rsidRPr="00045961" w:rsidRDefault="003F04BB" w:rsidP="000D0955">
      <w:pPr>
        <w:pStyle w:val="ListParagraph"/>
        <w:numPr>
          <w:ilvl w:val="1"/>
          <w:numId w:val="69"/>
        </w:numPr>
      </w:pPr>
      <w:r>
        <w:t>t</w:t>
      </w:r>
      <w:r w:rsidR="008E5733" w:rsidRPr="00045961">
        <w:t>he adverse effect is a consequence of the endocrine activity</w:t>
      </w:r>
    </w:p>
    <w:p w14:paraId="53828E1E" w14:textId="77777777" w:rsidR="008E5733" w:rsidRPr="00045961" w:rsidRDefault="008E5733" w:rsidP="00CD3D26">
      <w:pPr>
        <w:pStyle w:val="ListParagraph"/>
        <w:numPr>
          <w:ilvl w:val="0"/>
          <w:numId w:val="0"/>
        </w:numPr>
        <w:ind w:left="720"/>
      </w:pPr>
      <w:r w:rsidRPr="00045961">
        <w:t>or</w:t>
      </w:r>
    </w:p>
    <w:p w14:paraId="52930118" w14:textId="77777777" w:rsidR="008E5733" w:rsidRDefault="003F04BB" w:rsidP="000D0955">
      <w:pPr>
        <w:pStyle w:val="ListParagraph"/>
        <w:numPr>
          <w:ilvl w:val="0"/>
          <w:numId w:val="69"/>
        </w:numPr>
      </w:pPr>
      <w:r>
        <w:t>t</w:t>
      </w:r>
      <w:r w:rsidR="008E5733" w:rsidRPr="00045961">
        <w:t xml:space="preserve">he chemical (or the chemical of which it is an ester or salt) is on the </w:t>
      </w:r>
      <w:r w:rsidR="00E26FC6" w:rsidRPr="00172EBB">
        <w:rPr>
          <w:b/>
        </w:rPr>
        <w:t>list of chemicals with high hazards for categorisation</w:t>
      </w:r>
      <w:r w:rsidR="00E26FC6">
        <w:t>,</w:t>
      </w:r>
      <w:r w:rsidR="009D7842">
        <w:t xml:space="preserve"> </w:t>
      </w:r>
      <w:r w:rsidR="008E5733" w:rsidRPr="00045961">
        <w:t>based on its adverse effects mediated by an endocrine mode of action</w:t>
      </w:r>
    </w:p>
    <w:p w14:paraId="6C9DDAA5" w14:textId="77777777" w:rsidR="008E5733" w:rsidRDefault="008E5733" w:rsidP="00CD3D26">
      <w:pPr>
        <w:pStyle w:val="ListParagraph"/>
        <w:numPr>
          <w:ilvl w:val="0"/>
          <w:numId w:val="0"/>
        </w:numPr>
        <w:ind w:left="720"/>
      </w:pPr>
      <w:r>
        <w:t>or</w:t>
      </w:r>
    </w:p>
    <w:p w14:paraId="7ED9DF7A" w14:textId="77777777" w:rsidR="008E5733" w:rsidRDefault="003F04BB" w:rsidP="000D0955">
      <w:pPr>
        <w:pStyle w:val="ListParagraph"/>
        <w:numPr>
          <w:ilvl w:val="0"/>
          <w:numId w:val="69"/>
        </w:numPr>
      </w:pPr>
      <w:r>
        <w:t>t</w:t>
      </w:r>
      <w:r w:rsidR="008E5733">
        <w:t>he chemical meets all of the following:</w:t>
      </w:r>
    </w:p>
    <w:p w14:paraId="075F4F1F" w14:textId="77777777" w:rsidR="008E5733" w:rsidRDefault="003F04BB" w:rsidP="000D0955">
      <w:pPr>
        <w:pStyle w:val="ListParagraph"/>
        <w:numPr>
          <w:ilvl w:val="1"/>
          <w:numId w:val="69"/>
        </w:numPr>
      </w:pPr>
      <w:r>
        <w:t>i</w:t>
      </w:r>
      <w:r w:rsidR="008E5733">
        <w:t xml:space="preserve">nformation is available that is relevant to determining </w:t>
      </w:r>
      <w:r>
        <w:t xml:space="preserve">whether </w:t>
      </w:r>
      <w:r w:rsidR="008E5733">
        <w:t>the chemical has the hazard characteristic</w:t>
      </w:r>
      <w:r w:rsidR="00B873E6">
        <w:t>,</w:t>
      </w:r>
      <w:r w:rsidR="008E5733">
        <w:t xml:space="preserve"> </w:t>
      </w:r>
      <w:r w:rsidR="008E5733" w:rsidRPr="00555B5B">
        <w:rPr>
          <w:b/>
        </w:rPr>
        <w:t>adverse effects mediated by an endocrine mode of action</w:t>
      </w:r>
      <w:r w:rsidR="008E5733">
        <w:t xml:space="preserve">, and </w:t>
      </w:r>
    </w:p>
    <w:p w14:paraId="6E6B1F37" w14:textId="77777777" w:rsidR="008E5733" w:rsidRDefault="003F04BB" w:rsidP="000D0955">
      <w:pPr>
        <w:pStyle w:val="ListParagraph"/>
        <w:numPr>
          <w:ilvl w:val="1"/>
          <w:numId w:val="69"/>
        </w:numPr>
      </w:pPr>
      <w:r>
        <w:t>t</w:t>
      </w:r>
      <w:r w:rsidR="008E5733">
        <w:t xml:space="preserve">he information has been considered in a weight of evidence analysis based on the </w:t>
      </w:r>
      <w:r>
        <w:t xml:space="preserve">following </w:t>
      </w:r>
      <w:r w:rsidR="008E5733">
        <w:t>guidance documents:</w:t>
      </w:r>
    </w:p>
    <w:p w14:paraId="1E9981B6" w14:textId="77777777" w:rsidR="008E5733" w:rsidRDefault="003F04BB" w:rsidP="00BA5B47">
      <w:pPr>
        <w:pStyle w:val="ListParagraph"/>
        <w:numPr>
          <w:ilvl w:val="2"/>
          <w:numId w:val="69"/>
        </w:numPr>
      </w:pPr>
      <w:r>
        <w:lastRenderedPageBreak/>
        <w:t>t</w:t>
      </w:r>
      <w:r w:rsidR="008E5733">
        <w:t>he EU guidance for identifying endocrine disruptors</w:t>
      </w:r>
      <w:r w:rsidR="008E5733">
        <w:rPr>
          <w:rStyle w:val="FootnoteReference"/>
        </w:rPr>
        <w:footnoteReference w:id="4"/>
      </w:r>
      <w:r w:rsidR="008E5733">
        <w:t>, and</w:t>
      </w:r>
    </w:p>
    <w:p w14:paraId="0211D8FF" w14:textId="77777777" w:rsidR="008E5733" w:rsidRDefault="003F04BB" w:rsidP="00BA5B47">
      <w:pPr>
        <w:pStyle w:val="ListParagraph"/>
        <w:numPr>
          <w:ilvl w:val="2"/>
          <w:numId w:val="69"/>
        </w:numPr>
      </w:pPr>
      <w:r>
        <w:t>t</w:t>
      </w:r>
      <w:r w:rsidR="008E5733">
        <w:t>he guidance provided in OECD GD 150</w:t>
      </w:r>
      <w:r w:rsidR="008E5733">
        <w:rPr>
          <w:rStyle w:val="FootnoteReference"/>
        </w:rPr>
        <w:footnoteReference w:id="5"/>
      </w:r>
      <w:r>
        <w:t>;</w:t>
      </w:r>
      <w:r w:rsidR="008E5733">
        <w:t xml:space="preserve"> and</w:t>
      </w:r>
    </w:p>
    <w:p w14:paraId="01BE52C2" w14:textId="77777777" w:rsidR="008E5733" w:rsidRPr="00045961" w:rsidRDefault="003F04BB" w:rsidP="00BA5B47">
      <w:pPr>
        <w:pStyle w:val="ListParagraph"/>
        <w:numPr>
          <w:ilvl w:val="1"/>
          <w:numId w:val="69"/>
        </w:numPr>
      </w:pPr>
      <w:r>
        <w:t>t</w:t>
      </w:r>
      <w:r w:rsidR="008E5733">
        <w:t>he weight of evidence analysis concludes that the chemical has the hazard characteristic</w:t>
      </w:r>
      <w:r w:rsidR="004D3BF2">
        <w:t>,</w:t>
      </w:r>
      <w:r w:rsidR="008E5733">
        <w:t xml:space="preserve"> </w:t>
      </w:r>
      <w:r w:rsidR="008E5733" w:rsidRPr="00172EBB">
        <w:t>adverse effects mediated by an endocrine mode of action</w:t>
      </w:r>
      <w:r w:rsidR="00B873E6">
        <w:t>.</w:t>
      </w:r>
      <w:r w:rsidR="008E5733">
        <w:t xml:space="preserve"> </w:t>
      </w:r>
    </w:p>
    <w:p w14:paraId="7D797EB8" w14:textId="77777777" w:rsidR="008E5733" w:rsidRDefault="00CE70C3" w:rsidP="00CD3D26">
      <w:pPr>
        <w:pStyle w:val="Heading3"/>
        <w:ind w:left="709"/>
      </w:pPr>
      <w:r>
        <w:t xml:space="preserve">Section </w:t>
      </w:r>
      <w:r w:rsidR="008E5733">
        <w:t>3</w:t>
      </w:r>
      <w:r>
        <w:t>0</w:t>
      </w:r>
      <w:r w:rsidR="008E5733">
        <w:t xml:space="preserve"> of the </w:t>
      </w:r>
      <w:r w:rsidR="009547E9">
        <w:t>IC General Rules</w:t>
      </w:r>
      <w:r w:rsidR="008E5733">
        <w:t xml:space="preserve"> - Information required to demonstrate the absence of hazard characteristics  </w:t>
      </w:r>
    </w:p>
    <w:p w14:paraId="38FF4A0E" w14:textId="77777777" w:rsidR="008E5733" w:rsidRDefault="008E5733" w:rsidP="00CD3D26">
      <w:r>
        <w:t xml:space="preserve">For the purposes of </w:t>
      </w:r>
      <w:r w:rsidR="00741C9A">
        <w:t xml:space="preserve">paragraph </w:t>
      </w:r>
      <w:r w:rsidR="00CE70C3">
        <w:t xml:space="preserve">30(2)(b) and </w:t>
      </w:r>
      <w:r w:rsidR="00741C9A">
        <w:t xml:space="preserve">subparagraph </w:t>
      </w:r>
      <w:r w:rsidR="00CE70C3">
        <w:t>30(2)(c)(iv) of the IC General Rules</w:t>
      </w:r>
      <w:r>
        <w:t>:</w:t>
      </w:r>
    </w:p>
    <w:p w14:paraId="34C8DEF7" w14:textId="77777777" w:rsidR="00A344E8" w:rsidRDefault="00B873E6" w:rsidP="000D0955">
      <w:pPr>
        <w:pStyle w:val="ListParagraph"/>
        <w:numPr>
          <w:ilvl w:val="0"/>
          <w:numId w:val="70"/>
        </w:numPr>
      </w:pPr>
      <w:r>
        <w:t>i</w:t>
      </w:r>
      <w:r w:rsidR="008E5733">
        <w:t>f the chemical has existing information relevant to determining whether it has the hazard characteristic</w:t>
      </w:r>
      <w:r w:rsidR="006028A6">
        <w:t>,</w:t>
      </w:r>
      <w:r w:rsidR="008E5733">
        <w:t xml:space="preserve"> </w:t>
      </w:r>
      <w:r w:rsidR="008E5733" w:rsidRPr="00B325A3">
        <w:rPr>
          <w:b/>
        </w:rPr>
        <w:t>adverse effects mediated by an endocrine mode of action</w:t>
      </w:r>
      <w:r w:rsidR="008E5733">
        <w:t xml:space="preserve">, information is required to </w:t>
      </w:r>
      <w:r w:rsidR="000F3D5E">
        <w:t>demonstrate</w:t>
      </w:r>
      <w:r w:rsidR="008E5733">
        <w:t xml:space="preserve"> that the chemical does not </w:t>
      </w:r>
      <w:r w:rsidR="001235F6">
        <w:t>have this hazard characteristic:</w:t>
      </w:r>
      <w:r w:rsidR="008E5733">
        <w:t xml:space="preserve"> </w:t>
      </w:r>
    </w:p>
    <w:p w14:paraId="191E8871" w14:textId="77777777" w:rsidR="00A344E8" w:rsidRDefault="008E5733" w:rsidP="000D0955">
      <w:pPr>
        <w:pStyle w:val="ListParagraph"/>
        <w:numPr>
          <w:ilvl w:val="1"/>
          <w:numId w:val="70"/>
        </w:numPr>
      </w:pPr>
      <w:r>
        <w:t>This must involve a documented weight of evidence analysis based on the EU guidance for identifying endocrine disruptors</w:t>
      </w:r>
      <w:r w:rsidR="006028A6" w:rsidRPr="00CD3D26">
        <w:rPr>
          <w:vertAlign w:val="superscript"/>
        </w:rPr>
        <w:t>2</w:t>
      </w:r>
      <w:r>
        <w:t xml:space="preserve"> and the guidance in OECD GD 150</w:t>
      </w:r>
      <w:r w:rsidR="006028A6" w:rsidRPr="00CD3D26">
        <w:rPr>
          <w:vertAlign w:val="superscript"/>
        </w:rPr>
        <w:t>3</w:t>
      </w:r>
      <w:r w:rsidR="001235F6">
        <w:t>, and</w:t>
      </w:r>
    </w:p>
    <w:p w14:paraId="4365214E" w14:textId="77777777" w:rsidR="008E5733" w:rsidRDefault="008E5733" w:rsidP="000D0955">
      <w:pPr>
        <w:pStyle w:val="ListParagraph"/>
        <w:numPr>
          <w:ilvl w:val="1"/>
          <w:numId w:val="70"/>
        </w:numPr>
      </w:pPr>
      <w:r>
        <w:t>The analysis must conclude that the chemical does not have the hazard characteristic</w:t>
      </w:r>
      <w:r w:rsidR="006028A6">
        <w:t>,</w:t>
      </w:r>
      <w:r>
        <w:t xml:space="preserve"> </w:t>
      </w:r>
      <w:r w:rsidRPr="00172EBB">
        <w:t>adverse effects mediated by an endocrine mode of action</w:t>
      </w:r>
      <w:r>
        <w:t>.</w:t>
      </w:r>
    </w:p>
    <w:p w14:paraId="19BB8767" w14:textId="77777777" w:rsidR="008E5733" w:rsidRDefault="008E5733" w:rsidP="000D0955">
      <w:pPr>
        <w:pStyle w:val="ListParagraph"/>
        <w:numPr>
          <w:ilvl w:val="0"/>
          <w:numId w:val="70"/>
        </w:numPr>
      </w:pPr>
      <w:r>
        <w:t>Otherwise</w:t>
      </w:r>
      <w:r w:rsidR="003320C7">
        <w:t>,</w:t>
      </w:r>
      <w:r>
        <w:t xml:space="preserve"> the information required to </w:t>
      </w:r>
      <w:r w:rsidR="000F3D5E">
        <w:t>demonstrate</w:t>
      </w:r>
      <w:r>
        <w:t xml:space="preserve"> that a chemical does not have the hazard characteristic</w:t>
      </w:r>
      <w:r w:rsidR="006028A6">
        <w:t>,</w:t>
      </w:r>
      <w:r>
        <w:t xml:space="preserve"> adverse effects mediated by an endocrine mode of action</w:t>
      </w:r>
      <w:r w:rsidR="006028A6">
        <w:t>,</w:t>
      </w:r>
      <w:r>
        <w:t xml:space="preserve"> is confirmation that the chemical (or the chemical of which it is an ester or salt) is not on the </w:t>
      </w:r>
      <w:r w:rsidR="00E26FC6" w:rsidRPr="00172EBB">
        <w:rPr>
          <w:b/>
        </w:rPr>
        <w:t>list of chemicals with high hazards for categorisation</w:t>
      </w:r>
      <w:r w:rsidR="00E26FC6">
        <w:t>,</w:t>
      </w:r>
      <w:r w:rsidR="009D7842">
        <w:t xml:space="preserve"> </w:t>
      </w:r>
      <w:r>
        <w:t>based on its adverse effects mediated by an endocrine mode of action.</w:t>
      </w:r>
    </w:p>
    <w:p w14:paraId="4A463AA2" w14:textId="77777777" w:rsidR="008E5733" w:rsidRDefault="008E5733" w:rsidP="00330376">
      <w:pPr>
        <w:rPr>
          <w:lang w:eastAsia="en-AU"/>
        </w:rPr>
      </w:pPr>
    </w:p>
    <w:p w14:paraId="034425E2" w14:textId="77777777" w:rsidR="006336A4" w:rsidRDefault="006336A4" w:rsidP="00CD3D26">
      <w:pPr>
        <w:pStyle w:val="Heading2"/>
      </w:pPr>
      <w:bookmarkStart w:id="23" w:name="_Toc43890208"/>
      <w:r>
        <w:t>Genetic toxicity – Human health hazard band C</w:t>
      </w:r>
      <w:bookmarkEnd w:id="23"/>
    </w:p>
    <w:p w14:paraId="686DF816" w14:textId="77777777" w:rsidR="006336A4" w:rsidRDefault="002511D2" w:rsidP="00CD3D26">
      <w:pPr>
        <w:pStyle w:val="Heading3"/>
        <w:ind w:left="709"/>
      </w:pPr>
      <w:r>
        <w:t xml:space="preserve">Clause </w:t>
      </w:r>
      <w:r w:rsidR="006336A4">
        <w:t xml:space="preserve">2 of Part 1, </w:t>
      </w:r>
      <w:r w:rsidR="006336A4" w:rsidRPr="00CD3D26">
        <w:t>Schedule</w:t>
      </w:r>
      <w:r w:rsidR="006336A4">
        <w:t xml:space="preserve"> 1 </w:t>
      </w:r>
      <w:r w:rsidR="002F76C4">
        <w:t xml:space="preserve">to </w:t>
      </w:r>
      <w:r w:rsidR="006336A4">
        <w:t xml:space="preserve">the </w:t>
      </w:r>
      <w:r w:rsidR="009547E9">
        <w:t>IC General Rules</w:t>
      </w:r>
      <w:r w:rsidR="006336A4">
        <w:t xml:space="preserve"> </w:t>
      </w:r>
    </w:p>
    <w:p w14:paraId="5DD34B8B" w14:textId="77777777" w:rsidR="006336A4" w:rsidRDefault="006336A4" w:rsidP="008872F9">
      <w:r>
        <w:t xml:space="preserve">For the purposes of table item 5 of </w:t>
      </w:r>
      <w:r w:rsidR="002F76C4">
        <w:t xml:space="preserve">Clause 2, </w:t>
      </w:r>
      <w:r>
        <w:t xml:space="preserve">Part 1, Schedule 1 </w:t>
      </w:r>
      <w:r w:rsidR="00DF5CEE">
        <w:t xml:space="preserve">to </w:t>
      </w:r>
      <w:r w:rsidR="0062271E">
        <w:t>the IC General Rules</w:t>
      </w:r>
      <w:r>
        <w:t>:</w:t>
      </w:r>
    </w:p>
    <w:p w14:paraId="0E060564" w14:textId="77777777" w:rsidR="006336A4" w:rsidRDefault="006336A4" w:rsidP="006A16D2">
      <w:pPr>
        <w:rPr>
          <w:lang w:eastAsia="en-AU"/>
        </w:rPr>
      </w:pPr>
      <w:r w:rsidRPr="00132DEE">
        <w:rPr>
          <w:b/>
          <w:lang w:eastAsia="en-AU"/>
        </w:rPr>
        <w:t>Genetic toxicity</w:t>
      </w:r>
      <w:r>
        <w:rPr>
          <w:lang w:eastAsia="en-AU"/>
        </w:rPr>
        <w:t xml:space="preserve"> means that any of the following apply to the industrial chemical:</w:t>
      </w:r>
    </w:p>
    <w:p w14:paraId="18098467" w14:textId="77777777" w:rsidR="006336A4" w:rsidRDefault="006336A4" w:rsidP="000D0955">
      <w:pPr>
        <w:pStyle w:val="ListParagraph"/>
        <w:numPr>
          <w:ilvl w:val="0"/>
          <w:numId w:val="71"/>
        </w:numPr>
      </w:pPr>
      <w:r w:rsidRPr="00045961">
        <w:t>the chemical is known to induce or may induce mutations in the germ cells of humans, as described in chapter 3.5 of the GHS, with the chemical classified as</w:t>
      </w:r>
      <w:r>
        <w:t xml:space="preserve"> </w:t>
      </w:r>
      <w:r w:rsidR="0000556D">
        <w:t xml:space="preserve">germ cell </w:t>
      </w:r>
      <w:r w:rsidRPr="00045961">
        <w:t>mutagenicity (category 1 or 2)</w:t>
      </w:r>
      <w:r>
        <w:t>, or</w:t>
      </w:r>
      <w:r w:rsidRPr="00045961">
        <w:t xml:space="preserve"> </w:t>
      </w:r>
    </w:p>
    <w:p w14:paraId="40292A4D" w14:textId="77777777" w:rsidR="006336A4" w:rsidRDefault="006336A4" w:rsidP="000D0955">
      <w:pPr>
        <w:pStyle w:val="ListParagraph"/>
        <w:numPr>
          <w:ilvl w:val="0"/>
          <w:numId w:val="71"/>
        </w:numPr>
      </w:pPr>
      <w:r>
        <w:t>t</w:t>
      </w:r>
      <w:r w:rsidRPr="00045961">
        <w:t xml:space="preserve">he chemical (or the chemical of which it is an ester or salt) is on the </w:t>
      </w:r>
      <w:r w:rsidR="00E26FC6" w:rsidRPr="009266B6">
        <w:rPr>
          <w:b/>
        </w:rPr>
        <w:t>list of chemicals with high hazards for categorisation</w:t>
      </w:r>
      <w:r w:rsidR="00E26FC6">
        <w:t>,</w:t>
      </w:r>
      <w:r w:rsidR="009D7842">
        <w:t xml:space="preserve"> </w:t>
      </w:r>
      <w:r w:rsidRPr="00045961">
        <w:t xml:space="preserve">based on its </w:t>
      </w:r>
      <w:r>
        <w:t>genetic toxicity, or</w:t>
      </w:r>
    </w:p>
    <w:p w14:paraId="06489F5F" w14:textId="77777777" w:rsidR="006336A4" w:rsidRPr="007C62AA" w:rsidRDefault="006336A4" w:rsidP="000D0955">
      <w:pPr>
        <w:pStyle w:val="ListParagraph"/>
        <w:numPr>
          <w:ilvl w:val="0"/>
          <w:numId w:val="71"/>
        </w:numPr>
      </w:pPr>
      <w:r w:rsidRPr="007C62AA">
        <w:lastRenderedPageBreak/>
        <w:t>an in vitro study on the chemical:</w:t>
      </w:r>
    </w:p>
    <w:p w14:paraId="2B16B95C" w14:textId="77777777" w:rsidR="006336A4" w:rsidRPr="007C62AA" w:rsidRDefault="006336A4" w:rsidP="000D0955">
      <w:pPr>
        <w:pStyle w:val="ListParagraph"/>
        <w:numPr>
          <w:ilvl w:val="1"/>
          <w:numId w:val="71"/>
        </w:numPr>
      </w:pPr>
      <w:r w:rsidRPr="007C62AA">
        <w:t xml:space="preserve">conducted following </w:t>
      </w:r>
      <w:r w:rsidR="00F00CF3">
        <w:t>an acceptable test guideline for gene</w:t>
      </w:r>
      <w:r w:rsidR="008D3906">
        <w:t xml:space="preserve"> mutation or chromosomal abnormalities</w:t>
      </w:r>
      <w:r w:rsidRPr="007C62AA">
        <w:t xml:space="preserve"> results in the prediction of mutagenic or genotoxic effects</w:t>
      </w:r>
      <w:r w:rsidR="0000556D">
        <w:t>, as described in chapter 3.5 of the GHS</w:t>
      </w:r>
      <w:r w:rsidRPr="007C62AA">
        <w:t>, and</w:t>
      </w:r>
    </w:p>
    <w:p w14:paraId="21D1BA97" w14:textId="77777777" w:rsidR="006336A4" w:rsidRDefault="006336A4" w:rsidP="000D0955">
      <w:pPr>
        <w:pStyle w:val="ListParagraph"/>
        <w:numPr>
          <w:ilvl w:val="1"/>
          <w:numId w:val="71"/>
        </w:numPr>
      </w:pPr>
      <w:r w:rsidRPr="007C62AA">
        <w:t xml:space="preserve">the results of the study have not been negated </w:t>
      </w:r>
      <w:r w:rsidR="00876871">
        <w:t xml:space="preserve">by </w:t>
      </w:r>
      <w:r w:rsidR="00F00CF3">
        <w:t xml:space="preserve">in vivo </w:t>
      </w:r>
      <w:r w:rsidRPr="007C62AA">
        <w:t xml:space="preserve">studies conducted on the chemical for </w:t>
      </w:r>
      <w:r>
        <w:t>gene</w:t>
      </w:r>
      <w:r w:rsidR="00101648">
        <w:t xml:space="preserve"> </w:t>
      </w:r>
      <w:r w:rsidR="00DE0ABC">
        <w:t>mutation, chromosomal abnormalities or heritable germ cell mutagenicity</w:t>
      </w:r>
      <w:r w:rsidR="00172EBB">
        <w:t>, or</w:t>
      </w:r>
    </w:p>
    <w:p w14:paraId="05F0073B" w14:textId="77777777" w:rsidR="006A2253" w:rsidRPr="007C62AA" w:rsidRDefault="006A2253" w:rsidP="000D0955">
      <w:pPr>
        <w:pStyle w:val="ListParagraph"/>
        <w:numPr>
          <w:ilvl w:val="0"/>
          <w:numId w:val="71"/>
        </w:numPr>
      </w:pPr>
      <w:r w:rsidRPr="007C62AA">
        <w:t>an in vivo study on the chemical</w:t>
      </w:r>
      <w:r>
        <w:t xml:space="preserve"> </w:t>
      </w:r>
      <w:r w:rsidRPr="007C62AA">
        <w:t xml:space="preserve">conducted following </w:t>
      </w:r>
      <w:r w:rsidR="00F00CF3">
        <w:t xml:space="preserve">an acceptable test guideline for </w:t>
      </w:r>
      <w:r w:rsidR="000D269F">
        <w:t xml:space="preserve">gene mutation, chromosomal abnormalities or heritable germ cell mutagenicity </w:t>
      </w:r>
      <w:r w:rsidRPr="007C62AA">
        <w:t xml:space="preserve">results in </w:t>
      </w:r>
      <w:r>
        <w:t>mutagenic or genotoxic</w:t>
      </w:r>
      <w:r w:rsidRPr="007C62AA">
        <w:t xml:space="preserve"> effects</w:t>
      </w:r>
      <w:r w:rsidR="0000556D">
        <w:t>, as described by chapter 3.5 of the GHS</w:t>
      </w:r>
      <w:r>
        <w:t>.</w:t>
      </w:r>
    </w:p>
    <w:p w14:paraId="645203C6" w14:textId="77777777" w:rsidR="005E4CE7" w:rsidRPr="00332C64" w:rsidRDefault="00CE70C3" w:rsidP="008872F9">
      <w:pPr>
        <w:pStyle w:val="Heading3"/>
        <w:ind w:left="709"/>
      </w:pPr>
      <w:r>
        <w:t xml:space="preserve">Section </w:t>
      </w:r>
      <w:r w:rsidR="005E4CE7" w:rsidRPr="00332C64">
        <w:t>3</w:t>
      </w:r>
      <w:r>
        <w:t>0</w:t>
      </w:r>
      <w:r w:rsidR="005E4CE7" w:rsidRPr="00332C64">
        <w:t xml:space="preserve"> of the </w:t>
      </w:r>
      <w:r w:rsidR="009547E9">
        <w:t>IC General Rules</w:t>
      </w:r>
      <w:r w:rsidR="005E4CE7" w:rsidRPr="00332C64">
        <w:t xml:space="preserve"> - Information required to demonstrate the absence of hazard characteristics  </w:t>
      </w:r>
    </w:p>
    <w:p w14:paraId="3967BC9D" w14:textId="77777777" w:rsidR="003A5C9F" w:rsidRDefault="005E4CE7" w:rsidP="008872F9">
      <w:r w:rsidRPr="00332C64">
        <w:t xml:space="preserve">For the purposes of </w:t>
      </w:r>
      <w:r w:rsidR="00CB5C4A">
        <w:t xml:space="preserve">paragraph </w:t>
      </w:r>
      <w:r w:rsidR="00CE70C3">
        <w:t xml:space="preserve">30(2)(b) and </w:t>
      </w:r>
      <w:r w:rsidR="00CB5C4A">
        <w:t xml:space="preserve">subparagraph </w:t>
      </w:r>
      <w:r w:rsidR="00CE70C3">
        <w:t>30(2)(c)(iv) of the IC General Rules</w:t>
      </w:r>
      <w:r w:rsidR="00A06872">
        <w:t>,</w:t>
      </w:r>
      <w:r w:rsidR="00CE70C3" w:rsidRPr="00332C64">
        <w:t xml:space="preserve"> </w:t>
      </w:r>
      <w:r w:rsidR="00AA14B0" w:rsidRPr="00332C64">
        <w:t>the information required to demonstrate that a chemical does not have the hazard characteristic</w:t>
      </w:r>
      <w:r w:rsidR="00AA14B0">
        <w:t>,</w:t>
      </w:r>
      <w:r w:rsidR="00AA14B0" w:rsidRPr="00332C64">
        <w:t xml:space="preserve"> </w:t>
      </w:r>
      <w:r w:rsidR="00AA14B0" w:rsidRPr="00FF6857">
        <w:rPr>
          <w:b/>
        </w:rPr>
        <w:t>genetic toxicity</w:t>
      </w:r>
      <w:r w:rsidR="00063B12">
        <w:t>,</w:t>
      </w:r>
      <w:r w:rsidR="00AA14B0">
        <w:t xml:space="preserve"> is</w:t>
      </w:r>
      <w:r w:rsidR="003A5C9F">
        <w:t>:</w:t>
      </w:r>
    </w:p>
    <w:p w14:paraId="5BBBAC46" w14:textId="77777777" w:rsidR="005E4CE7" w:rsidRPr="00332C64" w:rsidRDefault="00EA79CB" w:rsidP="000D0955">
      <w:pPr>
        <w:pStyle w:val="ListParagraph"/>
        <w:numPr>
          <w:ilvl w:val="0"/>
          <w:numId w:val="72"/>
        </w:numPr>
      </w:pPr>
      <w:r>
        <w:t>i</w:t>
      </w:r>
      <w:r w:rsidR="005E4CE7" w:rsidRPr="00332C64">
        <w:t>f the human health exposure band for the introduction is 4</w:t>
      </w:r>
      <w:r w:rsidR="004105E1">
        <w:t xml:space="preserve"> </w:t>
      </w:r>
      <w:r w:rsidR="00AA14B0">
        <w:t>- a</w:t>
      </w:r>
      <w:r w:rsidR="00AA14B0" w:rsidRPr="00332C64">
        <w:t xml:space="preserve">t </w:t>
      </w:r>
      <w:r w:rsidR="005E4CE7" w:rsidRPr="00332C64">
        <w:t>least one of the following:</w:t>
      </w:r>
    </w:p>
    <w:p w14:paraId="49CCE015" w14:textId="77777777" w:rsidR="005E4CE7" w:rsidRDefault="00EA79CB" w:rsidP="000D0955">
      <w:pPr>
        <w:pStyle w:val="ListParagraph"/>
        <w:numPr>
          <w:ilvl w:val="1"/>
          <w:numId w:val="72"/>
        </w:numPr>
      </w:pPr>
      <w:r>
        <w:t>i</w:t>
      </w:r>
      <w:r w:rsidR="003A5C9F">
        <w:t xml:space="preserve">nformation to </w:t>
      </w:r>
      <w:r w:rsidR="00EF5B99">
        <w:t>demonstrate</w:t>
      </w:r>
      <w:r w:rsidR="003A5C9F">
        <w:t xml:space="preserve"> that the chemical is included on </w:t>
      </w:r>
      <w:r w:rsidR="005E4CE7" w:rsidRPr="00332C64">
        <w:t xml:space="preserve">the </w:t>
      </w:r>
      <w:r w:rsidR="003C017D">
        <w:t xml:space="preserve">Select Committee on </w:t>
      </w:r>
      <w:r w:rsidR="005E4CE7" w:rsidRPr="00332C64">
        <w:t xml:space="preserve">GRAS </w:t>
      </w:r>
      <w:r w:rsidR="003C017D">
        <w:t xml:space="preserve">Substances (SCOGS) Database </w:t>
      </w:r>
      <w:r w:rsidR="005E4CE7" w:rsidRPr="00332C64">
        <w:t xml:space="preserve">as a Type 1 conclusion, </w:t>
      </w:r>
      <w:r w:rsidR="003A5C9F">
        <w:t xml:space="preserve">and that </w:t>
      </w:r>
      <w:r w:rsidR="003C017D">
        <w:t xml:space="preserve">the human health exposure expected from the industrial use of the chemical is no higher than the human health exposure expected from food use, </w:t>
      </w:r>
      <w:r w:rsidR="005E4CE7" w:rsidRPr="00332C64">
        <w:t>or</w:t>
      </w:r>
    </w:p>
    <w:p w14:paraId="53BD599F" w14:textId="77777777" w:rsidR="003C017D" w:rsidRPr="00332C64" w:rsidRDefault="00EA79CB" w:rsidP="000D0955">
      <w:pPr>
        <w:pStyle w:val="ListParagraph"/>
        <w:numPr>
          <w:ilvl w:val="1"/>
          <w:numId w:val="72"/>
        </w:numPr>
      </w:pPr>
      <w:r>
        <w:t>i</w:t>
      </w:r>
      <w:r w:rsidR="003A5C9F">
        <w:t xml:space="preserve">nformation to </w:t>
      </w:r>
      <w:r w:rsidR="00EF5B99">
        <w:t>demonstrate</w:t>
      </w:r>
      <w:r w:rsidR="003A5C9F">
        <w:t xml:space="preserve"> that t</w:t>
      </w:r>
      <w:r w:rsidR="003C017D">
        <w:t xml:space="preserve">he chemical has been notified to the US FDA GRAS notification program and FDA had no questions about the notifier’s conclusion of GRAS status, </w:t>
      </w:r>
      <w:r w:rsidR="003A5C9F">
        <w:t>and that</w:t>
      </w:r>
      <w:r w:rsidR="003C017D">
        <w:t xml:space="preserve"> the human health exposure expected from the industrial use of the chemical is no higher than the human health exposure expected from food use,</w:t>
      </w:r>
      <w:r w:rsidR="002D11F1">
        <w:t xml:space="preserve"> </w:t>
      </w:r>
      <w:r w:rsidR="003C017D">
        <w:t>or</w:t>
      </w:r>
    </w:p>
    <w:p w14:paraId="22241A5B" w14:textId="77777777" w:rsidR="00FC1B25" w:rsidRPr="00332C64" w:rsidRDefault="00EA79CB" w:rsidP="000D0955">
      <w:pPr>
        <w:pStyle w:val="ListParagraph"/>
        <w:numPr>
          <w:ilvl w:val="1"/>
          <w:numId w:val="72"/>
        </w:numPr>
      </w:pPr>
      <w:r>
        <w:t>i</w:t>
      </w:r>
      <w:r w:rsidR="00FC1B25" w:rsidRPr="00332C64">
        <w:t>nformation</w:t>
      </w:r>
      <w:r w:rsidR="00FC1B25">
        <w:t xml:space="preserve"> that </w:t>
      </w:r>
      <w:r w:rsidR="00EF5B99">
        <w:t>demonstrates</w:t>
      </w:r>
      <w:r w:rsidR="00FC1B25">
        <w:t xml:space="preserve"> that the chemical is a substance covered by Entry 9 of Annex V of the REACH Regulation, or</w:t>
      </w:r>
    </w:p>
    <w:p w14:paraId="5E13D69F" w14:textId="77777777" w:rsidR="005E4CE7" w:rsidRPr="00332C64" w:rsidRDefault="006D0EDE" w:rsidP="000D0955">
      <w:pPr>
        <w:pStyle w:val="ListParagraph"/>
        <w:numPr>
          <w:ilvl w:val="1"/>
          <w:numId w:val="72"/>
        </w:numPr>
      </w:pPr>
      <w:r>
        <w:t>i</w:t>
      </w:r>
      <w:r w:rsidR="005E4CE7" w:rsidRPr="00332C64">
        <w:t xml:space="preserve">nformation to </w:t>
      </w:r>
      <w:r w:rsidR="00EF5B99">
        <w:t>demonstrate</w:t>
      </w:r>
      <w:r w:rsidR="005E4CE7" w:rsidRPr="00332C64">
        <w:t xml:space="preserve"> that </w:t>
      </w:r>
      <w:r w:rsidR="00FE2F5A">
        <w:t>the</w:t>
      </w:r>
      <w:r w:rsidR="005E4CE7" w:rsidRPr="00332C64">
        <w:t xml:space="preserve"> chemical is a high molecular weight polymer</w:t>
      </w:r>
      <w:r w:rsidR="009C6B32">
        <w:t>,</w:t>
      </w:r>
      <w:r w:rsidR="004105E1">
        <w:t xml:space="preserve"> and if </w:t>
      </w:r>
      <w:r w:rsidR="004105E1" w:rsidRPr="00332C64">
        <w:t xml:space="preserve">you are seeking to demonstrate that </w:t>
      </w:r>
      <w:r w:rsidR="00FE2F5A">
        <w:t>the</w:t>
      </w:r>
      <w:r w:rsidR="004105E1" w:rsidRPr="00332C64">
        <w:t xml:space="preserve"> introduction meets the criteria for very low risk (table item </w:t>
      </w:r>
      <w:r w:rsidR="00A06872">
        <w:t>14</w:t>
      </w:r>
      <w:r w:rsidR="004105E1">
        <w:t>,</w:t>
      </w:r>
      <w:r w:rsidR="00A06872">
        <w:t xml:space="preserve"> </w:t>
      </w:r>
      <w:r>
        <w:t>s</w:t>
      </w:r>
      <w:r w:rsidR="00A06872">
        <w:t>ection 28</w:t>
      </w:r>
      <w:r w:rsidR="004105E1" w:rsidRPr="00332C64">
        <w:t xml:space="preserve"> of the IC </w:t>
      </w:r>
      <w:r w:rsidR="00661C1A">
        <w:t xml:space="preserve">General </w:t>
      </w:r>
      <w:r w:rsidR="004105E1" w:rsidRPr="00332C64">
        <w:t>Rules)</w:t>
      </w:r>
      <w:r w:rsidR="009C6B32">
        <w:t xml:space="preserve"> -</w:t>
      </w:r>
      <w:r w:rsidR="004105E1">
        <w:t xml:space="preserve"> </w:t>
      </w:r>
      <w:r w:rsidR="004105E1" w:rsidRPr="00332C64">
        <w:t xml:space="preserve">test results from an in vitro study on the polymer or from suitable read across information conducted following </w:t>
      </w:r>
      <w:r w:rsidR="00FD32BA">
        <w:t>an acceptable test guideline for gene mutation</w:t>
      </w:r>
      <w:r w:rsidR="004105E1" w:rsidRPr="00332C64">
        <w:t xml:space="preserve">, which </w:t>
      </w:r>
      <w:r w:rsidR="006D0D17">
        <w:t>demonstrates</w:t>
      </w:r>
      <w:r w:rsidR="004105E1" w:rsidRPr="00332C64">
        <w:t xml:space="preserve"> the ab</w:t>
      </w:r>
      <w:r w:rsidR="004105E1">
        <w:t>sence of mutagenic effects</w:t>
      </w:r>
      <w:r w:rsidR="005E4CE7" w:rsidRPr="00332C64">
        <w:t>, or</w:t>
      </w:r>
    </w:p>
    <w:p w14:paraId="3A1D6921" w14:textId="77777777" w:rsidR="005E4CE7" w:rsidRPr="00332C64" w:rsidRDefault="00EF714E" w:rsidP="000D0955">
      <w:pPr>
        <w:pStyle w:val="ListParagraph"/>
        <w:numPr>
          <w:ilvl w:val="1"/>
          <w:numId w:val="72"/>
        </w:numPr>
      </w:pPr>
      <w:r>
        <w:t>t</w:t>
      </w:r>
      <w:r w:rsidR="005E4CE7" w:rsidRPr="00332C64">
        <w:t xml:space="preserve">est results </w:t>
      </w:r>
      <w:r>
        <w:t>that</w:t>
      </w:r>
      <w:r w:rsidRPr="00332C64">
        <w:t xml:space="preserve"> </w:t>
      </w:r>
      <w:r w:rsidR="00EF5B99">
        <w:t>demonstrate</w:t>
      </w:r>
      <w:r w:rsidR="005E4CE7" w:rsidRPr="00332C64">
        <w:t xml:space="preserve"> the absence of mutagenic or genotoxic effects from both:</w:t>
      </w:r>
    </w:p>
    <w:p w14:paraId="1556E8E3" w14:textId="77777777" w:rsidR="008872F9" w:rsidRDefault="00EF714E" w:rsidP="000D0955">
      <w:pPr>
        <w:pStyle w:val="ListParagraph"/>
        <w:numPr>
          <w:ilvl w:val="2"/>
          <w:numId w:val="72"/>
        </w:numPr>
      </w:pPr>
      <w:r>
        <w:t>a</w:t>
      </w:r>
      <w:r w:rsidR="005E4CE7" w:rsidRPr="00332C64">
        <w:t xml:space="preserve"> study on the chemical or from suitable read across information </w:t>
      </w:r>
      <w:r w:rsidR="00822982">
        <w:t xml:space="preserve">conducted following an acceptable test guideline </w:t>
      </w:r>
      <w:r w:rsidR="00FD32BA">
        <w:t>for gene mutation</w:t>
      </w:r>
      <w:r>
        <w:t>,</w:t>
      </w:r>
      <w:r w:rsidR="005E4CE7" w:rsidRPr="00332C64">
        <w:t xml:space="preserve"> and</w:t>
      </w:r>
    </w:p>
    <w:p w14:paraId="42311465" w14:textId="77777777" w:rsidR="008872F9" w:rsidRDefault="00EF714E" w:rsidP="008872F9">
      <w:pPr>
        <w:pStyle w:val="ListParagraph"/>
        <w:numPr>
          <w:ilvl w:val="2"/>
          <w:numId w:val="72"/>
        </w:numPr>
      </w:pPr>
      <w:r>
        <w:t>a</w:t>
      </w:r>
      <w:r w:rsidR="005E4CE7" w:rsidRPr="00332C64">
        <w:t xml:space="preserve"> study on the chemical or from suitable read across information </w:t>
      </w:r>
      <w:r w:rsidR="00822982">
        <w:t xml:space="preserve">conducted following an acceptable test guideline </w:t>
      </w:r>
      <w:r w:rsidR="00FD32BA">
        <w:t>for</w:t>
      </w:r>
      <w:r w:rsidR="005E4CE7" w:rsidRPr="00332C64">
        <w:t xml:space="preserve"> </w:t>
      </w:r>
      <w:r w:rsidR="00FD32BA">
        <w:t>chromosomal abnormalities</w:t>
      </w:r>
      <w:r w:rsidR="005E4CE7" w:rsidRPr="00332C64">
        <w:t xml:space="preserve">. </w:t>
      </w:r>
    </w:p>
    <w:p w14:paraId="6FE84EEA" w14:textId="77777777" w:rsidR="005E4CE7" w:rsidRPr="00332C64" w:rsidRDefault="00F7439E" w:rsidP="000D0955">
      <w:pPr>
        <w:pStyle w:val="ListParagraph"/>
        <w:numPr>
          <w:ilvl w:val="0"/>
          <w:numId w:val="72"/>
        </w:numPr>
      </w:pPr>
      <w:r>
        <w:lastRenderedPageBreak/>
        <w:t>i</w:t>
      </w:r>
      <w:r w:rsidR="005E4CE7" w:rsidRPr="00332C64">
        <w:t>f the human health exposure band for the introduction is 3</w:t>
      </w:r>
      <w:r w:rsidR="00926207">
        <w:t>,</w:t>
      </w:r>
      <w:r w:rsidR="005E4CE7" w:rsidRPr="00332C64">
        <w:t xml:space="preserve"> and you are seeking to demonstrate that </w:t>
      </w:r>
      <w:r w:rsidR="00FE2F5A">
        <w:t>the</w:t>
      </w:r>
      <w:r w:rsidR="005E4CE7" w:rsidRPr="00332C64">
        <w:t xml:space="preserve"> introduction meets the criteria for very lo</w:t>
      </w:r>
      <w:r w:rsidR="00A06872">
        <w:t xml:space="preserve">w risk (table item 14, section </w:t>
      </w:r>
      <w:r w:rsidR="005E4CE7" w:rsidRPr="00332C64">
        <w:t>2</w:t>
      </w:r>
      <w:r w:rsidR="00A06872">
        <w:t>8</w:t>
      </w:r>
      <w:r w:rsidR="005E4CE7" w:rsidRPr="00332C64">
        <w:t xml:space="preserve"> of the IC </w:t>
      </w:r>
      <w:r w:rsidR="00661C1A">
        <w:t xml:space="preserve">General </w:t>
      </w:r>
      <w:r w:rsidR="005E4CE7" w:rsidRPr="00332C64">
        <w:t xml:space="preserve">Rules) </w:t>
      </w:r>
      <w:r w:rsidR="004105E1">
        <w:t>- a</w:t>
      </w:r>
      <w:r w:rsidR="005E4CE7" w:rsidRPr="00332C64">
        <w:t>t least one of the following:</w:t>
      </w:r>
    </w:p>
    <w:p w14:paraId="3E285A3F" w14:textId="77777777" w:rsidR="002D11F1" w:rsidRDefault="00C9508D" w:rsidP="000D0955">
      <w:pPr>
        <w:pStyle w:val="ListParagraph"/>
        <w:numPr>
          <w:ilvl w:val="1"/>
          <w:numId w:val="72"/>
        </w:numPr>
      </w:pPr>
      <w:r>
        <w:t>i</w:t>
      </w:r>
      <w:r w:rsidR="002D11F1" w:rsidRPr="00332C64">
        <w:t xml:space="preserve">nclusion of the chemical in the </w:t>
      </w:r>
      <w:r w:rsidR="002D11F1">
        <w:t xml:space="preserve">Select Committee on </w:t>
      </w:r>
      <w:r w:rsidR="002D11F1" w:rsidRPr="00332C64">
        <w:t xml:space="preserve">GRAS </w:t>
      </w:r>
      <w:r w:rsidR="002D11F1">
        <w:t xml:space="preserve">Substances (SCOGS) Database </w:t>
      </w:r>
      <w:r w:rsidR="002D11F1" w:rsidRPr="00332C64">
        <w:t xml:space="preserve">as a Type 1 conclusion, </w:t>
      </w:r>
      <w:r w:rsidR="002D11F1">
        <w:t xml:space="preserve">as long as the human health exposure expected from the industrial use of the chemical is no higher than the human health exposure expected from food use, </w:t>
      </w:r>
      <w:r w:rsidR="002D11F1" w:rsidRPr="00332C64">
        <w:t>or</w:t>
      </w:r>
    </w:p>
    <w:p w14:paraId="2D1B0AD0" w14:textId="77777777" w:rsidR="002D11F1" w:rsidRDefault="00C9508D" w:rsidP="000D0955">
      <w:pPr>
        <w:pStyle w:val="ListParagraph"/>
        <w:numPr>
          <w:ilvl w:val="1"/>
          <w:numId w:val="72"/>
        </w:numPr>
      </w:pPr>
      <w:r>
        <w:t>t</w:t>
      </w:r>
      <w:r w:rsidR="002D11F1">
        <w:t>he chemical has been notified to the US FDA GRAS notification program and FDA had no questions about the notifier’s conclusion of GRAS status, as long as the human health exposure expected from the industrial use of the chemical is no higher than the human health exposure expected from food use, or</w:t>
      </w:r>
    </w:p>
    <w:p w14:paraId="017AA4EF" w14:textId="77777777" w:rsidR="0021522D" w:rsidRPr="00332C64" w:rsidRDefault="00C9508D" w:rsidP="000D0955">
      <w:pPr>
        <w:pStyle w:val="ListParagraph"/>
        <w:numPr>
          <w:ilvl w:val="1"/>
          <w:numId w:val="72"/>
        </w:numPr>
      </w:pPr>
      <w:r>
        <w:t>i</w:t>
      </w:r>
      <w:r w:rsidR="0021522D" w:rsidRPr="00332C64">
        <w:t>nformation</w:t>
      </w:r>
      <w:r w:rsidR="0021522D">
        <w:t xml:space="preserve"> that </w:t>
      </w:r>
      <w:r w:rsidR="00EF5B99">
        <w:t>demonstrates</w:t>
      </w:r>
      <w:r w:rsidR="0021522D">
        <w:t xml:space="preserve"> that the chemical is a substance covered by Entry 9 of Annex V </w:t>
      </w:r>
      <w:r w:rsidR="00212324">
        <w:t xml:space="preserve">of </w:t>
      </w:r>
      <w:r w:rsidR="003356CA">
        <w:t>the REACH</w:t>
      </w:r>
      <w:r w:rsidR="005E3028">
        <w:t xml:space="preserve"> Regulation</w:t>
      </w:r>
      <w:r w:rsidR="00330376">
        <w:t>, or</w:t>
      </w:r>
    </w:p>
    <w:p w14:paraId="5916105B" w14:textId="77777777" w:rsidR="00CB4868" w:rsidRPr="00332C64" w:rsidRDefault="00C9508D" w:rsidP="000D0955">
      <w:pPr>
        <w:pStyle w:val="ListParagraph"/>
        <w:numPr>
          <w:ilvl w:val="1"/>
          <w:numId w:val="72"/>
        </w:numPr>
      </w:pPr>
      <w:r>
        <w:t>i</w:t>
      </w:r>
      <w:r w:rsidR="00CB4868" w:rsidRPr="00332C64">
        <w:t xml:space="preserve">f the polymer is a high molecular weight polymer, test results from an in vitro study on the polymer or from suitable read across information conducted following </w:t>
      </w:r>
      <w:r w:rsidR="00FB47C8">
        <w:t>an acceptable test guideline for gene mutations</w:t>
      </w:r>
      <w:r w:rsidR="00CB4868" w:rsidRPr="00332C64">
        <w:t xml:space="preserve">, which </w:t>
      </w:r>
      <w:r w:rsidR="006D0D17">
        <w:t>demonstrates</w:t>
      </w:r>
      <w:r w:rsidR="00CB4868" w:rsidRPr="00332C64">
        <w:t xml:space="preserve"> the absence of mutagenic effects</w:t>
      </w:r>
      <w:r w:rsidR="00330376">
        <w:t>, or</w:t>
      </w:r>
    </w:p>
    <w:p w14:paraId="3E7E615B" w14:textId="77777777" w:rsidR="008872F9" w:rsidRDefault="00C9508D" w:rsidP="000D0955">
      <w:pPr>
        <w:pStyle w:val="ListParagraph"/>
        <w:numPr>
          <w:ilvl w:val="1"/>
          <w:numId w:val="72"/>
        </w:numPr>
      </w:pPr>
      <w:r>
        <w:t>i</w:t>
      </w:r>
      <w:r w:rsidR="00902032">
        <w:t>nformation</w:t>
      </w:r>
      <w:r w:rsidR="005E4CE7" w:rsidRPr="00332C64">
        <w:t xml:space="preserve"> </w:t>
      </w:r>
      <w:r w:rsidR="002A6154">
        <w:t>that</w:t>
      </w:r>
      <w:r w:rsidR="005E4CE7" w:rsidRPr="00332C64">
        <w:t xml:space="preserve"> </w:t>
      </w:r>
      <w:r w:rsidR="00EF5B99">
        <w:t>demonstrates</w:t>
      </w:r>
      <w:r w:rsidR="005E4CE7" w:rsidRPr="00332C64">
        <w:t xml:space="preserve"> the ab</w:t>
      </w:r>
      <w:r w:rsidR="008872F9">
        <w:t xml:space="preserve">sence of mutagenic or genotoxic </w:t>
      </w:r>
      <w:r w:rsidR="005E4CE7" w:rsidRPr="00332C64">
        <w:t>effects from both:</w:t>
      </w:r>
    </w:p>
    <w:p w14:paraId="1169AD63" w14:textId="77777777" w:rsidR="005E4CE7" w:rsidRPr="00332C64" w:rsidRDefault="00C9508D" w:rsidP="000D0955">
      <w:pPr>
        <w:pStyle w:val="ListParagraph"/>
        <w:numPr>
          <w:ilvl w:val="2"/>
          <w:numId w:val="72"/>
        </w:numPr>
      </w:pPr>
      <w:r>
        <w:t>i</w:t>
      </w:r>
      <w:r w:rsidR="00902032">
        <w:t>nformation</w:t>
      </w:r>
      <w:r w:rsidR="005E4CE7" w:rsidRPr="00332C64">
        <w:t xml:space="preserve"> on the chemical or from suitable read across information that addresses </w:t>
      </w:r>
      <w:r w:rsidR="00902032">
        <w:t>gene mutations</w:t>
      </w:r>
      <w:r>
        <w:t xml:space="preserve"> -</w:t>
      </w:r>
      <w:r w:rsidR="005E4CE7" w:rsidRPr="00332C64">
        <w:t xml:space="preserve"> </w:t>
      </w:r>
      <w:r>
        <w:t>t</w:t>
      </w:r>
      <w:r w:rsidR="005E4CE7" w:rsidRPr="00332C64">
        <w:t>his could be:</w:t>
      </w:r>
    </w:p>
    <w:p w14:paraId="1E2D73D4" w14:textId="77777777" w:rsidR="005E4CE7" w:rsidRPr="00332C64" w:rsidRDefault="00E133F3" w:rsidP="000D0955">
      <w:pPr>
        <w:pStyle w:val="ListParagraph"/>
        <w:numPr>
          <w:ilvl w:val="3"/>
          <w:numId w:val="72"/>
        </w:numPr>
      </w:pPr>
      <w:r>
        <w:t xml:space="preserve">a </w:t>
      </w:r>
      <w:r w:rsidR="001C60EF">
        <w:t>suitable</w:t>
      </w:r>
      <w:r w:rsidR="005E4CE7" w:rsidRPr="00332C64">
        <w:t xml:space="preserve"> in </w:t>
      </w:r>
      <w:r w:rsidR="001C60EF">
        <w:t>silico</w:t>
      </w:r>
      <w:r w:rsidR="005E3028">
        <w:t xml:space="preserve"> </w:t>
      </w:r>
      <w:r w:rsidR="005E4CE7" w:rsidRPr="00332C64">
        <w:t>prediction, both with and without metabolic activation, or</w:t>
      </w:r>
    </w:p>
    <w:p w14:paraId="50C13CB8" w14:textId="77777777" w:rsidR="005E4CE7" w:rsidRPr="00332C64" w:rsidRDefault="00E133F3" w:rsidP="000D0955">
      <w:pPr>
        <w:pStyle w:val="ListParagraph"/>
        <w:numPr>
          <w:ilvl w:val="3"/>
          <w:numId w:val="72"/>
        </w:numPr>
      </w:pPr>
      <w:r>
        <w:t>t</w:t>
      </w:r>
      <w:r w:rsidR="00902032">
        <w:t>est results from a</w:t>
      </w:r>
      <w:r w:rsidR="005E4CE7" w:rsidRPr="00332C64">
        <w:t xml:space="preserve"> study conducted following </w:t>
      </w:r>
      <w:r w:rsidR="00902032">
        <w:t>an acceptable test guideline for gene mutations</w:t>
      </w:r>
      <w:r w:rsidR="00C9508D">
        <w:t>;</w:t>
      </w:r>
      <w:r w:rsidR="005E4CE7" w:rsidRPr="00332C64">
        <w:t xml:space="preserve"> and</w:t>
      </w:r>
    </w:p>
    <w:p w14:paraId="20433B3C" w14:textId="77777777" w:rsidR="005E4CE7" w:rsidRPr="00332C64" w:rsidRDefault="004F6D07" w:rsidP="000D0955">
      <w:pPr>
        <w:pStyle w:val="ListParagraph"/>
        <w:numPr>
          <w:ilvl w:val="2"/>
          <w:numId w:val="72"/>
        </w:numPr>
      </w:pPr>
      <w:r>
        <w:t>t</w:t>
      </w:r>
      <w:r w:rsidR="00DF5277">
        <w:t>est results from a</w:t>
      </w:r>
      <w:r w:rsidR="005E4CE7" w:rsidRPr="00332C64">
        <w:t xml:space="preserve"> study on the chemical or from suitable read across information </w:t>
      </w:r>
      <w:r w:rsidR="00DF5277">
        <w:t>conducted following an acceptable test guideline for chromosomal abnormalities</w:t>
      </w:r>
      <w:r w:rsidR="005E4CE7" w:rsidRPr="00332C64">
        <w:t>.</w:t>
      </w:r>
    </w:p>
    <w:p w14:paraId="4E441ED9" w14:textId="77777777" w:rsidR="005E4CE7" w:rsidRDefault="004F6D07" w:rsidP="000D0955">
      <w:pPr>
        <w:pStyle w:val="ListParagraph"/>
        <w:numPr>
          <w:ilvl w:val="0"/>
          <w:numId w:val="72"/>
        </w:numPr>
      </w:pPr>
      <w:r>
        <w:t>o</w:t>
      </w:r>
      <w:r w:rsidR="005E4CE7" w:rsidRPr="00332C64">
        <w:t xml:space="preserve">therwise, the information required to </w:t>
      </w:r>
      <w:r w:rsidR="00EF5B99">
        <w:t>demonstrate</w:t>
      </w:r>
      <w:r w:rsidR="005E4CE7" w:rsidRPr="00332C64">
        <w:t xml:space="preserve"> that a chemical does not have the hazard characteristic, genetic toxicity, is confirmation that the chemical (or the chemical of which it is an ester or salt) is not on the </w:t>
      </w:r>
      <w:r w:rsidR="005E4CE7" w:rsidRPr="00A95D82">
        <w:rPr>
          <w:b/>
        </w:rPr>
        <w:t>list of chemicals</w:t>
      </w:r>
      <w:r w:rsidR="00063B12" w:rsidRPr="00A95D82">
        <w:rPr>
          <w:b/>
        </w:rPr>
        <w:t xml:space="preserve"> with high hazards for categorisation</w:t>
      </w:r>
      <w:r w:rsidR="005E4CE7" w:rsidRPr="00332C64">
        <w:t>, based on its genetic toxicity.</w:t>
      </w:r>
    </w:p>
    <w:p w14:paraId="26605190" w14:textId="7C5642D2" w:rsidR="004105E1" w:rsidRDefault="004F6D07" w:rsidP="000D0955">
      <w:pPr>
        <w:pStyle w:val="ListParagraph"/>
        <w:numPr>
          <w:ilvl w:val="0"/>
          <w:numId w:val="72"/>
        </w:numPr>
      </w:pPr>
      <w:r>
        <w:t>i</w:t>
      </w:r>
      <w:r w:rsidR="005E4CE7">
        <w:t xml:space="preserve">n addition, </w:t>
      </w:r>
      <w:r w:rsidR="1CA43BD2">
        <w:t xml:space="preserve">if the human health exposure band for the introduction is 4 and the chemical is a UV filter, </w:t>
      </w:r>
      <w:r w:rsidR="004105E1">
        <w:t xml:space="preserve">information is required to justify why </w:t>
      </w:r>
      <w:r w:rsidR="003A5C9F">
        <w:t xml:space="preserve">the </w:t>
      </w:r>
      <w:r w:rsidR="004105E1">
        <w:t>chemical would not cause genetic toxicity mediated by UV light</w:t>
      </w:r>
      <w:r w:rsidR="6BEBD154">
        <w:t xml:space="preserve">. </w:t>
      </w:r>
      <w:r w:rsidR="7EA11590">
        <w:t>This</w:t>
      </w:r>
      <w:r w:rsidR="004105E1">
        <w:t xml:space="preserve"> </w:t>
      </w:r>
      <w:r w:rsidR="7EA11590">
        <w:t xml:space="preserve">may include one or more of </w:t>
      </w:r>
      <w:r w:rsidR="004105E1">
        <w:t>the following:</w:t>
      </w:r>
    </w:p>
    <w:p w14:paraId="39C0991E" w14:textId="1CA11584" w:rsidR="004105E1" w:rsidRPr="000D0CEB" w:rsidRDefault="004105E1" w:rsidP="000D0955">
      <w:pPr>
        <w:pStyle w:val="ListParagraph"/>
        <w:numPr>
          <w:ilvl w:val="1"/>
          <w:numId w:val="72"/>
        </w:numPr>
      </w:pPr>
      <w:r>
        <w:t xml:space="preserve">the chemical has a molar extinction coefficient/absorption coefficient of </w:t>
      </w:r>
      <w:r w:rsidR="002528F9">
        <w:t xml:space="preserve">less </w:t>
      </w:r>
      <w:r>
        <w:t>than 1,000Lmol</w:t>
      </w:r>
      <w:r w:rsidRPr="2F7D7CB0">
        <w:rPr>
          <w:vertAlign w:val="superscript"/>
        </w:rPr>
        <w:t>-1</w:t>
      </w:r>
      <w:r>
        <w:t>cm</w:t>
      </w:r>
      <w:r w:rsidRPr="2F7D7CB0">
        <w:rPr>
          <w:vertAlign w:val="superscript"/>
        </w:rPr>
        <w:t>-1</w:t>
      </w:r>
      <w:r>
        <w:t xml:space="preserve"> at wavelengths between 290 and 700nm (based on the </w:t>
      </w:r>
      <w:r w:rsidRPr="000D0CEB">
        <w:t>results of a study following OECD test guideline 101)</w:t>
      </w:r>
      <w:r w:rsidR="00606B4B" w:rsidRPr="000D0CEB">
        <w:t>,</w:t>
      </w:r>
      <w:r w:rsidRPr="000D0CEB">
        <w:t xml:space="preserve"> </w:t>
      </w:r>
      <w:r w:rsidR="1E502820" w:rsidRPr="000D0CEB">
        <w:t>or</w:t>
      </w:r>
    </w:p>
    <w:p w14:paraId="50AAF7DA" w14:textId="433E8CBF" w:rsidR="004105E1" w:rsidRPr="000D0CEB" w:rsidRDefault="1E502820" w:rsidP="2F7D7CB0">
      <w:pPr>
        <w:pStyle w:val="ListParagraph"/>
        <w:numPr>
          <w:ilvl w:val="1"/>
          <w:numId w:val="72"/>
        </w:numPr>
        <w:rPr>
          <w:rFonts w:asciiTheme="minorHAnsi" w:hAnsiTheme="minorHAnsi"/>
        </w:rPr>
      </w:pPr>
      <w:r w:rsidRPr="000D0CEB">
        <w:t xml:space="preserve">results from </w:t>
      </w:r>
      <w:r w:rsidRPr="000D0CEB">
        <w:rPr>
          <w:rFonts w:eastAsia="Segoe UI" w:cs="Segoe UI"/>
        </w:rPr>
        <w:t>in vitro phototoxicity studies, or</w:t>
      </w:r>
      <w:r w:rsidRPr="000D0CEB">
        <w:t xml:space="preserve"> </w:t>
      </w:r>
    </w:p>
    <w:p w14:paraId="1486CC26" w14:textId="35CE5AF5" w:rsidR="00633E3F" w:rsidRDefault="1E502820" w:rsidP="000D0CEB">
      <w:pPr>
        <w:pStyle w:val="ListParagraph"/>
        <w:numPr>
          <w:ilvl w:val="1"/>
          <w:numId w:val="72"/>
        </w:numPr>
        <w:rPr>
          <w:rFonts w:eastAsia="Segoe UI" w:cs="Segoe UI"/>
        </w:rPr>
      </w:pPr>
      <w:r w:rsidRPr="000D0CEB">
        <w:rPr>
          <w:rFonts w:eastAsia="Segoe UI" w:cs="Segoe UI"/>
        </w:rPr>
        <w:t>results from in vitro or in vivo genetic toxicity studies where the methods have been modified to include photoactivatio</w:t>
      </w:r>
      <w:r w:rsidR="532440B5" w:rsidRPr="000D0CEB">
        <w:rPr>
          <w:rFonts w:eastAsia="Segoe UI" w:cs="Segoe UI"/>
        </w:rPr>
        <w:t>n.</w:t>
      </w:r>
    </w:p>
    <w:p w14:paraId="145E098D" w14:textId="0D4BF6C5" w:rsidR="000D0CEB" w:rsidRDefault="000D0CEB" w:rsidP="000D0CEB">
      <w:pPr>
        <w:pStyle w:val="ListParagraph"/>
        <w:numPr>
          <w:ilvl w:val="0"/>
          <w:numId w:val="0"/>
        </w:numPr>
        <w:ind w:left="1440"/>
        <w:rPr>
          <w:rFonts w:eastAsia="Segoe UI" w:cs="Segoe UI"/>
        </w:rPr>
      </w:pPr>
    </w:p>
    <w:p w14:paraId="3646A13C" w14:textId="77777777" w:rsidR="000D0CEB" w:rsidRPr="000D0CEB" w:rsidRDefault="000D0CEB" w:rsidP="000D0CEB">
      <w:pPr>
        <w:pStyle w:val="ListParagraph"/>
        <w:numPr>
          <w:ilvl w:val="0"/>
          <w:numId w:val="0"/>
        </w:numPr>
        <w:ind w:left="1440"/>
        <w:rPr>
          <w:rFonts w:eastAsia="Segoe UI" w:cs="Segoe UI"/>
        </w:rPr>
      </w:pPr>
    </w:p>
    <w:p w14:paraId="1252979D" w14:textId="77777777" w:rsidR="00273131" w:rsidRDefault="00E35E6B" w:rsidP="00273131">
      <w:pPr>
        <w:pStyle w:val="Heading2"/>
      </w:pPr>
      <w:bookmarkStart w:id="24" w:name="_Toc43890209"/>
      <w:r>
        <w:lastRenderedPageBreak/>
        <w:t xml:space="preserve">High molecular weight polymer that is water absorbing </w:t>
      </w:r>
      <w:r w:rsidR="00273131">
        <w:t xml:space="preserve">– </w:t>
      </w:r>
      <w:r>
        <w:t>Human health hazard band B</w:t>
      </w:r>
      <w:bookmarkEnd w:id="24"/>
    </w:p>
    <w:p w14:paraId="058F124B" w14:textId="77777777" w:rsidR="00273131" w:rsidRDefault="002511D2" w:rsidP="008872F9">
      <w:pPr>
        <w:pStyle w:val="Heading3"/>
        <w:ind w:left="709"/>
      </w:pPr>
      <w:r>
        <w:t xml:space="preserve">Clause </w:t>
      </w:r>
      <w:r w:rsidR="0021293A">
        <w:t>2 of Part 1</w:t>
      </w:r>
      <w:r w:rsidR="00273131">
        <w:t xml:space="preserve">, Schedule 1 </w:t>
      </w:r>
      <w:r w:rsidR="00606B4B">
        <w:t xml:space="preserve">to </w:t>
      </w:r>
      <w:r w:rsidR="00273131">
        <w:t xml:space="preserve">the </w:t>
      </w:r>
      <w:r w:rsidR="009547E9">
        <w:t>IC General Rules</w:t>
      </w:r>
      <w:r w:rsidR="00273131">
        <w:t xml:space="preserve"> </w:t>
      </w:r>
    </w:p>
    <w:p w14:paraId="5CBD79D2" w14:textId="77777777" w:rsidR="00273131" w:rsidRDefault="00EE3FF0" w:rsidP="008872F9">
      <w:r>
        <w:rPr>
          <w:lang w:eastAsia="en-AU"/>
        </w:rPr>
        <w:t xml:space="preserve">For the </w:t>
      </w:r>
      <w:r>
        <w:t xml:space="preserve">purposes of table item 6 of </w:t>
      </w:r>
      <w:r w:rsidR="00B22A37">
        <w:t xml:space="preserve">Clause 2, </w:t>
      </w:r>
      <w:r>
        <w:t xml:space="preserve">Part 1, Schedule 1 </w:t>
      </w:r>
      <w:r w:rsidR="00D325D1">
        <w:t xml:space="preserve">to </w:t>
      </w:r>
      <w:r w:rsidR="0062271E">
        <w:t>the IC General Rules</w:t>
      </w:r>
      <w:r>
        <w:t>:</w:t>
      </w:r>
    </w:p>
    <w:p w14:paraId="6BF75E6E" w14:textId="77777777" w:rsidR="00EE3FF0" w:rsidRDefault="00EE3FF0" w:rsidP="008872F9">
      <w:r w:rsidRPr="001451F6">
        <w:rPr>
          <w:b/>
        </w:rPr>
        <w:t>High molecular weight polymer that is water absorbing</w:t>
      </w:r>
      <w:r>
        <w:t xml:space="preserve"> means that all of the following apply to the industrial chemical:</w:t>
      </w:r>
    </w:p>
    <w:p w14:paraId="0BEE8671" w14:textId="77777777" w:rsidR="00EE3FF0" w:rsidRPr="00EE3FF0" w:rsidRDefault="002C519C" w:rsidP="003E3B1D">
      <w:pPr>
        <w:pStyle w:val="ListParagraph"/>
        <w:numPr>
          <w:ilvl w:val="0"/>
          <w:numId w:val="119"/>
        </w:numPr>
        <w:rPr>
          <w:lang w:eastAsia="en-AU"/>
        </w:rPr>
      </w:pPr>
      <w:r>
        <w:rPr>
          <w:lang w:eastAsia="en-AU"/>
        </w:rPr>
        <w:t>it</w:t>
      </w:r>
      <w:r w:rsidR="00EE3FF0" w:rsidRPr="00EE3FF0">
        <w:rPr>
          <w:lang w:eastAsia="en-AU"/>
        </w:rPr>
        <w:t xml:space="preserve"> is a </w:t>
      </w:r>
      <w:r w:rsidR="001B056A">
        <w:rPr>
          <w:lang w:eastAsia="en-AU"/>
        </w:rPr>
        <w:t xml:space="preserve">high molecular weight </w:t>
      </w:r>
      <w:r w:rsidR="00EE3FF0" w:rsidRPr="00EE3FF0">
        <w:rPr>
          <w:lang w:eastAsia="en-AU"/>
        </w:rPr>
        <w:t>polymer</w:t>
      </w:r>
      <w:r w:rsidR="00C8428B">
        <w:rPr>
          <w:lang w:eastAsia="en-AU"/>
        </w:rPr>
        <w:t>, and</w:t>
      </w:r>
    </w:p>
    <w:p w14:paraId="58A866DB" w14:textId="77777777" w:rsidR="00EE3FF0" w:rsidRPr="00EE3FF0" w:rsidRDefault="002C519C" w:rsidP="003E3B1D">
      <w:pPr>
        <w:pStyle w:val="ListParagraph"/>
        <w:numPr>
          <w:ilvl w:val="0"/>
          <w:numId w:val="119"/>
        </w:numPr>
        <w:rPr>
          <w:lang w:eastAsia="en-AU"/>
        </w:rPr>
      </w:pPr>
      <w:r>
        <w:rPr>
          <w:lang w:eastAsia="en-AU"/>
        </w:rPr>
        <w:t xml:space="preserve">it </w:t>
      </w:r>
      <w:r w:rsidR="00EE3FF0" w:rsidRPr="00EE3FF0">
        <w:rPr>
          <w:lang w:eastAsia="en-AU"/>
        </w:rPr>
        <w:t>has a number average molecular weight that is ≥10,000 g/mol, and</w:t>
      </w:r>
    </w:p>
    <w:p w14:paraId="4F7EB62D" w14:textId="77777777" w:rsidR="00EE3FF0" w:rsidRPr="00EE3FF0" w:rsidRDefault="00C8428B" w:rsidP="003E3B1D">
      <w:pPr>
        <w:pStyle w:val="ListParagraph"/>
        <w:numPr>
          <w:ilvl w:val="0"/>
          <w:numId w:val="119"/>
        </w:numPr>
        <w:rPr>
          <w:lang w:eastAsia="en-AU"/>
        </w:rPr>
      </w:pPr>
      <w:r>
        <w:rPr>
          <w:lang w:eastAsia="en-AU"/>
        </w:rPr>
        <w:t>i</w:t>
      </w:r>
      <w:r w:rsidR="002C519C">
        <w:rPr>
          <w:lang w:eastAsia="en-AU"/>
        </w:rPr>
        <w:t xml:space="preserve">t </w:t>
      </w:r>
      <w:r w:rsidR="00EE3FF0" w:rsidRPr="00EE3FF0">
        <w:rPr>
          <w:lang w:eastAsia="en-AU"/>
        </w:rPr>
        <w:t>is capable of absorbing its own weight, or more, in water, and</w:t>
      </w:r>
    </w:p>
    <w:p w14:paraId="4B1FB54A" w14:textId="77777777" w:rsidR="00EE3FF0" w:rsidRDefault="00C8428B" w:rsidP="003E3B1D">
      <w:pPr>
        <w:pStyle w:val="ListParagraph"/>
        <w:numPr>
          <w:ilvl w:val="0"/>
          <w:numId w:val="119"/>
        </w:numPr>
        <w:rPr>
          <w:lang w:eastAsia="en-AU"/>
        </w:rPr>
      </w:pPr>
      <w:r>
        <w:rPr>
          <w:lang w:eastAsia="en-AU"/>
        </w:rPr>
        <w:t>i</w:t>
      </w:r>
      <w:r w:rsidR="002C519C">
        <w:rPr>
          <w:lang w:eastAsia="en-AU"/>
        </w:rPr>
        <w:t xml:space="preserve">t </w:t>
      </w:r>
      <w:r w:rsidR="00EE3FF0" w:rsidRPr="00EE3FF0">
        <w:rPr>
          <w:lang w:eastAsia="en-AU"/>
        </w:rPr>
        <w:t>contains particles with a particle size &lt;10 micrometres (microns)</w:t>
      </w:r>
      <w:r w:rsidR="00924384">
        <w:rPr>
          <w:lang w:eastAsia="en-AU"/>
        </w:rPr>
        <w:t>.</w:t>
      </w:r>
    </w:p>
    <w:p w14:paraId="1A7AA2AA" w14:textId="77777777" w:rsidR="00EE3FF0" w:rsidRDefault="00A06872" w:rsidP="008872F9">
      <w:pPr>
        <w:pStyle w:val="Heading3"/>
        <w:ind w:left="709"/>
      </w:pPr>
      <w:r>
        <w:t xml:space="preserve">Section </w:t>
      </w:r>
      <w:r w:rsidR="00EE3FF0">
        <w:t>3</w:t>
      </w:r>
      <w:r>
        <w:t>0</w:t>
      </w:r>
      <w:r w:rsidR="00EE3FF0">
        <w:t xml:space="preserve"> of the </w:t>
      </w:r>
      <w:r w:rsidR="009547E9">
        <w:t>IC General Rules</w:t>
      </w:r>
      <w:r w:rsidR="00EE3FF0">
        <w:t xml:space="preserve"> - Information required to demonstrate the absence of hazard characteristics  </w:t>
      </w:r>
    </w:p>
    <w:p w14:paraId="6DBF11DF" w14:textId="77777777" w:rsidR="00F95154" w:rsidRDefault="00F95154" w:rsidP="008872F9">
      <w:r>
        <w:t xml:space="preserve">For the purposes of </w:t>
      </w:r>
      <w:r w:rsidR="00227AD5">
        <w:t xml:space="preserve">subparagraph </w:t>
      </w:r>
      <w:r w:rsidR="00A06872">
        <w:t>30(2)(c)(iv) of the IC General Rules</w:t>
      </w:r>
      <w:r>
        <w:t>:</w:t>
      </w:r>
    </w:p>
    <w:p w14:paraId="561D881A" w14:textId="77777777" w:rsidR="00C00000" w:rsidRDefault="00C00000" w:rsidP="008872F9">
      <w:r>
        <w:t xml:space="preserve">If the chemical is a </w:t>
      </w:r>
      <w:r w:rsidR="001B056A">
        <w:t xml:space="preserve">high molecular weight </w:t>
      </w:r>
      <w:r>
        <w:t>polymer</w:t>
      </w:r>
      <w:r w:rsidR="006D27A0">
        <w:t>,</w:t>
      </w:r>
      <w:r>
        <w:t xml:space="preserve"> the information required to </w:t>
      </w:r>
      <w:r w:rsidR="00EF5B99">
        <w:t>demonstrate</w:t>
      </w:r>
      <w:r>
        <w:t xml:space="preserve"> that </w:t>
      </w:r>
      <w:r w:rsidR="00C8428B">
        <w:t xml:space="preserve">it </w:t>
      </w:r>
      <w:r>
        <w:t>does not have the hazard characteristic</w:t>
      </w:r>
      <w:r w:rsidR="00BA363D">
        <w:t>,</w:t>
      </w:r>
      <w:r>
        <w:t xml:space="preserve"> </w:t>
      </w:r>
      <w:r w:rsidRPr="00750584">
        <w:rPr>
          <w:b/>
        </w:rPr>
        <w:t>high molecular weight polymer that is water absorbing</w:t>
      </w:r>
      <w:r w:rsidR="00BA363D">
        <w:t>,</w:t>
      </w:r>
      <w:r>
        <w:t xml:space="preserve"> is at least one of:</w:t>
      </w:r>
    </w:p>
    <w:p w14:paraId="45FB4375" w14:textId="77777777" w:rsidR="00C00000" w:rsidRDefault="00C00000" w:rsidP="003E3B1D">
      <w:pPr>
        <w:pStyle w:val="ListParagraph"/>
        <w:numPr>
          <w:ilvl w:val="0"/>
          <w:numId w:val="120"/>
        </w:numPr>
      </w:pPr>
      <w:r>
        <w:t xml:space="preserve">molecular weight information that </w:t>
      </w:r>
      <w:r w:rsidR="00EF5B99">
        <w:t>demonstrates</w:t>
      </w:r>
      <w:r>
        <w:t xml:space="preserve"> the </w:t>
      </w:r>
      <w:r w:rsidR="0009497E">
        <w:t>number average molecular weight (NAMW)</w:t>
      </w:r>
      <w:r>
        <w:t xml:space="preserve"> is &lt;10,000 g/mol</w:t>
      </w:r>
      <w:r w:rsidR="00924384">
        <w:t>, or</w:t>
      </w:r>
    </w:p>
    <w:p w14:paraId="5357BC90" w14:textId="77777777" w:rsidR="00C00000" w:rsidRDefault="00C00000" w:rsidP="003E3B1D">
      <w:pPr>
        <w:pStyle w:val="ListParagraph"/>
        <w:numPr>
          <w:ilvl w:val="0"/>
          <w:numId w:val="120"/>
        </w:numPr>
      </w:pPr>
      <w:r>
        <w:t xml:space="preserve">information that </w:t>
      </w:r>
      <w:r w:rsidR="00EF5B99">
        <w:t>demonstrates</w:t>
      </w:r>
      <w:r>
        <w:t xml:space="preserve"> that the polymer is not introduced in a particulate form</w:t>
      </w:r>
      <w:r w:rsidR="00924384">
        <w:t>, or</w:t>
      </w:r>
    </w:p>
    <w:p w14:paraId="67E9D114" w14:textId="77777777" w:rsidR="00C00000" w:rsidRDefault="00C00000" w:rsidP="003E3B1D">
      <w:pPr>
        <w:pStyle w:val="ListParagraph"/>
        <w:numPr>
          <w:ilvl w:val="0"/>
          <w:numId w:val="120"/>
        </w:numPr>
      </w:pPr>
      <w:r>
        <w:t xml:space="preserve">particle size information that </w:t>
      </w:r>
      <w:r w:rsidR="00EF5B99">
        <w:t>demonstrates</w:t>
      </w:r>
      <w:r>
        <w:t xml:space="preserve"> that the particle size is ≥ 10 micrometres (microns)</w:t>
      </w:r>
      <w:r w:rsidR="00924384">
        <w:t>, or</w:t>
      </w:r>
    </w:p>
    <w:p w14:paraId="1006D445" w14:textId="77777777" w:rsidR="00DA77FB" w:rsidRDefault="00C00000" w:rsidP="003E3B1D">
      <w:pPr>
        <w:pStyle w:val="ListParagraph"/>
        <w:numPr>
          <w:ilvl w:val="0"/>
          <w:numId w:val="120"/>
        </w:numPr>
      </w:pPr>
      <w:r>
        <w:t xml:space="preserve">information that </w:t>
      </w:r>
      <w:r w:rsidR="00EF5B99">
        <w:t>demonstrates</w:t>
      </w:r>
      <w:r>
        <w:t xml:space="preserve"> that the polymer does not absorb its own weight or more in water, such as experiments that show that it does not form a gel in water, or that if it does</w:t>
      </w:r>
      <w:r w:rsidR="00C8428B">
        <w:t>,</w:t>
      </w:r>
      <w:r>
        <w:t xml:space="preserve"> the gel dissolves upon addition of more water.</w:t>
      </w:r>
    </w:p>
    <w:p w14:paraId="710A1309" w14:textId="77777777" w:rsidR="00633E3F" w:rsidRPr="00EE3FF0" w:rsidRDefault="00633E3F" w:rsidP="00633E3F">
      <w:pPr>
        <w:pStyle w:val="ListParagraph"/>
        <w:numPr>
          <w:ilvl w:val="0"/>
          <w:numId w:val="0"/>
        </w:numPr>
        <w:ind w:left="720"/>
      </w:pPr>
    </w:p>
    <w:p w14:paraId="2A893469" w14:textId="77777777" w:rsidR="0055196E" w:rsidRDefault="0055196E" w:rsidP="0055196E">
      <w:pPr>
        <w:pStyle w:val="Heading2"/>
      </w:pPr>
      <w:bookmarkStart w:id="25" w:name="_Toc43890210"/>
      <w:r>
        <w:t>Respiratory sensitisation – Human health hazard band B</w:t>
      </w:r>
      <w:bookmarkEnd w:id="25"/>
    </w:p>
    <w:p w14:paraId="6CAC6899" w14:textId="77777777" w:rsidR="0055196E" w:rsidRDefault="002511D2" w:rsidP="008872F9">
      <w:pPr>
        <w:pStyle w:val="Heading3"/>
        <w:ind w:left="709"/>
      </w:pPr>
      <w:r>
        <w:t xml:space="preserve">Clause </w:t>
      </w:r>
      <w:r w:rsidR="0055196E">
        <w:t xml:space="preserve">2 of Part 1, Schedule 1 </w:t>
      </w:r>
      <w:r w:rsidR="001451F6">
        <w:t xml:space="preserve">to </w:t>
      </w:r>
      <w:r w:rsidR="0055196E">
        <w:t xml:space="preserve">the </w:t>
      </w:r>
      <w:r w:rsidR="009547E9">
        <w:t>IC General Rules</w:t>
      </w:r>
      <w:r w:rsidR="0055196E">
        <w:t xml:space="preserve"> </w:t>
      </w:r>
    </w:p>
    <w:p w14:paraId="2D35A839" w14:textId="77777777" w:rsidR="0055196E" w:rsidRDefault="0055196E" w:rsidP="008872F9">
      <w:r>
        <w:rPr>
          <w:lang w:eastAsia="en-AU"/>
        </w:rPr>
        <w:t xml:space="preserve">For the </w:t>
      </w:r>
      <w:r w:rsidR="00A06872">
        <w:t>purposes of table item 7</w:t>
      </w:r>
      <w:r>
        <w:t xml:space="preserve"> of </w:t>
      </w:r>
      <w:r w:rsidR="001451F6">
        <w:t xml:space="preserve">Clause 2, </w:t>
      </w:r>
      <w:r>
        <w:t xml:space="preserve">Part 1, Schedule 1 </w:t>
      </w:r>
      <w:r w:rsidR="001451F6">
        <w:t xml:space="preserve">to </w:t>
      </w:r>
      <w:r w:rsidR="0062271E">
        <w:t>the IC General Rules</w:t>
      </w:r>
      <w:r>
        <w:t>:</w:t>
      </w:r>
    </w:p>
    <w:p w14:paraId="7E83693F" w14:textId="77777777" w:rsidR="00CD04DB" w:rsidRPr="00CD04DB" w:rsidRDefault="00CD04DB" w:rsidP="008872F9">
      <w:pPr>
        <w:rPr>
          <w:lang w:eastAsia="en-AU"/>
        </w:rPr>
      </w:pPr>
      <w:r w:rsidRPr="001451F6">
        <w:rPr>
          <w:b/>
          <w:lang w:eastAsia="en-AU"/>
        </w:rPr>
        <w:t>Respiratory sensitisation</w:t>
      </w:r>
      <w:r>
        <w:rPr>
          <w:lang w:eastAsia="en-AU"/>
        </w:rPr>
        <w:t xml:space="preserve"> means that any</w:t>
      </w:r>
      <w:r w:rsidRPr="00CD04DB">
        <w:rPr>
          <w:lang w:eastAsia="en-AU"/>
        </w:rPr>
        <w:t xml:space="preserve"> of the following apply</w:t>
      </w:r>
      <w:r>
        <w:rPr>
          <w:lang w:eastAsia="en-AU"/>
        </w:rPr>
        <w:t xml:space="preserve"> to the industrial chemical</w:t>
      </w:r>
      <w:r w:rsidRPr="00CD04DB">
        <w:rPr>
          <w:lang w:eastAsia="en-AU"/>
        </w:rPr>
        <w:t>:</w:t>
      </w:r>
    </w:p>
    <w:p w14:paraId="12698E3A" w14:textId="77777777" w:rsidR="00CD04DB" w:rsidRDefault="00CD04DB" w:rsidP="003E3B1D">
      <w:pPr>
        <w:pStyle w:val="ListParagraph"/>
        <w:numPr>
          <w:ilvl w:val="0"/>
          <w:numId w:val="73"/>
        </w:numPr>
      </w:pPr>
      <w:r w:rsidRPr="00460914">
        <w:t>the chemical is known or presumed to produce hypersensitivity of the airways in humans, as described in chapter 3.4 of the GHS, with the chemical classified as respiratory sensitisation (category 1), or</w:t>
      </w:r>
    </w:p>
    <w:p w14:paraId="7681EFC1" w14:textId="77777777" w:rsidR="00CD04DB" w:rsidRPr="00460914" w:rsidRDefault="00CD04DB" w:rsidP="003E3B1D">
      <w:pPr>
        <w:pStyle w:val="ListParagraph"/>
        <w:numPr>
          <w:ilvl w:val="0"/>
          <w:numId w:val="73"/>
        </w:numPr>
      </w:pPr>
      <w:r w:rsidRPr="00460914">
        <w:t>the chemical is named:</w:t>
      </w:r>
    </w:p>
    <w:p w14:paraId="71D7B127" w14:textId="77777777" w:rsidR="00CD04DB" w:rsidRPr="00460914" w:rsidRDefault="00CD04DB" w:rsidP="003E3B1D">
      <w:pPr>
        <w:pStyle w:val="ListParagraph"/>
        <w:numPr>
          <w:ilvl w:val="1"/>
          <w:numId w:val="73"/>
        </w:numPr>
      </w:pPr>
      <w:r w:rsidRPr="00460914">
        <w:lastRenderedPageBreak/>
        <w:t xml:space="preserve">on the EU SVHC </w:t>
      </w:r>
      <w:r w:rsidR="00203C52">
        <w:t>Candidate list for authorisation, based on respiratory sensitising properties (</w:t>
      </w:r>
      <w:hyperlink r:id="rId29" w:history="1">
        <w:r w:rsidR="00203C52">
          <w:rPr>
            <w:rStyle w:val="Hyperlink"/>
          </w:rPr>
          <w:t>https://echa.europa.eu/candidate-list-table</w:t>
        </w:r>
      </w:hyperlink>
      <w:r w:rsidR="00203C52">
        <w:t>)</w:t>
      </w:r>
      <w:r w:rsidRPr="00460914">
        <w:t>, or</w:t>
      </w:r>
    </w:p>
    <w:p w14:paraId="7AB410B0" w14:textId="77777777" w:rsidR="00CD04DB" w:rsidRPr="00460914" w:rsidRDefault="00CD04DB" w:rsidP="003E3B1D">
      <w:pPr>
        <w:pStyle w:val="ListParagraph"/>
        <w:numPr>
          <w:ilvl w:val="1"/>
          <w:numId w:val="73"/>
        </w:numPr>
      </w:pPr>
      <w:r w:rsidRPr="00460914">
        <w:t>in the Danish EPA (Q)SAR Database as a predicted respiratory sensitiser</w:t>
      </w:r>
      <w:r w:rsidR="00665DF7">
        <w:t xml:space="preserve"> (</w:t>
      </w:r>
      <w:hyperlink r:id="rId30" w:history="1">
        <w:r w:rsidR="00665DF7">
          <w:rPr>
            <w:rStyle w:val="Hyperlink"/>
          </w:rPr>
          <w:t>http://qsar.food.dtu.dk/</w:t>
        </w:r>
      </w:hyperlink>
      <w:r w:rsidR="00665DF7">
        <w:t>)</w:t>
      </w:r>
      <w:r w:rsidRPr="00460914">
        <w:t>, or</w:t>
      </w:r>
    </w:p>
    <w:p w14:paraId="68F122F3" w14:textId="77777777" w:rsidR="008C05DC" w:rsidRDefault="00D43901" w:rsidP="003E3B1D">
      <w:pPr>
        <w:pStyle w:val="ListParagraph"/>
        <w:numPr>
          <w:ilvl w:val="0"/>
          <w:numId w:val="73"/>
        </w:numPr>
      </w:pPr>
      <w:r>
        <w:t>the chemical is an enzyme</w:t>
      </w:r>
      <w:r w:rsidR="00767F2C">
        <w:t>, or</w:t>
      </w:r>
      <w:r>
        <w:t xml:space="preserve"> </w:t>
      </w:r>
    </w:p>
    <w:p w14:paraId="05D6BD97" w14:textId="77777777" w:rsidR="00D43901" w:rsidRDefault="008C05DC" w:rsidP="003E3B1D">
      <w:pPr>
        <w:pStyle w:val="ListParagraph"/>
        <w:numPr>
          <w:ilvl w:val="0"/>
          <w:numId w:val="73"/>
        </w:numPr>
      </w:pPr>
      <w:r>
        <w:t>the chemical is a polymer that contains one or more free isocyanate groups</w:t>
      </w:r>
      <w:r w:rsidR="00767F2C">
        <w:t xml:space="preserve">, </w:t>
      </w:r>
      <w:r w:rsidR="00D43901">
        <w:t>or</w:t>
      </w:r>
    </w:p>
    <w:p w14:paraId="1A340042" w14:textId="77777777" w:rsidR="00CD04DB" w:rsidRPr="00460914" w:rsidRDefault="00CD04DB" w:rsidP="003E3B1D">
      <w:pPr>
        <w:pStyle w:val="ListParagraph"/>
        <w:numPr>
          <w:ilvl w:val="0"/>
          <w:numId w:val="73"/>
        </w:numPr>
      </w:pPr>
      <w:r>
        <w:t xml:space="preserve">an in vivo study on the chemical </w:t>
      </w:r>
      <w:r w:rsidRPr="00460914">
        <w:t>indicates hypersensitivity of the airways, as discussed in chapter 3.4 of the GHS, or</w:t>
      </w:r>
    </w:p>
    <w:p w14:paraId="57FA9282" w14:textId="77777777" w:rsidR="006A2253" w:rsidRDefault="00CD04DB" w:rsidP="003E3B1D">
      <w:pPr>
        <w:pStyle w:val="ListParagraph"/>
        <w:numPr>
          <w:ilvl w:val="0"/>
          <w:numId w:val="73"/>
        </w:numPr>
      </w:pPr>
      <w:r>
        <w:t>an in vitro study on the chemical</w:t>
      </w:r>
      <w:r w:rsidR="006A2253">
        <w:t>:</w:t>
      </w:r>
    </w:p>
    <w:p w14:paraId="42D35759" w14:textId="77777777" w:rsidR="006A2253" w:rsidRDefault="00CD04DB" w:rsidP="003E3B1D">
      <w:pPr>
        <w:pStyle w:val="ListParagraph"/>
        <w:numPr>
          <w:ilvl w:val="1"/>
          <w:numId w:val="73"/>
        </w:numPr>
      </w:pPr>
      <w:r w:rsidRPr="00460914">
        <w:t xml:space="preserve">indicates hypersensitivity of the airways, as discussed in chapter 3.4 of the GHS, </w:t>
      </w:r>
      <w:r w:rsidR="00CD7BF3">
        <w:t xml:space="preserve">and </w:t>
      </w:r>
    </w:p>
    <w:p w14:paraId="40CACE2B" w14:textId="77777777" w:rsidR="00CD04DB" w:rsidRPr="00460914" w:rsidRDefault="00CD7BF3" w:rsidP="003E3B1D">
      <w:pPr>
        <w:pStyle w:val="ListParagraph"/>
        <w:numPr>
          <w:ilvl w:val="1"/>
          <w:numId w:val="73"/>
        </w:numPr>
      </w:pPr>
      <w:r>
        <w:t xml:space="preserve">the result of the </w:t>
      </w:r>
      <w:r w:rsidR="00CD04DB">
        <w:t>study</w:t>
      </w:r>
      <w:r w:rsidR="007372C0">
        <w:t xml:space="preserve"> </w:t>
      </w:r>
      <w:r w:rsidRPr="00460914">
        <w:t>ha</w:t>
      </w:r>
      <w:r w:rsidR="00912976">
        <w:t>s</w:t>
      </w:r>
      <w:r w:rsidRPr="00460914">
        <w:t xml:space="preserve"> not been negated </w:t>
      </w:r>
      <w:r w:rsidR="00876871">
        <w:t xml:space="preserve">by </w:t>
      </w:r>
      <w:r w:rsidR="00912976">
        <w:t xml:space="preserve">in vivo </w:t>
      </w:r>
      <w:r w:rsidRPr="00460914">
        <w:t xml:space="preserve">studies conducted on the chemical for </w:t>
      </w:r>
      <w:r w:rsidR="003A23A1">
        <w:t>hypersensitivity of the airways</w:t>
      </w:r>
      <w:r>
        <w:t>.</w:t>
      </w:r>
    </w:p>
    <w:p w14:paraId="3F54237C" w14:textId="77777777" w:rsidR="007372C0" w:rsidRDefault="00A06872" w:rsidP="008872F9">
      <w:pPr>
        <w:pStyle w:val="Heading3"/>
        <w:ind w:left="709"/>
      </w:pPr>
      <w:r>
        <w:t>Section 30</w:t>
      </w:r>
      <w:r w:rsidR="007372C0">
        <w:t xml:space="preserve"> of the </w:t>
      </w:r>
      <w:r w:rsidR="009547E9">
        <w:t>IC General Rules</w:t>
      </w:r>
      <w:r w:rsidR="007372C0">
        <w:t xml:space="preserve"> - Information required to demonstrate the absence of hazard characteristics  </w:t>
      </w:r>
    </w:p>
    <w:p w14:paraId="19E21A0D" w14:textId="77777777" w:rsidR="00CD04DB" w:rsidRDefault="00CD04DB" w:rsidP="00665DF7">
      <w:pPr>
        <w:rPr>
          <w:lang w:eastAsia="en-AU"/>
        </w:rPr>
      </w:pPr>
      <w:r w:rsidRPr="00CD04DB">
        <w:rPr>
          <w:lang w:eastAsia="en-AU"/>
        </w:rPr>
        <w:t xml:space="preserve">For the purposes of </w:t>
      </w:r>
      <w:r w:rsidR="00F17327">
        <w:t xml:space="preserve">subparagraph </w:t>
      </w:r>
      <w:r w:rsidR="00A06872">
        <w:t>30(2)(c)(iv) of the IC General Rules</w:t>
      </w:r>
      <w:r w:rsidR="00665DF7">
        <w:t>, t</w:t>
      </w:r>
      <w:r w:rsidRPr="00CD04DB">
        <w:rPr>
          <w:lang w:eastAsia="en-AU"/>
        </w:rPr>
        <w:t>here are no information requirements to demonstrate the absence of the hazard characteristic</w:t>
      </w:r>
      <w:r w:rsidR="007372C0">
        <w:rPr>
          <w:lang w:eastAsia="en-AU"/>
        </w:rPr>
        <w:t xml:space="preserve">, </w:t>
      </w:r>
      <w:r w:rsidR="007372C0" w:rsidRPr="00276123">
        <w:rPr>
          <w:b/>
          <w:lang w:eastAsia="en-AU"/>
        </w:rPr>
        <w:t>respiratory sensitisation</w:t>
      </w:r>
      <w:r w:rsidRPr="00CD04DB">
        <w:rPr>
          <w:lang w:eastAsia="en-AU"/>
        </w:rPr>
        <w:t xml:space="preserve">. If you do not have any information that </w:t>
      </w:r>
      <w:r w:rsidR="00EF5B99">
        <w:rPr>
          <w:lang w:eastAsia="en-AU"/>
        </w:rPr>
        <w:t>demonstrates</w:t>
      </w:r>
      <w:r w:rsidRPr="00CD04DB">
        <w:rPr>
          <w:lang w:eastAsia="en-AU"/>
        </w:rPr>
        <w:t xml:space="preserve"> that the chemical has this hazard characteristic then you can assume it does not for the purposes of categorisation.</w:t>
      </w:r>
    </w:p>
    <w:p w14:paraId="120E1B93" w14:textId="77777777" w:rsidR="00633E3F" w:rsidRPr="00CD04DB" w:rsidRDefault="00633E3F" w:rsidP="00665DF7">
      <w:pPr>
        <w:rPr>
          <w:lang w:eastAsia="en-AU"/>
        </w:rPr>
      </w:pPr>
    </w:p>
    <w:p w14:paraId="42448861" w14:textId="77777777" w:rsidR="00980FA0" w:rsidRDefault="00980FA0" w:rsidP="00980FA0">
      <w:pPr>
        <w:pStyle w:val="Heading2"/>
      </w:pPr>
      <w:bookmarkStart w:id="26" w:name="_Toc43890211"/>
      <w:r>
        <w:t>Corrosive to the respiratory tract – Human health hazard band B</w:t>
      </w:r>
      <w:bookmarkEnd w:id="26"/>
    </w:p>
    <w:p w14:paraId="5A30D0FF" w14:textId="77777777" w:rsidR="00980FA0" w:rsidRDefault="002511D2" w:rsidP="00332482">
      <w:pPr>
        <w:pStyle w:val="Heading3"/>
        <w:ind w:left="709"/>
      </w:pPr>
      <w:r>
        <w:t xml:space="preserve">Clause </w:t>
      </w:r>
      <w:r w:rsidR="00980FA0">
        <w:t xml:space="preserve">2 of Part 1, Schedule 1 </w:t>
      </w:r>
      <w:r w:rsidR="00660CE2">
        <w:t xml:space="preserve">to </w:t>
      </w:r>
      <w:r w:rsidR="00980FA0">
        <w:t xml:space="preserve">the </w:t>
      </w:r>
      <w:r w:rsidR="009547E9">
        <w:t>IC General Rules</w:t>
      </w:r>
      <w:r w:rsidR="00980FA0">
        <w:t xml:space="preserve"> </w:t>
      </w:r>
    </w:p>
    <w:p w14:paraId="1DCEA5B9" w14:textId="77777777" w:rsidR="00980FA0" w:rsidRDefault="00980FA0" w:rsidP="00332482">
      <w:r>
        <w:rPr>
          <w:lang w:eastAsia="en-AU"/>
        </w:rPr>
        <w:t xml:space="preserve">For the </w:t>
      </w:r>
      <w:r w:rsidR="006D5C7A">
        <w:t>purposes of table item 8</w:t>
      </w:r>
      <w:r>
        <w:t xml:space="preserve"> of </w:t>
      </w:r>
      <w:r w:rsidR="00303C8A">
        <w:t xml:space="preserve">Clause 2, </w:t>
      </w:r>
      <w:r>
        <w:t xml:space="preserve">Part 1, Schedule 1 </w:t>
      </w:r>
      <w:r w:rsidR="00303C8A">
        <w:t xml:space="preserve">to </w:t>
      </w:r>
      <w:r w:rsidR="0062271E">
        <w:t>the IC General Rules</w:t>
      </w:r>
      <w:r>
        <w:t>:</w:t>
      </w:r>
    </w:p>
    <w:p w14:paraId="1BB870F1" w14:textId="77777777" w:rsidR="00DA77FB" w:rsidRDefault="00980FA0" w:rsidP="00332482">
      <w:pPr>
        <w:rPr>
          <w:lang w:eastAsia="en-AU"/>
        </w:rPr>
      </w:pPr>
      <w:r w:rsidRPr="0043276D">
        <w:rPr>
          <w:b/>
          <w:lang w:eastAsia="en-AU"/>
        </w:rPr>
        <w:t>Corrosive to the respiratory tract</w:t>
      </w:r>
      <w:r>
        <w:rPr>
          <w:lang w:eastAsia="en-AU"/>
        </w:rPr>
        <w:t xml:space="preserve"> means that any of the following apply to the industrial chemical:</w:t>
      </w:r>
    </w:p>
    <w:p w14:paraId="0DD19303" w14:textId="77777777" w:rsidR="00980FA0" w:rsidRPr="00460914" w:rsidRDefault="00980FA0" w:rsidP="003E3B1D">
      <w:pPr>
        <w:pStyle w:val="ListParagraph"/>
        <w:numPr>
          <w:ilvl w:val="0"/>
          <w:numId w:val="74"/>
        </w:numPr>
      </w:pPr>
      <w:r w:rsidRPr="00460914">
        <w:t>the chemical is known to cause destruction of the respiratory tract tissue, as described in chapter 3.1 of the GHS, with the chemical classified as corrosive to the respiratory tract (AUH071</w:t>
      </w:r>
      <w:r w:rsidR="00DC7E57">
        <w:t xml:space="preserve"> -</w:t>
      </w:r>
      <w:r w:rsidR="00DC7E57" w:rsidRPr="00DC7E57">
        <w:t xml:space="preserve"> </w:t>
      </w:r>
      <w:r w:rsidR="00DC7E57">
        <w:t>non-GHS hazard statement</w:t>
      </w:r>
      <w:r w:rsidRPr="00460914">
        <w:t>), or</w:t>
      </w:r>
    </w:p>
    <w:p w14:paraId="3C019C2D" w14:textId="77777777" w:rsidR="00980FA0" w:rsidRDefault="00980FA0" w:rsidP="003E3B1D">
      <w:pPr>
        <w:pStyle w:val="ListParagraph"/>
        <w:numPr>
          <w:ilvl w:val="0"/>
          <w:numId w:val="74"/>
        </w:numPr>
      </w:pPr>
      <w:r w:rsidRPr="00460914">
        <w:t>an in vivo study on the chemical</w:t>
      </w:r>
      <w:r w:rsidRPr="00332482">
        <w:rPr>
          <w:b/>
          <w:bCs/>
        </w:rPr>
        <w:t xml:space="preserve"> </w:t>
      </w:r>
      <w:r w:rsidRPr="00460914">
        <w:t xml:space="preserve">conducted </w:t>
      </w:r>
      <w:r w:rsidR="00AC3F2A">
        <w:t xml:space="preserve">following </w:t>
      </w:r>
      <w:r w:rsidR="00032224">
        <w:t>an acceptable test guideline</w:t>
      </w:r>
      <w:r w:rsidRPr="00460914">
        <w:t xml:space="preserve"> </w:t>
      </w:r>
      <w:r w:rsidR="00DA0F71">
        <w:t xml:space="preserve">for acute inhalation toxicity, subacute inhalation toxicity or subchronic inhalation toxicity </w:t>
      </w:r>
      <w:r w:rsidRPr="00460914">
        <w:t>results in destruction of the respiratory tract, as described in chapter 3.1 of the GHS.</w:t>
      </w:r>
    </w:p>
    <w:p w14:paraId="24D14C22" w14:textId="77777777" w:rsidR="00980FA0" w:rsidRDefault="006D5C7A" w:rsidP="00332482">
      <w:pPr>
        <w:pStyle w:val="Heading3"/>
        <w:ind w:left="709"/>
      </w:pPr>
      <w:r>
        <w:t>Section 30</w:t>
      </w:r>
      <w:r w:rsidR="00980FA0">
        <w:t xml:space="preserve"> of the </w:t>
      </w:r>
      <w:r w:rsidR="009547E9">
        <w:t>IC General Rules</w:t>
      </w:r>
      <w:r w:rsidR="00980FA0">
        <w:t xml:space="preserve"> - Information required to demonstrate the absence of hazard characteristics  </w:t>
      </w:r>
    </w:p>
    <w:p w14:paraId="0C626967" w14:textId="77777777" w:rsidR="00980FA0" w:rsidRDefault="00980FA0" w:rsidP="00332482">
      <w:pPr>
        <w:rPr>
          <w:lang w:eastAsia="en-AU"/>
        </w:rPr>
      </w:pPr>
      <w:r w:rsidRPr="00CD04DB">
        <w:rPr>
          <w:lang w:eastAsia="en-AU"/>
        </w:rPr>
        <w:t xml:space="preserve">For the purposes of </w:t>
      </w:r>
      <w:r w:rsidR="006D5C7A">
        <w:t>sub</w:t>
      </w:r>
      <w:r w:rsidR="00AA2BB1">
        <w:t>paragraph</w:t>
      </w:r>
      <w:r w:rsidR="006D5C7A">
        <w:t xml:space="preserve"> 30(2)(c)(iv) of the IC General Rules</w:t>
      </w:r>
      <w:r w:rsidR="00F868BD">
        <w:t xml:space="preserve"> t</w:t>
      </w:r>
      <w:r w:rsidRPr="00CD04DB">
        <w:rPr>
          <w:lang w:eastAsia="en-AU"/>
        </w:rPr>
        <w:t>here are no information requirements to demonstrate the absence of the hazard characteristic</w:t>
      </w:r>
      <w:r>
        <w:rPr>
          <w:lang w:eastAsia="en-AU"/>
        </w:rPr>
        <w:t xml:space="preserve">, </w:t>
      </w:r>
      <w:r w:rsidRPr="003879B7">
        <w:rPr>
          <w:b/>
          <w:lang w:eastAsia="en-AU"/>
        </w:rPr>
        <w:t>corrosive to the respiratory tract</w:t>
      </w:r>
      <w:r w:rsidRPr="00CD04DB">
        <w:rPr>
          <w:lang w:eastAsia="en-AU"/>
        </w:rPr>
        <w:t xml:space="preserve">. If you do not have any information that </w:t>
      </w:r>
      <w:r w:rsidR="00EF5B99">
        <w:rPr>
          <w:lang w:eastAsia="en-AU"/>
        </w:rPr>
        <w:t>demonstrates</w:t>
      </w:r>
      <w:r w:rsidRPr="00CD04DB">
        <w:rPr>
          <w:lang w:eastAsia="en-AU"/>
        </w:rPr>
        <w:t xml:space="preserve"> that the </w:t>
      </w:r>
      <w:r w:rsidRPr="00CD04DB">
        <w:rPr>
          <w:lang w:eastAsia="en-AU"/>
        </w:rPr>
        <w:lastRenderedPageBreak/>
        <w:t>chemical has this hazard characteristic</w:t>
      </w:r>
      <w:r w:rsidR="00072241">
        <w:rPr>
          <w:lang w:eastAsia="en-AU"/>
        </w:rPr>
        <w:t>,</w:t>
      </w:r>
      <w:r w:rsidRPr="00CD04DB">
        <w:rPr>
          <w:lang w:eastAsia="en-AU"/>
        </w:rPr>
        <w:t xml:space="preserve"> then you can assume it does not for the purposes of categorisation.</w:t>
      </w:r>
    </w:p>
    <w:p w14:paraId="36725EF9" w14:textId="77777777" w:rsidR="00633E3F" w:rsidRPr="00CD04DB" w:rsidRDefault="00633E3F" w:rsidP="00332482">
      <w:pPr>
        <w:rPr>
          <w:lang w:eastAsia="en-AU"/>
        </w:rPr>
      </w:pPr>
    </w:p>
    <w:p w14:paraId="5CB24608" w14:textId="77777777" w:rsidR="00980FA0" w:rsidRDefault="00980FA0" w:rsidP="00980FA0">
      <w:pPr>
        <w:pStyle w:val="Heading2"/>
      </w:pPr>
      <w:bookmarkStart w:id="27" w:name="_Toc43890212"/>
      <w:r>
        <w:t>Specific target organ toxicity after a single exposure (significant toxicity) – Human health hazard band B</w:t>
      </w:r>
      <w:bookmarkEnd w:id="27"/>
    </w:p>
    <w:p w14:paraId="3E357700" w14:textId="77777777" w:rsidR="00980FA0" w:rsidRDefault="002511D2" w:rsidP="00332482">
      <w:pPr>
        <w:pStyle w:val="Heading3"/>
        <w:ind w:left="709"/>
      </w:pPr>
      <w:r>
        <w:t xml:space="preserve">Clause </w:t>
      </w:r>
      <w:r w:rsidR="00980FA0">
        <w:t xml:space="preserve">2 of Part 1, Schedule 1 </w:t>
      </w:r>
      <w:r w:rsidR="007656BD">
        <w:t xml:space="preserve">to </w:t>
      </w:r>
      <w:r w:rsidR="00980FA0">
        <w:t xml:space="preserve">the </w:t>
      </w:r>
      <w:r w:rsidR="009547E9">
        <w:t>IC General Rules</w:t>
      </w:r>
      <w:r w:rsidR="00980FA0">
        <w:t xml:space="preserve"> </w:t>
      </w:r>
    </w:p>
    <w:p w14:paraId="24230987" w14:textId="77777777" w:rsidR="00980FA0" w:rsidRDefault="00980FA0" w:rsidP="00332482">
      <w:r>
        <w:rPr>
          <w:lang w:eastAsia="en-AU"/>
        </w:rPr>
        <w:t xml:space="preserve">For the </w:t>
      </w:r>
      <w:r w:rsidR="00677035">
        <w:t>purposes of table item 9</w:t>
      </w:r>
      <w:r>
        <w:t xml:space="preserve"> of </w:t>
      </w:r>
      <w:r w:rsidR="007656BD">
        <w:t xml:space="preserve">Clause 2, </w:t>
      </w:r>
      <w:r>
        <w:t xml:space="preserve">Part 1, Schedule 1 of </w:t>
      </w:r>
      <w:r w:rsidR="0062271E">
        <w:t>the IC General Rules</w:t>
      </w:r>
      <w:r>
        <w:t>:</w:t>
      </w:r>
    </w:p>
    <w:p w14:paraId="6F31414E" w14:textId="77777777" w:rsidR="00980FA0" w:rsidRDefault="00980FA0" w:rsidP="00332482">
      <w:pPr>
        <w:rPr>
          <w:lang w:eastAsia="en-AU"/>
        </w:rPr>
      </w:pPr>
      <w:r w:rsidRPr="00DD69C8">
        <w:rPr>
          <w:b/>
          <w:lang w:eastAsia="en-AU"/>
        </w:rPr>
        <w:t>Specific target organ toxicity</w:t>
      </w:r>
      <w:r>
        <w:rPr>
          <w:lang w:eastAsia="en-AU"/>
        </w:rPr>
        <w:t xml:space="preserve"> </w:t>
      </w:r>
      <w:r w:rsidRPr="00DD69C8">
        <w:rPr>
          <w:b/>
          <w:lang w:eastAsia="en-AU"/>
        </w:rPr>
        <w:t>after a single exposure (significant toxicity)</w:t>
      </w:r>
      <w:r>
        <w:rPr>
          <w:lang w:eastAsia="en-AU"/>
        </w:rPr>
        <w:t xml:space="preserve"> means that any of the following apply to the industrial chemical:</w:t>
      </w:r>
    </w:p>
    <w:p w14:paraId="4FA32F31" w14:textId="77777777" w:rsidR="007E724A" w:rsidRPr="00460914" w:rsidRDefault="007E724A" w:rsidP="003E3B1D">
      <w:pPr>
        <w:pStyle w:val="ListParagraph"/>
        <w:numPr>
          <w:ilvl w:val="0"/>
          <w:numId w:val="75"/>
        </w:numPr>
      </w:pPr>
      <w:r w:rsidRPr="00460914">
        <w:t>the chemical is known or presumed to produce significant toxicity in humans, as described in chapter 3.8 of the GHS, with the</w:t>
      </w:r>
      <w:r>
        <w:t xml:space="preserve"> chemical classified </w:t>
      </w:r>
      <w:r w:rsidR="00AC3F2A">
        <w:t xml:space="preserve">as </w:t>
      </w:r>
      <w:r w:rsidRPr="00460914">
        <w:t>specific target organ toxicity</w:t>
      </w:r>
      <w:r w:rsidR="004101D8">
        <w:t xml:space="preserve"> – single exposure</w:t>
      </w:r>
      <w:r w:rsidRPr="00460914">
        <w:t xml:space="preserve"> (category 1)</w:t>
      </w:r>
      <w:r w:rsidR="00767F2C">
        <w:t>,</w:t>
      </w:r>
      <w:r w:rsidRPr="00460914">
        <w:t xml:space="preserve"> or</w:t>
      </w:r>
    </w:p>
    <w:p w14:paraId="42564D55" w14:textId="77777777" w:rsidR="007E724A" w:rsidRPr="00460914" w:rsidRDefault="007E724A" w:rsidP="003E3B1D">
      <w:pPr>
        <w:pStyle w:val="ListParagraph"/>
        <w:numPr>
          <w:ilvl w:val="0"/>
          <w:numId w:val="75"/>
        </w:numPr>
      </w:pPr>
      <w:r w:rsidRPr="00460914">
        <w:t>an in vivo study on the chemical</w:t>
      </w:r>
      <w:r w:rsidRPr="00332482">
        <w:rPr>
          <w:b/>
          <w:bCs/>
        </w:rPr>
        <w:t>:</w:t>
      </w:r>
    </w:p>
    <w:p w14:paraId="03E18A41" w14:textId="77777777" w:rsidR="007E724A" w:rsidRPr="00460914" w:rsidRDefault="007E724A" w:rsidP="003E3B1D">
      <w:pPr>
        <w:pStyle w:val="ListParagraph"/>
        <w:numPr>
          <w:ilvl w:val="1"/>
          <w:numId w:val="75"/>
        </w:numPr>
      </w:pPr>
      <w:r w:rsidRPr="00460914">
        <w:t xml:space="preserve">conducted following </w:t>
      </w:r>
      <w:r w:rsidR="00B61073">
        <w:t>an acceptable test guideline</w:t>
      </w:r>
      <w:r w:rsidRPr="00460914">
        <w:t xml:space="preserve"> </w:t>
      </w:r>
      <w:r w:rsidR="00A328C4">
        <w:t xml:space="preserve">for acute oral toxicity </w:t>
      </w:r>
      <w:r w:rsidRPr="00460914">
        <w:t>results in significant toxic effects of relevance to human health, as discussed in chapter 3.8 of the GHS, at ≤300 mg/kg bw, or</w:t>
      </w:r>
    </w:p>
    <w:p w14:paraId="7E8180F4" w14:textId="77777777" w:rsidR="007E724A" w:rsidRPr="00460914" w:rsidRDefault="007E724A" w:rsidP="003E3B1D">
      <w:pPr>
        <w:pStyle w:val="ListParagraph"/>
        <w:numPr>
          <w:ilvl w:val="1"/>
          <w:numId w:val="75"/>
        </w:numPr>
      </w:pPr>
      <w:r w:rsidRPr="00460914">
        <w:t xml:space="preserve">conducted following </w:t>
      </w:r>
      <w:r w:rsidR="00A2445F">
        <w:t>an acceptable test guideline</w:t>
      </w:r>
      <w:r w:rsidRPr="00460914">
        <w:t xml:space="preserve"> </w:t>
      </w:r>
      <w:r w:rsidR="00A328C4">
        <w:t xml:space="preserve">for acute dermal toxicity </w:t>
      </w:r>
      <w:r w:rsidRPr="00460914">
        <w:t>results in significant toxic effects of relevance to human health, as discussed in chapter 3.8 of the GHS, at ≤1,000 mg/kg bw, or</w:t>
      </w:r>
    </w:p>
    <w:p w14:paraId="493D0A53" w14:textId="77777777" w:rsidR="00A2445F" w:rsidRDefault="007E724A" w:rsidP="003E3B1D">
      <w:pPr>
        <w:pStyle w:val="ListParagraph"/>
        <w:numPr>
          <w:ilvl w:val="1"/>
          <w:numId w:val="75"/>
        </w:numPr>
      </w:pPr>
      <w:r w:rsidRPr="00460914">
        <w:t xml:space="preserve">conducted following </w:t>
      </w:r>
      <w:r w:rsidR="00A2445F">
        <w:t xml:space="preserve">an acceptable test guideline </w:t>
      </w:r>
      <w:r w:rsidR="00A328C4">
        <w:t>for acute inhalation toxicity</w:t>
      </w:r>
      <w:r w:rsidR="00332482">
        <w:t xml:space="preserve"> </w:t>
      </w:r>
      <w:r w:rsidRPr="00460914">
        <w:t>results in significant toxic effects of relevance to human health, as discuss</w:t>
      </w:r>
      <w:r w:rsidR="00A95D82">
        <w:t>ed in chapter 3.8 of the GHS</w:t>
      </w:r>
      <w:r w:rsidR="00A2445F">
        <w:t>:</w:t>
      </w:r>
    </w:p>
    <w:p w14:paraId="45C1EB64" w14:textId="77777777" w:rsidR="00A2445F" w:rsidRDefault="00A2445F" w:rsidP="003E3B1D">
      <w:pPr>
        <w:pStyle w:val="ListParagraph"/>
        <w:numPr>
          <w:ilvl w:val="2"/>
          <w:numId w:val="75"/>
        </w:numPr>
      </w:pPr>
      <w:r>
        <w:t xml:space="preserve">for gases - </w:t>
      </w:r>
      <w:r w:rsidR="007E724A" w:rsidRPr="00460914">
        <w:t>≤2,500 ppmV</w:t>
      </w:r>
      <w:r w:rsidR="00A95D82">
        <w:t>/4h,</w:t>
      </w:r>
      <w:r>
        <w:t xml:space="preserve"> or</w:t>
      </w:r>
    </w:p>
    <w:p w14:paraId="3B7041FB" w14:textId="77777777" w:rsidR="00A2445F" w:rsidRDefault="00A2445F" w:rsidP="003E3B1D">
      <w:pPr>
        <w:pStyle w:val="ListParagraph"/>
        <w:numPr>
          <w:ilvl w:val="2"/>
          <w:numId w:val="75"/>
        </w:numPr>
      </w:pPr>
      <w:r w:rsidRPr="00460914">
        <w:t>for vapours</w:t>
      </w:r>
      <w:r w:rsidR="007E724A" w:rsidRPr="00460914">
        <w:t xml:space="preserve"> </w:t>
      </w:r>
      <w:r>
        <w:t xml:space="preserve">-  </w:t>
      </w:r>
      <w:r w:rsidR="007E724A" w:rsidRPr="00460914">
        <w:t>≤10 mg/L</w:t>
      </w:r>
      <w:r>
        <w:t>/</w:t>
      </w:r>
      <w:r w:rsidR="007E724A" w:rsidRPr="00460914">
        <w:t>4h</w:t>
      </w:r>
      <w:r w:rsidR="00A95D82">
        <w:t>,</w:t>
      </w:r>
      <w:r>
        <w:t xml:space="preserve"> or</w:t>
      </w:r>
    </w:p>
    <w:p w14:paraId="5CA00E2D" w14:textId="77777777" w:rsidR="007E724A" w:rsidRPr="00460914" w:rsidRDefault="00A2445F" w:rsidP="003E3B1D">
      <w:pPr>
        <w:pStyle w:val="ListParagraph"/>
        <w:numPr>
          <w:ilvl w:val="2"/>
          <w:numId w:val="75"/>
        </w:numPr>
      </w:pPr>
      <w:r w:rsidRPr="00460914">
        <w:t>for dusts/mists</w:t>
      </w:r>
      <w:r w:rsidR="0046338C">
        <w:t>/fumes</w:t>
      </w:r>
      <w:r w:rsidRPr="00460914">
        <w:t xml:space="preserve"> </w:t>
      </w:r>
      <w:r>
        <w:t xml:space="preserve">- </w:t>
      </w:r>
      <w:r w:rsidR="007E724A" w:rsidRPr="00460914">
        <w:t>≤1 mg/L</w:t>
      </w:r>
      <w:r>
        <w:t>/</w:t>
      </w:r>
      <w:r w:rsidR="007E724A" w:rsidRPr="00460914">
        <w:t>4h.</w:t>
      </w:r>
    </w:p>
    <w:p w14:paraId="034CC5F1" w14:textId="77777777" w:rsidR="00980FA0" w:rsidRDefault="00677035" w:rsidP="00332482">
      <w:pPr>
        <w:pStyle w:val="Heading3"/>
        <w:ind w:left="709"/>
      </w:pPr>
      <w:r>
        <w:t>Section 30</w:t>
      </w:r>
      <w:r w:rsidR="00980FA0">
        <w:t xml:space="preserve"> of the </w:t>
      </w:r>
      <w:r w:rsidR="009547E9">
        <w:t>IC General Rules</w:t>
      </w:r>
      <w:r w:rsidR="00980FA0">
        <w:t xml:space="preserve"> - Information required to demonstrate the absence of hazard characteristics  </w:t>
      </w:r>
    </w:p>
    <w:p w14:paraId="3352701D" w14:textId="77777777" w:rsidR="00980FA0" w:rsidRDefault="00980FA0" w:rsidP="00332482">
      <w:pPr>
        <w:rPr>
          <w:lang w:eastAsia="en-AU"/>
        </w:rPr>
      </w:pPr>
      <w:r w:rsidRPr="00CD04DB">
        <w:rPr>
          <w:lang w:eastAsia="en-AU"/>
        </w:rPr>
        <w:t xml:space="preserve">For the purposes of </w:t>
      </w:r>
      <w:r w:rsidR="00677035">
        <w:t>sub</w:t>
      </w:r>
      <w:r w:rsidR="001F785D">
        <w:t>paragraph</w:t>
      </w:r>
      <w:r w:rsidR="00677035">
        <w:t xml:space="preserve"> 30(2)(c)(iv) of the IC General Rules</w:t>
      </w:r>
      <w:r w:rsidR="00F868BD">
        <w:t xml:space="preserve"> t</w:t>
      </w:r>
      <w:r w:rsidRPr="00CD04DB">
        <w:rPr>
          <w:lang w:eastAsia="en-AU"/>
        </w:rPr>
        <w:t>here are no information requirements to demonstrate the absence of the hazard characteristic</w:t>
      </w:r>
      <w:r>
        <w:rPr>
          <w:lang w:eastAsia="en-AU"/>
        </w:rPr>
        <w:t xml:space="preserve">, </w:t>
      </w:r>
      <w:r w:rsidRPr="00A812D0">
        <w:rPr>
          <w:b/>
          <w:lang w:eastAsia="en-AU"/>
        </w:rPr>
        <w:t>specific target organ toxicity after a single exposure (significant toxicity)</w:t>
      </w:r>
      <w:r w:rsidRPr="00CD04DB">
        <w:rPr>
          <w:lang w:eastAsia="en-AU"/>
        </w:rPr>
        <w:t xml:space="preserve">. If you do not have any information that </w:t>
      </w:r>
      <w:r w:rsidR="00EF5B99">
        <w:rPr>
          <w:lang w:eastAsia="en-AU"/>
        </w:rPr>
        <w:t>demonstrates</w:t>
      </w:r>
      <w:r w:rsidRPr="00CD04DB">
        <w:rPr>
          <w:lang w:eastAsia="en-AU"/>
        </w:rPr>
        <w:t xml:space="preserve"> that the chemical has this hazard characteristic</w:t>
      </w:r>
      <w:r w:rsidR="00072241">
        <w:rPr>
          <w:lang w:eastAsia="en-AU"/>
        </w:rPr>
        <w:t>,</w:t>
      </w:r>
      <w:r w:rsidRPr="00CD04DB">
        <w:rPr>
          <w:lang w:eastAsia="en-AU"/>
        </w:rPr>
        <w:t xml:space="preserve"> then you can assume it does not for the purposes of categorisation.</w:t>
      </w:r>
    </w:p>
    <w:p w14:paraId="7CA3DFE7" w14:textId="77777777" w:rsidR="00767F2C" w:rsidRPr="00CD04DB" w:rsidRDefault="001718C6" w:rsidP="001718C6">
      <w:pPr>
        <w:spacing w:before="0" w:after="200" w:line="276" w:lineRule="auto"/>
        <w:rPr>
          <w:lang w:eastAsia="en-AU"/>
        </w:rPr>
      </w:pPr>
      <w:r>
        <w:rPr>
          <w:lang w:eastAsia="en-AU"/>
        </w:rPr>
        <w:br w:type="page"/>
      </w:r>
    </w:p>
    <w:p w14:paraId="35D189D2" w14:textId="77777777" w:rsidR="00432D25" w:rsidRDefault="00432D25" w:rsidP="00332482">
      <w:pPr>
        <w:pStyle w:val="Heading2"/>
      </w:pPr>
      <w:bookmarkStart w:id="28" w:name="_Toc43890213"/>
      <w:r>
        <w:lastRenderedPageBreak/>
        <w:t>Skin corrosion – Human health hazard band B</w:t>
      </w:r>
      <w:bookmarkEnd w:id="28"/>
    </w:p>
    <w:p w14:paraId="42A0FC27" w14:textId="77777777" w:rsidR="00432D25" w:rsidRDefault="002511D2" w:rsidP="00332482">
      <w:pPr>
        <w:pStyle w:val="Heading3"/>
        <w:ind w:left="709"/>
      </w:pPr>
      <w:r w:rsidRPr="00332482">
        <w:t>Clause</w:t>
      </w:r>
      <w:r>
        <w:t xml:space="preserve"> </w:t>
      </w:r>
      <w:r w:rsidR="00432D25">
        <w:t xml:space="preserve">2 of Part 1, Schedule 1 </w:t>
      </w:r>
      <w:r w:rsidR="003734DF">
        <w:t xml:space="preserve">to </w:t>
      </w:r>
      <w:r w:rsidR="00432D25">
        <w:t xml:space="preserve">the </w:t>
      </w:r>
      <w:r w:rsidR="009547E9">
        <w:t>IC General Rules</w:t>
      </w:r>
      <w:r w:rsidR="00432D25">
        <w:t xml:space="preserve"> </w:t>
      </w:r>
    </w:p>
    <w:p w14:paraId="34F64D38" w14:textId="77777777" w:rsidR="00432D25" w:rsidRDefault="00432D25" w:rsidP="00332482">
      <w:r>
        <w:rPr>
          <w:lang w:eastAsia="en-AU"/>
        </w:rPr>
        <w:t xml:space="preserve">For the </w:t>
      </w:r>
      <w:r w:rsidR="00677035">
        <w:t>purposes of table item 10</w:t>
      </w:r>
      <w:r>
        <w:t xml:space="preserve"> of </w:t>
      </w:r>
      <w:r w:rsidR="003734DF">
        <w:t xml:space="preserve">Clause 2, </w:t>
      </w:r>
      <w:r>
        <w:t xml:space="preserve">Part 1, Schedule 1 </w:t>
      </w:r>
      <w:r w:rsidR="003734DF">
        <w:t xml:space="preserve">to </w:t>
      </w:r>
      <w:r w:rsidR="0062271E">
        <w:t>the IC General Rules</w:t>
      </w:r>
      <w:r>
        <w:t>:</w:t>
      </w:r>
    </w:p>
    <w:p w14:paraId="67FD2A25" w14:textId="77777777" w:rsidR="00980FA0" w:rsidRDefault="00432D25" w:rsidP="00332482">
      <w:pPr>
        <w:rPr>
          <w:lang w:eastAsia="en-AU"/>
        </w:rPr>
      </w:pPr>
      <w:r w:rsidRPr="003734DF">
        <w:rPr>
          <w:b/>
          <w:lang w:eastAsia="en-AU"/>
        </w:rPr>
        <w:t>Skin corrosion</w:t>
      </w:r>
      <w:r>
        <w:rPr>
          <w:lang w:eastAsia="en-AU"/>
        </w:rPr>
        <w:t xml:space="preserve"> means that any of the following apply to the industrial chemical:</w:t>
      </w:r>
    </w:p>
    <w:p w14:paraId="7646AE3F" w14:textId="77777777" w:rsidR="00432D25" w:rsidRPr="00460914" w:rsidRDefault="00432D25" w:rsidP="003E3B1D">
      <w:pPr>
        <w:pStyle w:val="ListParagraph"/>
        <w:numPr>
          <w:ilvl w:val="0"/>
          <w:numId w:val="76"/>
        </w:numPr>
      </w:pPr>
      <w:r w:rsidRPr="00460914">
        <w:t>the chemical is known to produce irreversible damage to the skin, as described in chapter 3.2 of the GHS, with the c</w:t>
      </w:r>
      <w:r>
        <w:t xml:space="preserve">hemical classified as </w:t>
      </w:r>
      <w:r w:rsidRPr="00460914">
        <w:t>skin corrosion (category 1)</w:t>
      </w:r>
      <w:r w:rsidR="00767F2C">
        <w:t>,</w:t>
      </w:r>
      <w:r w:rsidRPr="00460914">
        <w:t xml:space="preserve"> or</w:t>
      </w:r>
    </w:p>
    <w:p w14:paraId="10979ACE" w14:textId="77777777" w:rsidR="006A2253" w:rsidRDefault="00432D25" w:rsidP="003E3B1D">
      <w:pPr>
        <w:pStyle w:val="ListParagraph"/>
        <w:numPr>
          <w:ilvl w:val="0"/>
          <w:numId w:val="76"/>
        </w:numPr>
      </w:pPr>
      <w:r w:rsidRPr="00460914">
        <w:t>an in vitro study on the chemical</w:t>
      </w:r>
      <w:r w:rsidR="0037022C">
        <w:t xml:space="preserve"> </w:t>
      </w:r>
      <w:r w:rsidRPr="00460914">
        <w:t xml:space="preserve">conducted following </w:t>
      </w:r>
      <w:r w:rsidR="00032224">
        <w:t>an acceptable test guideline</w:t>
      </w:r>
      <w:r w:rsidRPr="00460914">
        <w:t xml:space="preserve"> </w:t>
      </w:r>
      <w:r w:rsidR="00F33855">
        <w:t xml:space="preserve">for skin corrosion </w:t>
      </w:r>
      <w:r w:rsidRPr="00460914">
        <w:t>results in the prediction of skin corrosion effects</w:t>
      </w:r>
      <w:r w:rsidR="0037022C">
        <w:t>, or</w:t>
      </w:r>
      <w:r>
        <w:t xml:space="preserve"> </w:t>
      </w:r>
    </w:p>
    <w:p w14:paraId="231A8450" w14:textId="77777777" w:rsidR="006A2253" w:rsidRDefault="006A2253" w:rsidP="003E3B1D">
      <w:pPr>
        <w:pStyle w:val="ListParagraph"/>
        <w:numPr>
          <w:ilvl w:val="0"/>
          <w:numId w:val="76"/>
        </w:numPr>
      </w:pPr>
      <w:r w:rsidRPr="00460914">
        <w:t>an in vivo study on the chemical</w:t>
      </w:r>
      <w:r>
        <w:t xml:space="preserve"> </w:t>
      </w:r>
      <w:r w:rsidRPr="00460914">
        <w:t xml:space="preserve">conducted following </w:t>
      </w:r>
      <w:r w:rsidR="00032224">
        <w:t>an acceptable test guideline</w:t>
      </w:r>
      <w:r w:rsidRPr="00460914">
        <w:t xml:space="preserve"> </w:t>
      </w:r>
      <w:r w:rsidR="00F33855">
        <w:t xml:space="preserve">for skin </w:t>
      </w:r>
      <w:r w:rsidR="002755CC">
        <w:t>irritation</w:t>
      </w:r>
      <w:r w:rsidR="00F33855">
        <w:t xml:space="preserve"> </w:t>
      </w:r>
      <w:r w:rsidRPr="00460914">
        <w:t xml:space="preserve">results in destruction of skin tissue, as described </w:t>
      </w:r>
      <w:r w:rsidR="002755CC">
        <w:t xml:space="preserve">for skin corrosion </w:t>
      </w:r>
      <w:r w:rsidRPr="00460914">
        <w:t>in chapter 3.2 of the G</w:t>
      </w:r>
      <w:r>
        <w:t>HS</w:t>
      </w:r>
      <w:r w:rsidR="0037022C">
        <w:t>, or</w:t>
      </w:r>
    </w:p>
    <w:p w14:paraId="4B52C2BC" w14:textId="77777777" w:rsidR="007C5C6F" w:rsidRPr="00460914" w:rsidRDefault="007C5C6F" w:rsidP="003E3B1D">
      <w:pPr>
        <w:pStyle w:val="ListParagraph"/>
        <w:numPr>
          <w:ilvl w:val="0"/>
          <w:numId w:val="76"/>
        </w:numPr>
      </w:pPr>
      <w:r>
        <w:t xml:space="preserve">the chemical is a pyrophoric liquid or a pyrophoric solid, as described in chapters 2.9 and 2.10 of the GHS respectively. </w:t>
      </w:r>
    </w:p>
    <w:p w14:paraId="41057FB0" w14:textId="77777777" w:rsidR="00432D25" w:rsidRDefault="00432D25" w:rsidP="00332482">
      <w:pPr>
        <w:pStyle w:val="Heading3"/>
        <w:ind w:left="709"/>
      </w:pPr>
      <w:r w:rsidRPr="00332482">
        <w:t>Section</w:t>
      </w:r>
      <w:r w:rsidR="00AF2E25">
        <w:t xml:space="preserve"> 30</w:t>
      </w:r>
      <w:r>
        <w:t xml:space="preserve"> of the </w:t>
      </w:r>
      <w:r w:rsidR="009547E9">
        <w:t>IC General Rules</w:t>
      </w:r>
      <w:r>
        <w:t xml:space="preserve"> - Information required to demonstrate the absence of hazard characteristics  </w:t>
      </w:r>
    </w:p>
    <w:p w14:paraId="0B00512B" w14:textId="77777777" w:rsidR="00432D25" w:rsidRDefault="00432D25" w:rsidP="00640F42">
      <w:pPr>
        <w:spacing w:before="0" w:after="0"/>
      </w:pPr>
      <w:r>
        <w:t xml:space="preserve">For the purposes of </w:t>
      </w:r>
      <w:r w:rsidR="00AF2E25">
        <w:t>sub</w:t>
      </w:r>
      <w:r w:rsidR="003734DF">
        <w:t>paragraph</w:t>
      </w:r>
      <w:r w:rsidR="00AF2E25">
        <w:t xml:space="preserve"> 30(2)(c)(iv) of the IC General Rules, </w:t>
      </w:r>
      <w:r w:rsidR="001A19D3">
        <w:t xml:space="preserve">the information required to </w:t>
      </w:r>
      <w:r w:rsidR="00EF5B99">
        <w:t>demonstrate</w:t>
      </w:r>
      <w:r w:rsidR="001A19D3">
        <w:t xml:space="preserve"> that a chemical does not have the hazard characteristic, </w:t>
      </w:r>
      <w:r w:rsidR="001A19D3" w:rsidRPr="003734DF">
        <w:rPr>
          <w:b/>
        </w:rPr>
        <w:t>skin corrosion</w:t>
      </w:r>
      <w:r w:rsidR="001A19D3">
        <w:t>, is at least one of</w:t>
      </w:r>
      <w:r w:rsidR="00F11F49">
        <w:t xml:space="preserve"> the following</w:t>
      </w:r>
      <w:r w:rsidR="00F868BD">
        <w:t>:</w:t>
      </w:r>
    </w:p>
    <w:p w14:paraId="26368403" w14:textId="77777777" w:rsidR="00022513" w:rsidRDefault="00E3747A" w:rsidP="00640F42">
      <w:pPr>
        <w:pStyle w:val="ListParagraph"/>
        <w:numPr>
          <w:ilvl w:val="0"/>
          <w:numId w:val="77"/>
        </w:numPr>
        <w:spacing w:before="0" w:after="0" w:line="360" w:lineRule="atLeast"/>
      </w:pPr>
      <w:r>
        <w:t>i</w:t>
      </w:r>
      <w:r w:rsidR="00022513">
        <w:t xml:space="preserve">nformation that </w:t>
      </w:r>
      <w:r w:rsidR="00EF5B99">
        <w:t>demonstrates</w:t>
      </w:r>
      <w:r w:rsidR="00022513">
        <w:t xml:space="preserve"> that the chemical is a high molecular weight polymer that does </w:t>
      </w:r>
      <w:r w:rsidR="00022513" w:rsidRPr="00E34E62">
        <w:t>not</w:t>
      </w:r>
      <w:r w:rsidR="00022513">
        <w:t xml:space="preserve"> contain any of the following reactive functional groups:</w:t>
      </w:r>
    </w:p>
    <w:p w14:paraId="14733312" w14:textId="77777777" w:rsidR="00022513" w:rsidRDefault="00022513" w:rsidP="003E3B1D">
      <w:pPr>
        <w:pStyle w:val="ListParagraph"/>
        <w:numPr>
          <w:ilvl w:val="1"/>
          <w:numId w:val="77"/>
        </w:numPr>
        <w:spacing w:before="160" w:after="120"/>
      </w:pPr>
      <w:r>
        <w:t>anhydride</w:t>
      </w:r>
      <w:r w:rsidR="00E3747A">
        <w:t>, or</w:t>
      </w:r>
    </w:p>
    <w:p w14:paraId="227AF40F" w14:textId="77777777" w:rsidR="00022513" w:rsidRDefault="00022513" w:rsidP="003E3B1D">
      <w:pPr>
        <w:pStyle w:val="ListParagraph"/>
        <w:numPr>
          <w:ilvl w:val="1"/>
          <w:numId w:val="77"/>
        </w:numPr>
        <w:spacing w:before="160" w:after="120"/>
      </w:pPr>
      <w:r>
        <w:t>epoxide</w:t>
      </w:r>
      <w:r w:rsidR="00E3747A">
        <w:t>, or</w:t>
      </w:r>
    </w:p>
    <w:p w14:paraId="61F1B7F7" w14:textId="77777777" w:rsidR="00022513" w:rsidRDefault="00022513" w:rsidP="003E3B1D">
      <w:pPr>
        <w:pStyle w:val="ListParagraph"/>
        <w:numPr>
          <w:ilvl w:val="1"/>
          <w:numId w:val="77"/>
        </w:numPr>
        <w:spacing w:before="160" w:after="120"/>
      </w:pPr>
      <w:r>
        <w:t>sulfonic acid</w:t>
      </w:r>
      <w:r w:rsidR="00E3747A">
        <w:t>, or</w:t>
      </w:r>
    </w:p>
    <w:p w14:paraId="112B7ABD" w14:textId="77777777" w:rsidR="00022513" w:rsidRDefault="00640F42" w:rsidP="003E3B1D">
      <w:pPr>
        <w:pStyle w:val="ListParagraph"/>
        <w:numPr>
          <w:ilvl w:val="1"/>
          <w:numId w:val="77"/>
        </w:numPr>
        <w:spacing w:before="160" w:after="120"/>
      </w:pPr>
      <w:r>
        <w:t>amine,</w:t>
      </w:r>
      <w:r w:rsidR="00022513">
        <w:t xml:space="preserve"> or</w:t>
      </w:r>
    </w:p>
    <w:p w14:paraId="4C106FBD" w14:textId="77777777" w:rsidR="00022513" w:rsidRDefault="00E3747A" w:rsidP="003E3B1D">
      <w:pPr>
        <w:pStyle w:val="ListParagraph"/>
        <w:numPr>
          <w:ilvl w:val="0"/>
          <w:numId w:val="77"/>
        </w:numPr>
        <w:spacing w:before="160" w:after="120" w:line="360" w:lineRule="atLeast"/>
      </w:pPr>
      <w:r>
        <w:t>i</w:t>
      </w:r>
      <w:r w:rsidR="00022513">
        <w:t xml:space="preserve">nformation that </w:t>
      </w:r>
      <w:r w:rsidR="00EF5B99">
        <w:t>demonstrates</w:t>
      </w:r>
      <w:r w:rsidR="00022513">
        <w:t xml:space="preserve"> that the chemical is a high molecular weight polymer that contains</w:t>
      </w:r>
      <w:r w:rsidR="005C0D22">
        <w:t xml:space="preserve"> any of</w:t>
      </w:r>
      <w:r w:rsidR="00022513">
        <w:t xml:space="preserve"> the following reactive functional groups </w:t>
      </w:r>
      <w:r w:rsidR="004909FE">
        <w:t xml:space="preserve">and the polymer has </w:t>
      </w:r>
      <w:r w:rsidR="00022513">
        <w:t>a combined functional group equivalent weight of ≥1,000 g/mol:</w:t>
      </w:r>
    </w:p>
    <w:p w14:paraId="2D9B7FA7" w14:textId="77777777" w:rsidR="00022513" w:rsidRDefault="00022513" w:rsidP="003E3B1D">
      <w:pPr>
        <w:pStyle w:val="ListParagraph"/>
        <w:numPr>
          <w:ilvl w:val="1"/>
          <w:numId w:val="77"/>
        </w:numPr>
        <w:spacing w:before="160" w:after="120"/>
      </w:pPr>
      <w:r>
        <w:t>anhydride</w:t>
      </w:r>
      <w:r w:rsidR="00E3747A">
        <w:t>, or</w:t>
      </w:r>
    </w:p>
    <w:p w14:paraId="417CE2EA" w14:textId="77777777" w:rsidR="00022513" w:rsidRDefault="00022513" w:rsidP="003E3B1D">
      <w:pPr>
        <w:pStyle w:val="ListParagraph"/>
        <w:numPr>
          <w:ilvl w:val="1"/>
          <w:numId w:val="77"/>
        </w:numPr>
        <w:spacing w:before="160" w:after="120"/>
      </w:pPr>
      <w:r>
        <w:t>epoxide</w:t>
      </w:r>
      <w:r w:rsidR="0015690B">
        <w:t>, or</w:t>
      </w:r>
    </w:p>
    <w:p w14:paraId="6F19FC27" w14:textId="77777777" w:rsidR="00022513" w:rsidRDefault="00022513" w:rsidP="003E3B1D">
      <w:pPr>
        <w:pStyle w:val="ListParagraph"/>
        <w:numPr>
          <w:ilvl w:val="1"/>
          <w:numId w:val="77"/>
        </w:numPr>
        <w:spacing w:before="160" w:after="120"/>
      </w:pPr>
      <w:r>
        <w:t>sulfonic acid</w:t>
      </w:r>
      <w:r w:rsidR="0015690B">
        <w:t>, or</w:t>
      </w:r>
    </w:p>
    <w:p w14:paraId="52EB5981" w14:textId="77777777" w:rsidR="00022513" w:rsidRDefault="00022513" w:rsidP="003E3B1D">
      <w:pPr>
        <w:pStyle w:val="ListParagraph"/>
        <w:numPr>
          <w:ilvl w:val="1"/>
          <w:numId w:val="77"/>
        </w:numPr>
        <w:spacing w:before="160" w:after="120"/>
      </w:pPr>
      <w:r>
        <w:t>amine</w:t>
      </w:r>
      <w:r w:rsidR="00640F42">
        <w:t>,</w:t>
      </w:r>
      <w:r>
        <w:t xml:space="preserve"> or</w:t>
      </w:r>
    </w:p>
    <w:p w14:paraId="29D59516" w14:textId="77777777" w:rsidR="00432D25" w:rsidRDefault="0015690B" w:rsidP="003E3B1D">
      <w:pPr>
        <w:pStyle w:val="ListParagraph"/>
        <w:numPr>
          <w:ilvl w:val="0"/>
          <w:numId w:val="77"/>
        </w:numPr>
        <w:spacing w:before="160" w:after="120" w:line="360" w:lineRule="atLeast"/>
      </w:pPr>
      <w:r>
        <w:t>i</w:t>
      </w:r>
      <w:r w:rsidR="001A19D3">
        <w:t xml:space="preserve">f the human health exposure band for the introduction is 3 - </w:t>
      </w:r>
      <w:r>
        <w:t>a</w:t>
      </w:r>
      <w:r w:rsidR="001C60EF">
        <w:t xml:space="preserve"> suitable </w:t>
      </w:r>
      <w:r w:rsidR="00432D25">
        <w:t xml:space="preserve">in silico prediction indicating that the chemical is not </w:t>
      </w:r>
      <w:r w:rsidR="00EF6DB9">
        <w:t>irritating</w:t>
      </w:r>
      <w:r w:rsidR="009F7DE1">
        <w:t xml:space="preserve"> </w:t>
      </w:r>
      <w:r w:rsidR="00370294">
        <w:t xml:space="preserve">to skin </w:t>
      </w:r>
      <w:r w:rsidR="009F7DE1">
        <w:t xml:space="preserve">or has no alerting groups for </w:t>
      </w:r>
      <w:r w:rsidR="00370294">
        <w:t xml:space="preserve">skin </w:t>
      </w:r>
      <w:r w:rsidR="009F7DE1">
        <w:t>irritation</w:t>
      </w:r>
      <w:r w:rsidR="008E416A">
        <w:t>, or</w:t>
      </w:r>
    </w:p>
    <w:p w14:paraId="01C54410" w14:textId="77777777" w:rsidR="00432D25" w:rsidRDefault="0015690B" w:rsidP="003E3B1D">
      <w:pPr>
        <w:pStyle w:val="ListParagraph"/>
        <w:numPr>
          <w:ilvl w:val="0"/>
          <w:numId w:val="77"/>
        </w:numPr>
        <w:spacing w:before="160" w:after="120" w:line="360" w:lineRule="atLeast"/>
      </w:pPr>
      <w:r>
        <w:t>t</w:t>
      </w:r>
      <w:r w:rsidR="003A23A1">
        <w:t xml:space="preserve">est results from an in vitro study on the chemical or from suitable read across information, conducted following </w:t>
      </w:r>
      <w:r w:rsidR="00992A32">
        <w:t>an acceptable test guideline</w:t>
      </w:r>
      <w:r w:rsidR="00A328C4">
        <w:t xml:space="preserve"> for skin corrosion</w:t>
      </w:r>
      <w:r w:rsidR="003A23A1">
        <w:t>, with a non-corrosive prediction</w:t>
      </w:r>
      <w:r w:rsidR="00992A32">
        <w:t xml:space="preserve">, </w:t>
      </w:r>
      <w:r w:rsidR="003A23A1">
        <w:t>or</w:t>
      </w:r>
    </w:p>
    <w:p w14:paraId="07D0CFD7" w14:textId="77777777" w:rsidR="006C3804" w:rsidRDefault="0015690B" w:rsidP="003E3B1D">
      <w:pPr>
        <w:pStyle w:val="ListParagraph"/>
        <w:numPr>
          <w:ilvl w:val="0"/>
          <w:numId w:val="77"/>
        </w:numPr>
        <w:spacing w:before="160" w:after="120" w:line="360" w:lineRule="atLeast"/>
      </w:pPr>
      <w:r>
        <w:lastRenderedPageBreak/>
        <w:t>t</w:t>
      </w:r>
      <w:r w:rsidR="006C3804">
        <w:t>est results from an i</w:t>
      </w:r>
      <w:r w:rsidR="00432D25">
        <w:t xml:space="preserve">n vitro </w:t>
      </w:r>
      <w:r w:rsidR="006C3804">
        <w:t xml:space="preserve">study on the chemical or from suitable read across information, conducted following </w:t>
      </w:r>
      <w:r w:rsidR="00511079">
        <w:t>an acceptable test guideline</w:t>
      </w:r>
      <w:r w:rsidR="00A328C4">
        <w:t xml:space="preserve"> for skin irritation</w:t>
      </w:r>
      <w:r w:rsidR="006C3804">
        <w:t>, with a non-</w:t>
      </w:r>
      <w:r w:rsidR="00432D25">
        <w:t>irrita</w:t>
      </w:r>
      <w:r w:rsidR="006C3804">
        <w:t>n</w:t>
      </w:r>
      <w:r w:rsidR="00432D25">
        <w:t>t</w:t>
      </w:r>
      <w:r w:rsidR="006C3804">
        <w:t xml:space="preserve"> prediction</w:t>
      </w:r>
      <w:r w:rsidR="00511079">
        <w:t xml:space="preserve">, </w:t>
      </w:r>
      <w:r w:rsidR="006C3804">
        <w:t>or</w:t>
      </w:r>
    </w:p>
    <w:p w14:paraId="70C21D28" w14:textId="77777777" w:rsidR="00432D25" w:rsidRDefault="0015690B" w:rsidP="003E3B1D">
      <w:pPr>
        <w:pStyle w:val="ListParagraph"/>
        <w:numPr>
          <w:ilvl w:val="0"/>
          <w:numId w:val="77"/>
        </w:numPr>
        <w:spacing w:before="160" w:after="120" w:line="360" w:lineRule="atLeast"/>
      </w:pPr>
      <w:r>
        <w:t>t</w:t>
      </w:r>
      <w:r w:rsidR="006C3804">
        <w:t xml:space="preserve">est results from an in vivo study on the chemical or from suitable read across information, conducted following </w:t>
      </w:r>
      <w:r w:rsidR="00511079">
        <w:t>an acceptable test guideline</w:t>
      </w:r>
      <w:r w:rsidR="00A328C4">
        <w:t xml:space="preserve"> for skin </w:t>
      </w:r>
      <w:r w:rsidR="002755CC">
        <w:t>irritation</w:t>
      </w:r>
      <w:r w:rsidR="006C3804">
        <w:t xml:space="preserve">, </w:t>
      </w:r>
      <w:r w:rsidR="00A60F9E">
        <w:t xml:space="preserve">which does not </w:t>
      </w:r>
      <w:r w:rsidR="0032040E">
        <w:t>result in</w:t>
      </w:r>
      <w:r w:rsidR="006C3804">
        <w:t xml:space="preserve"> destruction of skin tissue, as described for skin corrosion in chapter 3.2 of the GHS.</w:t>
      </w:r>
    </w:p>
    <w:p w14:paraId="61E58540" w14:textId="77777777" w:rsidR="00432D25" w:rsidRDefault="00432D25" w:rsidP="00E34E62"/>
    <w:p w14:paraId="3D35D160" w14:textId="77777777" w:rsidR="006736A5" w:rsidRDefault="006736A5" w:rsidP="006736A5">
      <w:pPr>
        <w:pStyle w:val="Heading2"/>
      </w:pPr>
      <w:bookmarkStart w:id="29" w:name="_Toc43890214"/>
      <w:r>
        <w:t>Eye damage – Human health hazard band B</w:t>
      </w:r>
      <w:bookmarkEnd w:id="29"/>
    </w:p>
    <w:p w14:paraId="54AE23A5" w14:textId="77777777" w:rsidR="006736A5" w:rsidRDefault="002511D2" w:rsidP="00332482">
      <w:pPr>
        <w:pStyle w:val="Heading3"/>
        <w:ind w:left="709"/>
      </w:pPr>
      <w:r>
        <w:t xml:space="preserve">Clause </w:t>
      </w:r>
      <w:r w:rsidR="006736A5">
        <w:t xml:space="preserve">2 of Part 1, Schedule 1 </w:t>
      </w:r>
      <w:r w:rsidR="008E416A">
        <w:t>to</w:t>
      </w:r>
      <w:r w:rsidR="0015690B">
        <w:t xml:space="preserve"> </w:t>
      </w:r>
      <w:r w:rsidR="006736A5">
        <w:t xml:space="preserve">the </w:t>
      </w:r>
      <w:r w:rsidR="009547E9">
        <w:t>IC General Rules</w:t>
      </w:r>
      <w:r w:rsidR="006736A5">
        <w:t xml:space="preserve"> </w:t>
      </w:r>
    </w:p>
    <w:p w14:paraId="379A4DA1" w14:textId="77777777" w:rsidR="006736A5" w:rsidRDefault="006736A5" w:rsidP="00332482">
      <w:r>
        <w:rPr>
          <w:lang w:eastAsia="en-AU"/>
        </w:rPr>
        <w:t xml:space="preserve">For the </w:t>
      </w:r>
      <w:r>
        <w:t>purposes of table item 1</w:t>
      </w:r>
      <w:r w:rsidR="00AF2E25">
        <w:t>1</w:t>
      </w:r>
      <w:r>
        <w:t xml:space="preserve"> of </w:t>
      </w:r>
      <w:r w:rsidR="0015690B">
        <w:t xml:space="preserve">Clause 2, </w:t>
      </w:r>
      <w:r>
        <w:t xml:space="preserve">Part 1, Schedule 1 </w:t>
      </w:r>
      <w:r w:rsidR="0015690B">
        <w:t xml:space="preserve">to </w:t>
      </w:r>
      <w:r w:rsidR="0062271E">
        <w:t>the IC General Rules</w:t>
      </w:r>
      <w:r>
        <w:t>:</w:t>
      </w:r>
    </w:p>
    <w:p w14:paraId="35A0E76A" w14:textId="77777777" w:rsidR="00A828BA" w:rsidRDefault="00A828BA" w:rsidP="00332482">
      <w:r w:rsidRPr="0015690B">
        <w:rPr>
          <w:b/>
        </w:rPr>
        <w:t>Eye damage</w:t>
      </w:r>
      <w:r>
        <w:t xml:space="preserve"> means that any of the following apply to the industrial chemical:</w:t>
      </w:r>
    </w:p>
    <w:p w14:paraId="78DAA3BF" w14:textId="77777777" w:rsidR="006A2253" w:rsidRPr="00460914" w:rsidRDefault="006A2253" w:rsidP="003E3B1D">
      <w:pPr>
        <w:pStyle w:val="ListParagraph"/>
        <w:numPr>
          <w:ilvl w:val="0"/>
          <w:numId w:val="78"/>
        </w:numPr>
      </w:pPr>
      <w:r w:rsidRPr="00460914">
        <w:t>the chemical is known to produce serious eye damage, as described in chapter 3.3 of the GHS, with the</w:t>
      </w:r>
      <w:r>
        <w:t xml:space="preserve"> chemical classified as </w:t>
      </w:r>
      <w:r w:rsidRPr="00460914">
        <w:t>eye damage (category 1)</w:t>
      </w:r>
      <w:r w:rsidR="008E416A">
        <w:t>,</w:t>
      </w:r>
      <w:r w:rsidRPr="00460914">
        <w:t xml:space="preserve"> or</w:t>
      </w:r>
    </w:p>
    <w:p w14:paraId="76C8D935" w14:textId="77777777" w:rsidR="006A2253" w:rsidRPr="00460914" w:rsidRDefault="006A2253" w:rsidP="003E3B1D">
      <w:pPr>
        <w:pStyle w:val="ListParagraph"/>
        <w:numPr>
          <w:ilvl w:val="0"/>
          <w:numId w:val="78"/>
        </w:numPr>
      </w:pPr>
      <w:r w:rsidRPr="00460914">
        <w:t>an</w:t>
      </w:r>
      <w:r>
        <w:t xml:space="preserve"> in vitro study on the chemical</w:t>
      </w:r>
      <w:r w:rsidR="00370294">
        <w:t xml:space="preserve"> </w:t>
      </w:r>
      <w:r w:rsidRPr="00460914">
        <w:t xml:space="preserve">conducted following </w:t>
      </w:r>
      <w:r w:rsidR="00032224">
        <w:t>an acceptable test guideline</w:t>
      </w:r>
      <w:r w:rsidRPr="00460914">
        <w:t xml:space="preserve"> </w:t>
      </w:r>
      <w:r w:rsidR="00F33855">
        <w:t xml:space="preserve">for eye damage </w:t>
      </w:r>
      <w:r w:rsidRPr="00460914">
        <w:t>results in the prediction of serious eye damage effects,</w:t>
      </w:r>
      <w:r w:rsidR="0037022C">
        <w:t xml:space="preserve"> or</w:t>
      </w:r>
      <w:r w:rsidRPr="00460914">
        <w:t xml:space="preserve"> </w:t>
      </w:r>
    </w:p>
    <w:p w14:paraId="1241CC27" w14:textId="77777777" w:rsidR="006A2253" w:rsidRDefault="006A2253" w:rsidP="003E3B1D">
      <w:pPr>
        <w:pStyle w:val="ListParagraph"/>
        <w:numPr>
          <w:ilvl w:val="0"/>
          <w:numId w:val="78"/>
        </w:numPr>
      </w:pPr>
      <w:r w:rsidRPr="00460914">
        <w:t>an in vivo study on th</w:t>
      </w:r>
      <w:r>
        <w:t xml:space="preserve">e chemical </w:t>
      </w:r>
      <w:r w:rsidRPr="00460914">
        <w:t xml:space="preserve">conducted following </w:t>
      </w:r>
      <w:r w:rsidR="00BE7B9A">
        <w:t>an acceptable test guideline</w:t>
      </w:r>
      <w:r w:rsidRPr="00460914">
        <w:t xml:space="preserve"> </w:t>
      </w:r>
      <w:r w:rsidR="00F33855">
        <w:t xml:space="preserve">for eye </w:t>
      </w:r>
      <w:r w:rsidR="002755CC">
        <w:t>irritation</w:t>
      </w:r>
      <w:r w:rsidR="00F33855">
        <w:t xml:space="preserve"> </w:t>
      </w:r>
      <w:r w:rsidRPr="00460914">
        <w:t>results in effects on the eye, as described for serious eye damage in chap</w:t>
      </w:r>
      <w:r>
        <w:t>ter 3.3 of the GHS</w:t>
      </w:r>
      <w:r w:rsidR="0037022C">
        <w:t>, or</w:t>
      </w:r>
    </w:p>
    <w:p w14:paraId="0141BE6D" w14:textId="77777777" w:rsidR="00032224" w:rsidRDefault="00032224" w:rsidP="003E3B1D">
      <w:pPr>
        <w:pStyle w:val="ListParagraph"/>
        <w:numPr>
          <w:ilvl w:val="0"/>
          <w:numId w:val="78"/>
        </w:numPr>
      </w:pPr>
      <w:r>
        <w:t>the chemical is a pyrophoric liquid or a pyrophoric solid, as described in chapters 2.9 and 2.10 of the GHS</w:t>
      </w:r>
      <w:r w:rsidR="00640F42">
        <w:t>,</w:t>
      </w:r>
      <w:r>
        <w:t xml:space="preserve"> respectively. </w:t>
      </w:r>
    </w:p>
    <w:p w14:paraId="52330F4C" w14:textId="77777777" w:rsidR="003E7D67" w:rsidRDefault="00AF2E25" w:rsidP="00332482">
      <w:pPr>
        <w:pStyle w:val="Heading3"/>
        <w:ind w:left="709"/>
      </w:pPr>
      <w:r>
        <w:t xml:space="preserve">Section </w:t>
      </w:r>
      <w:r w:rsidR="003E7D67">
        <w:t>3</w:t>
      </w:r>
      <w:r>
        <w:t>0</w:t>
      </w:r>
      <w:r w:rsidR="003E7D67">
        <w:t xml:space="preserve"> of the </w:t>
      </w:r>
      <w:r w:rsidR="009547E9">
        <w:t>IC General Rules</w:t>
      </w:r>
      <w:r w:rsidR="003E7D67">
        <w:t xml:space="preserve"> - Information required to demonstrate the absence of hazard characteristics  </w:t>
      </w:r>
    </w:p>
    <w:p w14:paraId="0BDEBD31" w14:textId="77777777" w:rsidR="003E7D67" w:rsidRDefault="003E7D67" w:rsidP="00640F42">
      <w:pPr>
        <w:spacing w:before="0" w:after="0"/>
      </w:pPr>
      <w:r>
        <w:t xml:space="preserve">For the purposes of </w:t>
      </w:r>
      <w:r w:rsidR="00AF2E25">
        <w:t>sub</w:t>
      </w:r>
      <w:r w:rsidR="00385C90">
        <w:t>paragraph</w:t>
      </w:r>
      <w:r w:rsidR="00AF2E25">
        <w:t xml:space="preserve"> 30(2)(c)(iv) of the IC General Rules,</w:t>
      </w:r>
      <w:r w:rsidR="00BE7B9A" w:rsidRPr="00BE7B9A">
        <w:t xml:space="preserve"> </w:t>
      </w:r>
      <w:r w:rsidR="00BE7B9A">
        <w:t xml:space="preserve">the information required to </w:t>
      </w:r>
      <w:r w:rsidR="00EF5B99">
        <w:t>demonstrate</w:t>
      </w:r>
      <w:r w:rsidR="00BE7B9A">
        <w:t xml:space="preserve"> that a chemical does not have the hazard characteristic, </w:t>
      </w:r>
      <w:r w:rsidR="00BE7B9A" w:rsidRPr="00385C90">
        <w:rPr>
          <w:b/>
        </w:rPr>
        <w:t>eye damage</w:t>
      </w:r>
      <w:r w:rsidR="00BE7B9A">
        <w:t>, is at least one of the following</w:t>
      </w:r>
      <w:r w:rsidR="00CE7570">
        <w:t>:</w:t>
      </w:r>
    </w:p>
    <w:p w14:paraId="7B0CB2ED" w14:textId="77777777" w:rsidR="00022513" w:rsidRDefault="00CE7570" w:rsidP="00640F42">
      <w:pPr>
        <w:pStyle w:val="ListParagraph"/>
        <w:numPr>
          <w:ilvl w:val="0"/>
          <w:numId w:val="79"/>
        </w:numPr>
        <w:spacing w:before="0" w:after="0"/>
      </w:pPr>
      <w:r>
        <w:t>i</w:t>
      </w:r>
      <w:r w:rsidR="00022513">
        <w:t xml:space="preserve">nformation that </w:t>
      </w:r>
      <w:r w:rsidR="00EF5B99">
        <w:t>demonstrates</w:t>
      </w:r>
      <w:r w:rsidR="00022513">
        <w:t xml:space="preserve"> that the chemical is a high molecular weight polymer that does </w:t>
      </w:r>
      <w:r w:rsidR="00022513" w:rsidRPr="00370294">
        <w:t>not</w:t>
      </w:r>
      <w:r w:rsidR="00022513">
        <w:t xml:space="preserve"> contain any of the following reactive functional groups:</w:t>
      </w:r>
    </w:p>
    <w:p w14:paraId="31391BCB" w14:textId="77777777" w:rsidR="00022513" w:rsidRDefault="00022513" w:rsidP="003E3B1D">
      <w:pPr>
        <w:pStyle w:val="ListParagraph"/>
        <w:numPr>
          <w:ilvl w:val="1"/>
          <w:numId w:val="79"/>
        </w:numPr>
      </w:pPr>
      <w:r>
        <w:t>anhydride</w:t>
      </w:r>
      <w:r w:rsidR="00CE7570">
        <w:t>, or</w:t>
      </w:r>
    </w:p>
    <w:p w14:paraId="76EC1196" w14:textId="77777777" w:rsidR="00022513" w:rsidRDefault="00022513" w:rsidP="003E3B1D">
      <w:pPr>
        <w:pStyle w:val="ListParagraph"/>
        <w:numPr>
          <w:ilvl w:val="1"/>
          <w:numId w:val="79"/>
        </w:numPr>
      </w:pPr>
      <w:r>
        <w:t>epoxide</w:t>
      </w:r>
      <w:r w:rsidR="00CE7570">
        <w:t>, or</w:t>
      </w:r>
    </w:p>
    <w:p w14:paraId="596B9556" w14:textId="77777777" w:rsidR="00022513" w:rsidRDefault="00022513" w:rsidP="003E3B1D">
      <w:pPr>
        <w:pStyle w:val="ListParagraph"/>
        <w:numPr>
          <w:ilvl w:val="1"/>
          <w:numId w:val="79"/>
        </w:numPr>
      </w:pPr>
      <w:r>
        <w:t>sulfonic acid</w:t>
      </w:r>
      <w:r w:rsidR="00CE7570">
        <w:t>, or</w:t>
      </w:r>
    </w:p>
    <w:p w14:paraId="0F4CE92D" w14:textId="77777777" w:rsidR="00022513" w:rsidRDefault="00C83DE0" w:rsidP="003E3B1D">
      <w:pPr>
        <w:pStyle w:val="ListParagraph"/>
        <w:numPr>
          <w:ilvl w:val="1"/>
          <w:numId w:val="79"/>
        </w:numPr>
      </w:pPr>
      <w:r>
        <w:t>amine,</w:t>
      </w:r>
      <w:r w:rsidR="00022513">
        <w:t xml:space="preserve"> or</w:t>
      </w:r>
    </w:p>
    <w:p w14:paraId="149A0A2A" w14:textId="77777777" w:rsidR="00022513" w:rsidRDefault="00CE7570" w:rsidP="003E3B1D">
      <w:pPr>
        <w:pStyle w:val="ListParagraph"/>
        <w:numPr>
          <w:ilvl w:val="0"/>
          <w:numId w:val="79"/>
        </w:numPr>
      </w:pPr>
      <w:r>
        <w:t>i</w:t>
      </w:r>
      <w:r w:rsidR="00022513">
        <w:t xml:space="preserve">nformation that </w:t>
      </w:r>
      <w:r w:rsidR="00EF5B99">
        <w:t>demonstrates</w:t>
      </w:r>
      <w:r w:rsidR="00022513">
        <w:t xml:space="preserve"> that the chemical is a high molecular weight polymer that contains </w:t>
      </w:r>
      <w:r w:rsidR="005C0D22">
        <w:t xml:space="preserve">any of </w:t>
      </w:r>
      <w:r w:rsidR="00022513">
        <w:t>the following reactive functional groups with a combined functional group equivalent weight of ≥1,000 g/mol:</w:t>
      </w:r>
    </w:p>
    <w:p w14:paraId="7484A42D" w14:textId="77777777" w:rsidR="00022513" w:rsidRDefault="00022513" w:rsidP="003E3B1D">
      <w:pPr>
        <w:pStyle w:val="ListParagraph"/>
        <w:numPr>
          <w:ilvl w:val="1"/>
          <w:numId w:val="79"/>
        </w:numPr>
      </w:pPr>
      <w:r>
        <w:t>anhydride</w:t>
      </w:r>
      <w:r w:rsidR="00301859">
        <w:t>, or</w:t>
      </w:r>
    </w:p>
    <w:p w14:paraId="1F9B5806" w14:textId="77777777" w:rsidR="00022513" w:rsidRDefault="00022513" w:rsidP="003E3B1D">
      <w:pPr>
        <w:pStyle w:val="ListParagraph"/>
        <w:numPr>
          <w:ilvl w:val="1"/>
          <w:numId w:val="79"/>
        </w:numPr>
      </w:pPr>
      <w:r>
        <w:t>epoxide</w:t>
      </w:r>
      <w:r w:rsidR="00301859">
        <w:t>, or</w:t>
      </w:r>
    </w:p>
    <w:p w14:paraId="258C9375" w14:textId="77777777" w:rsidR="00022513" w:rsidRDefault="00022513" w:rsidP="003E3B1D">
      <w:pPr>
        <w:pStyle w:val="ListParagraph"/>
        <w:numPr>
          <w:ilvl w:val="1"/>
          <w:numId w:val="79"/>
        </w:numPr>
      </w:pPr>
      <w:r>
        <w:t>sulfonic acid</w:t>
      </w:r>
      <w:r w:rsidR="00301859">
        <w:t>, or</w:t>
      </w:r>
    </w:p>
    <w:p w14:paraId="1D01A89A" w14:textId="77777777" w:rsidR="00022513" w:rsidRDefault="00022513" w:rsidP="003E3B1D">
      <w:pPr>
        <w:pStyle w:val="ListParagraph"/>
        <w:numPr>
          <w:ilvl w:val="1"/>
          <w:numId w:val="79"/>
        </w:numPr>
      </w:pPr>
      <w:r>
        <w:lastRenderedPageBreak/>
        <w:t>amine</w:t>
      </w:r>
      <w:r w:rsidR="00C83DE0">
        <w:t>,</w:t>
      </w:r>
      <w:r>
        <w:t xml:space="preserve"> or</w:t>
      </w:r>
    </w:p>
    <w:p w14:paraId="63ADDF27" w14:textId="77777777" w:rsidR="007B0C0F" w:rsidRDefault="00975004" w:rsidP="003E3B1D">
      <w:pPr>
        <w:pStyle w:val="ListParagraph"/>
        <w:numPr>
          <w:ilvl w:val="0"/>
          <w:numId w:val="79"/>
        </w:numPr>
      </w:pPr>
      <w:r>
        <w:t>i</w:t>
      </w:r>
      <w:r w:rsidR="00BE7B9A">
        <w:t xml:space="preserve">f the human health exposure band for the introduction is 3 - </w:t>
      </w:r>
      <w:r w:rsidR="00D15FB1">
        <w:t>a</w:t>
      </w:r>
      <w:r w:rsidR="001C60EF">
        <w:t xml:space="preserve"> suitable </w:t>
      </w:r>
      <w:r w:rsidR="007B0C0F">
        <w:t xml:space="preserve">in </w:t>
      </w:r>
      <w:r w:rsidR="001C60EF">
        <w:t>silico</w:t>
      </w:r>
      <w:r w:rsidR="006074CC">
        <w:t xml:space="preserve"> </w:t>
      </w:r>
      <w:r w:rsidR="007B0C0F">
        <w:t>prediction indicating that the chemical is not irritating</w:t>
      </w:r>
      <w:r w:rsidR="00370294">
        <w:t xml:space="preserve"> to the eye</w:t>
      </w:r>
      <w:r w:rsidR="00D15FB1">
        <w:t>, or</w:t>
      </w:r>
    </w:p>
    <w:p w14:paraId="2056D8C0" w14:textId="77777777" w:rsidR="007B0C0F" w:rsidRDefault="00975004" w:rsidP="003E3B1D">
      <w:pPr>
        <w:pStyle w:val="ListParagraph"/>
        <w:numPr>
          <w:ilvl w:val="0"/>
          <w:numId w:val="79"/>
        </w:numPr>
      </w:pPr>
      <w:r>
        <w:t>t</w:t>
      </w:r>
      <w:r w:rsidR="007B0C0F">
        <w:t xml:space="preserve">est results from an in vitro study on the chemical or from suitable read across information, conducted following </w:t>
      </w:r>
      <w:r w:rsidR="00D431E0">
        <w:t>an acceptable test guideline</w:t>
      </w:r>
      <w:r w:rsidR="00A328C4">
        <w:t xml:space="preserve"> for eye damage</w:t>
      </w:r>
      <w:r w:rsidR="007B0C0F">
        <w:t>, which predicts the chemical would not induce serious eye damage</w:t>
      </w:r>
    </w:p>
    <w:p w14:paraId="3EC601B6" w14:textId="77777777" w:rsidR="007B0C0F" w:rsidRDefault="00975004" w:rsidP="003E3B1D">
      <w:pPr>
        <w:pStyle w:val="ListParagraph"/>
        <w:numPr>
          <w:ilvl w:val="0"/>
          <w:numId w:val="79"/>
        </w:numPr>
      </w:pPr>
      <w:r>
        <w:t>t</w:t>
      </w:r>
      <w:r w:rsidR="007B0C0F">
        <w:t xml:space="preserve">est results from an in vivo study on the chemical or from suitable read across information, conducted following </w:t>
      </w:r>
      <w:r w:rsidR="00D431E0">
        <w:t>an acceptable test guideline</w:t>
      </w:r>
      <w:r w:rsidR="00A328C4">
        <w:t xml:space="preserve"> for eye </w:t>
      </w:r>
      <w:r w:rsidR="002755CC">
        <w:t>irritation</w:t>
      </w:r>
      <w:r w:rsidR="007B0C0F">
        <w:t xml:space="preserve">, which does not </w:t>
      </w:r>
      <w:r w:rsidR="00D431E0">
        <w:t xml:space="preserve">result in </w:t>
      </w:r>
      <w:r w:rsidR="00736626">
        <w:t>effects on the eye</w:t>
      </w:r>
      <w:r w:rsidR="007B0C0F">
        <w:t>, as described f</w:t>
      </w:r>
      <w:r w:rsidR="00736626">
        <w:t xml:space="preserve">or </w:t>
      </w:r>
      <w:r w:rsidR="00F40925">
        <w:t>eye damage</w:t>
      </w:r>
      <w:r w:rsidR="00736626">
        <w:t xml:space="preserve"> in chapter 3.3</w:t>
      </w:r>
      <w:r w:rsidR="007B0C0F">
        <w:t xml:space="preserve"> of the GHS.</w:t>
      </w:r>
    </w:p>
    <w:p w14:paraId="4D3C734A" w14:textId="77777777" w:rsidR="003E7D67" w:rsidRDefault="003E7D67" w:rsidP="00432D25"/>
    <w:p w14:paraId="231FC55C" w14:textId="77777777" w:rsidR="003E7D67" w:rsidRDefault="003E7D67" w:rsidP="003E7D67">
      <w:pPr>
        <w:pStyle w:val="Heading2"/>
      </w:pPr>
      <w:bookmarkStart w:id="30" w:name="_Toc43890215"/>
      <w:r>
        <w:t>Skin sensitisation – Human health hazard band B</w:t>
      </w:r>
      <w:bookmarkEnd w:id="30"/>
    </w:p>
    <w:p w14:paraId="14E32E58" w14:textId="77777777" w:rsidR="003E7D67" w:rsidRDefault="002511D2" w:rsidP="00332482">
      <w:pPr>
        <w:pStyle w:val="Heading3"/>
        <w:ind w:left="709"/>
      </w:pPr>
      <w:r>
        <w:t xml:space="preserve">Clause </w:t>
      </w:r>
      <w:r w:rsidR="003E7D67">
        <w:t xml:space="preserve">2 of Part 1, Schedule 1 </w:t>
      </w:r>
      <w:r w:rsidR="00490913">
        <w:t xml:space="preserve">to </w:t>
      </w:r>
      <w:r w:rsidR="003E7D67">
        <w:t xml:space="preserve">the </w:t>
      </w:r>
      <w:r w:rsidR="009547E9">
        <w:t>IC General Rules</w:t>
      </w:r>
      <w:r w:rsidR="003E7D67">
        <w:t xml:space="preserve"> </w:t>
      </w:r>
    </w:p>
    <w:p w14:paraId="6A75AA3A" w14:textId="77777777" w:rsidR="003E7D67" w:rsidRDefault="003E7D67" w:rsidP="004E5BE9">
      <w:r>
        <w:rPr>
          <w:lang w:eastAsia="en-AU"/>
        </w:rPr>
        <w:t xml:space="preserve">For the </w:t>
      </w:r>
      <w:r w:rsidR="00AF2E25">
        <w:t>purposes of table item 12</w:t>
      </w:r>
      <w:r>
        <w:t xml:space="preserve"> of </w:t>
      </w:r>
      <w:r w:rsidR="00490913">
        <w:t xml:space="preserve">Clause 2, </w:t>
      </w:r>
      <w:r>
        <w:t xml:space="preserve">Part 1, Schedule 1 </w:t>
      </w:r>
      <w:r w:rsidR="00490913">
        <w:t xml:space="preserve">to </w:t>
      </w:r>
      <w:r w:rsidR="0062271E">
        <w:t>the IC General Rules</w:t>
      </w:r>
      <w:r>
        <w:t>:</w:t>
      </w:r>
    </w:p>
    <w:p w14:paraId="3F105F1E" w14:textId="77777777" w:rsidR="003E7D67" w:rsidRDefault="00D51250" w:rsidP="004E5BE9">
      <w:r w:rsidRPr="00490913">
        <w:rPr>
          <w:b/>
        </w:rPr>
        <w:t>Skin sensitisation</w:t>
      </w:r>
      <w:r>
        <w:t xml:space="preserve"> means that </w:t>
      </w:r>
      <w:r w:rsidR="003E7D67">
        <w:t>any of the following apply</w:t>
      </w:r>
      <w:r>
        <w:t xml:space="preserve"> to the industrial chemical</w:t>
      </w:r>
      <w:r w:rsidR="003E7D67">
        <w:t>:</w:t>
      </w:r>
    </w:p>
    <w:p w14:paraId="721DD8E3" w14:textId="77777777" w:rsidR="00D51250" w:rsidRPr="00460914" w:rsidRDefault="00D51250" w:rsidP="003E3B1D">
      <w:pPr>
        <w:pStyle w:val="ListParagraph"/>
        <w:numPr>
          <w:ilvl w:val="0"/>
          <w:numId w:val="80"/>
        </w:numPr>
      </w:pPr>
      <w:r w:rsidRPr="00460914">
        <w:t>the chemical is known to cause an allergic response following skin contact, as described in chapter 3.4 of the GHS, with the</w:t>
      </w:r>
      <w:r>
        <w:t xml:space="preserve"> chemical classified as </w:t>
      </w:r>
      <w:r w:rsidRPr="00460914">
        <w:t>skin sensitisation (category 1), or</w:t>
      </w:r>
    </w:p>
    <w:p w14:paraId="7E16783E" w14:textId="77777777" w:rsidR="00D51250" w:rsidRPr="00460914" w:rsidRDefault="00D51250" w:rsidP="003E3B1D">
      <w:pPr>
        <w:pStyle w:val="ListParagraph"/>
        <w:numPr>
          <w:ilvl w:val="0"/>
          <w:numId w:val="80"/>
        </w:numPr>
      </w:pPr>
      <w:r w:rsidRPr="00460914">
        <w:t>human testing or epidemiological studies on the chemical result in evidence of an allergic response, as described in chapter 3.4 of the GHS, or</w:t>
      </w:r>
    </w:p>
    <w:p w14:paraId="3F0FE56C" w14:textId="77777777" w:rsidR="00D51250" w:rsidRPr="00460914" w:rsidRDefault="00D51250" w:rsidP="003E3B1D">
      <w:pPr>
        <w:pStyle w:val="ListParagraph"/>
        <w:numPr>
          <w:ilvl w:val="0"/>
          <w:numId w:val="80"/>
        </w:numPr>
      </w:pPr>
      <w:r w:rsidRPr="00460914">
        <w:t>an in vitro study on the chemical</w:t>
      </w:r>
      <w:r w:rsidRPr="006E6028">
        <w:rPr>
          <w:b/>
          <w:bCs/>
        </w:rPr>
        <w:t>:</w:t>
      </w:r>
    </w:p>
    <w:p w14:paraId="5FE146A9" w14:textId="77777777" w:rsidR="00D51250" w:rsidRPr="00460914" w:rsidRDefault="00D51250" w:rsidP="003E3B1D">
      <w:pPr>
        <w:pStyle w:val="ListParagraph"/>
        <w:numPr>
          <w:ilvl w:val="1"/>
          <w:numId w:val="80"/>
        </w:numPr>
      </w:pPr>
      <w:r w:rsidRPr="00460914">
        <w:t xml:space="preserve">conducted following </w:t>
      </w:r>
      <w:r w:rsidR="00C23600">
        <w:t>an acceptable test guideline</w:t>
      </w:r>
      <w:r w:rsidR="00B23300">
        <w:t xml:space="preserve"> for skin sensitisation</w:t>
      </w:r>
      <w:r w:rsidRPr="00460914">
        <w:t>, results in the prediction of skin sensitisation effects, and</w:t>
      </w:r>
    </w:p>
    <w:p w14:paraId="6060A6D9" w14:textId="77777777" w:rsidR="00D51250" w:rsidRPr="00460914" w:rsidRDefault="00D51250" w:rsidP="003E3B1D">
      <w:pPr>
        <w:pStyle w:val="ListParagraph"/>
        <w:numPr>
          <w:ilvl w:val="1"/>
          <w:numId w:val="80"/>
        </w:numPr>
      </w:pPr>
      <w:r w:rsidRPr="00460914">
        <w:t xml:space="preserve">the results of the study have not been negated </w:t>
      </w:r>
      <w:r w:rsidR="00876871">
        <w:t xml:space="preserve">by </w:t>
      </w:r>
      <w:r w:rsidR="00C23600">
        <w:t xml:space="preserve">in vivo </w:t>
      </w:r>
      <w:r w:rsidRPr="00460914">
        <w:t>studies conducted on the chemical for skin sensitisation, or</w:t>
      </w:r>
    </w:p>
    <w:p w14:paraId="76EDAA6C" w14:textId="77777777" w:rsidR="00D51250" w:rsidRPr="00460914" w:rsidRDefault="00D51250" w:rsidP="003E3B1D">
      <w:pPr>
        <w:pStyle w:val="ListParagraph"/>
        <w:numPr>
          <w:ilvl w:val="0"/>
          <w:numId w:val="80"/>
        </w:numPr>
      </w:pPr>
      <w:r w:rsidRPr="00460914">
        <w:t>an in chemico study on the chemical:</w:t>
      </w:r>
    </w:p>
    <w:p w14:paraId="16AFD80A" w14:textId="77777777" w:rsidR="00D51250" w:rsidRPr="00460914" w:rsidRDefault="00D51250" w:rsidP="003E3B1D">
      <w:pPr>
        <w:pStyle w:val="ListParagraph"/>
        <w:numPr>
          <w:ilvl w:val="1"/>
          <w:numId w:val="80"/>
        </w:numPr>
      </w:pPr>
      <w:r w:rsidRPr="00460914">
        <w:t xml:space="preserve">conducted following </w:t>
      </w:r>
      <w:r w:rsidR="00C23600">
        <w:t>an acceptable test guideline</w:t>
      </w:r>
      <w:r w:rsidR="00B23300">
        <w:t xml:space="preserve"> for skin sensitisation</w:t>
      </w:r>
      <w:r w:rsidR="006E6028">
        <w:t xml:space="preserve">, results </w:t>
      </w:r>
      <w:r w:rsidRPr="00460914">
        <w:t>in the prediction of skin sensitisation effects, and</w:t>
      </w:r>
    </w:p>
    <w:p w14:paraId="72FFB333" w14:textId="77777777" w:rsidR="00D51250" w:rsidRDefault="00D51250" w:rsidP="003E3B1D">
      <w:pPr>
        <w:pStyle w:val="ListParagraph"/>
        <w:numPr>
          <w:ilvl w:val="1"/>
          <w:numId w:val="80"/>
        </w:numPr>
      </w:pPr>
      <w:r w:rsidRPr="00460914">
        <w:t xml:space="preserve">the results of the study have not been negated </w:t>
      </w:r>
      <w:r w:rsidR="00876871">
        <w:t xml:space="preserve">by </w:t>
      </w:r>
      <w:r w:rsidR="00C23600">
        <w:t xml:space="preserve">in vivo </w:t>
      </w:r>
      <w:r w:rsidRPr="00460914">
        <w:t>studies conducted on the chemical for skin sensitisation</w:t>
      </w:r>
      <w:r w:rsidR="005B2B62">
        <w:t>, or</w:t>
      </w:r>
      <w:r w:rsidRPr="00460914">
        <w:t xml:space="preserve"> </w:t>
      </w:r>
    </w:p>
    <w:p w14:paraId="568A94E0" w14:textId="77777777" w:rsidR="00D51250" w:rsidRPr="00460914" w:rsidRDefault="00D51250" w:rsidP="003E3B1D">
      <w:pPr>
        <w:pStyle w:val="ListParagraph"/>
        <w:numPr>
          <w:ilvl w:val="0"/>
          <w:numId w:val="80"/>
        </w:numPr>
      </w:pPr>
      <w:r w:rsidRPr="00460914">
        <w:t>a</w:t>
      </w:r>
      <w:r>
        <w:t xml:space="preserve">n in vivo study on the chemical </w:t>
      </w:r>
      <w:r w:rsidRPr="00460914">
        <w:t xml:space="preserve">conducted following </w:t>
      </w:r>
      <w:r w:rsidR="00313204">
        <w:t>an acceptable test guideline</w:t>
      </w:r>
      <w:r w:rsidR="00B23300">
        <w:t xml:space="preserve"> for skin sensitisation</w:t>
      </w:r>
      <w:r w:rsidRPr="00460914">
        <w:t>, results in the induction of an allergic response, as describ</w:t>
      </w:r>
      <w:r w:rsidR="009754CD">
        <w:t>ed in chapter 3.4 of the GHS.</w:t>
      </w:r>
    </w:p>
    <w:p w14:paraId="1D7E3E34" w14:textId="77777777" w:rsidR="003E7D67" w:rsidRDefault="00AF2E25" w:rsidP="00694750">
      <w:pPr>
        <w:pStyle w:val="Heading3"/>
        <w:ind w:left="709"/>
      </w:pPr>
      <w:r>
        <w:t xml:space="preserve">Section </w:t>
      </w:r>
      <w:r w:rsidR="003E7D67">
        <w:t>3</w:t>
      </w:r>
      <w:r>
        <w:t>0</w:t>
      </w:r>
      <w:r w:rsidR="003E7D67">
        <w:t xml:space="preserve"> of the </w:t>
      </w:r>
      <w:r w:rsidR="009547E9">
        <w:t>IC General Rules</w:t>
      </w:r>
      <w:r w:rsidR="003E7D67">
        <w:t xml:space="preserve"> - Information required to demonstrate the absence of hazard characteristics  </w:t>
      </w:r>
    </w:p>
    <w:p w14:paraId="0F2508CA" w14:textId="77777777" w:rsidR="003E7D67" w:rsidRDefault="003E7D67" w:rsidP="00694750">
      <w:r>
        <w:t xml:space="preserve">For the purposes of </w:t>
      </w:r>
      <w:r w:rsidR="00AF2E25">
        <w:t>sub</w:t>
      </w:r>
      <w:r w:rsidR="00401A2F">
        <w:t>paragraph</w:t>
      </w:r>
      <w:r w:rsidR="00AF2E25">
        <w:t xml:space="preserve"> 30(2)(c)(iv) of the IC General Rules</w:t>
      </w:r>
      <w:r>
        <w:t>:</w:t>
      </w:r>
    </w:p>
    <w:p w14:paraId="1ACEF431" w14:textId="77777777" w:rsidR="003E7D67" w:rsidRDefault="00CA50A0" w:rsidP="003E3B1D">
      <w:pPr>
        <w:pStyle w:val="ListParagraph"/>
        <w:numPr>
          <w:ilvl w:val="0"/>
          <w:numId w:val="81"/>
        </w:numPr>
      </w:pPr>
      <w:r>
        <w:t>t</w:t>
      </w:r>
      <w:r w:rsidR="00F221C8">
        <w:t xml:space="preserve">here are no information requirements to demonstrate the absence of the hazard characteristic, </w:t>
      </w:r>
      <w:r w:rsidR="00F221C8" w:rsidRPr="00CA50A0">
        <w:rPr>
          <w:b/>
        </w:rPr>
        <w:t>skin sensitisation</w:t>
      </w:r>
      <w:r w:rsidR="00F221C8">
        <w:t>, i</w:t>
      </w:r>
      <w:r w:rsidR="003E7D67">
        <w:t>f the chemical is corrosive to the skin (GHS category 1)</w:t>
      </w:r>
      <w:r w:rsidR="00F221C8">
        <w:t xml:space="preserve"> </w:t>
      </w:r>
      <w:r w:rsidR="003E7D67">
        <w:t>as the</w:t>
      </w:r>
      <w:r w:rsidR="0037103E">
        <w:t xml:space="preserve"> </w:t>
      </w:r>
      <w:r w:rsidR="002160AD">
        <w:t xml:space="preserve">in vivo </w:t>
      </w:r>
      <w:r w:rsidR="003E7D67">
        <w:t>tests cannot be conducted</w:t>
      </w:r>
    </w:p>
    <w:p w14:paraId="107AC83B" w14:textId="77777777" w:rsidR="003E7D67" w:rsidRDefault="00CA50A0" w:rsidP="003E3B1D">
      <w:pPr>
        <w:pStyle w:val="ListParagraph"/>
        <w:numPr>
          <w:ilvl w:val="0"/>
          <w:numId w:val="81"/>
        </w:numPr>
      </w:pPr>
      <w:r>
        <w:lastRenderedPageBreak/>
        <w:t>o</w:t>
      </w:r>
      <w:r w:rsidR="00734D9F">
        <w:t>therwise</w:t>
      </w:r>
      <w:r w:rsidR="00087A3E">
        <w:t>,</w:t>
      </w:r>
      <w:r w:rsidR="00734D9F">
        <w:t xml:space="preserve"> </w:t>
      </w:r>
      <w:r w:rsidR="003E7D67">
        <w:t xml:space="preserve">the information required to </w:t>
      </w:r>
      <w:r w:rsidR="00EF5B99">
        <w:t>demonstrate</w:t>
      </w:r>
      <w:r w:rsidR="003E7D67">
        <w:t xml:space="preserve"> that a chemical does not have the </w:t>
      </w:r>
      <w:r w:rsidR="00CF1673">
        <w:t xml:space="preserve">hazard characteristic, </w:t>
      </w:r>
      <w:r w:rsidR="003E7D67" w:rsidRPr="00CA50A0">
        <w:rPr>
          <w:b/>
        </w:rPr>
        <w:t>skin sensitisation</w:t>
      </w:r>
      <w:r w:rsidR="00CF1673">
        <w:t>,</w:t>
      </w:r>
      <w:r w:rsidR="003E7D67">
        <w:t xml:space="preserve"> is at least one of</w:t>
      </w:r>
      <w:r w:rsidR="003F07FD">
        <w:t xml:space="preserve"> the following</w:t>
      </w:r>
      <w:r w:rsidR="003E7D67">
        <w:t>:</w:t>
      </w:r>
    </w:p>
    <w:p w14:paraId="51603D66" w14:textId="77777777" w:rsidR="003E7D67" w:rsidRDefault="00CA50A0" w:rsidP="003E3B1D">
      <w:pPr>
        <w:pStyle w:val="ListParagraph"/>
        <w:numPr>
          <w:ilvl w:val="1"/>
          <w:numId w:val="81"/>
        </w:numPr>
      </w:pPr>
      <w:r>
        <w:t>i</w:t>
      </w:r>
      <w:r w:rsidR="003E7D67">
        <w:t xml:space="preserve">nformation that </w:t>
      </w:r>
      <w:r w:rsidR="00EF5B99">
        <w:t>demonstrates</w:t>
      </w:r>
      <w:r w:rsidR="003E7D67">
        <w:t xml:space="preserve"> that the chemical is a high molecular weight polymer </w:t>
      </w:r>
      <w:r w:rsidR="003F07FD">
        <w:t>for which at least one of the following applies</w:t>
      </w:r>
      <w:r w:rsidR="003E7D67">
        <w:t>:</w:t>
      </w:r>
    </w:p>
    <w:p w14:paraId="74205435" w14:textId="77777777" w:rsidR="00B87355" w:rsidRDefault="00CA50A0" w:rsidP="003E3B1D">
      <w:pPr>
        <w:pStyle w:val="ListParagraph"/>
        <w:numPr>
          <w:ilvl w:val="2"/>
          <w:numId w:val="81"/>
        </w:numPr>
      </w:pPr>
      <w:r>
        <w:t xml:space="preserve">it </w:t>
      </w:r>
      <w:r w:rsidR="00B87355">
        <w:t>contains only low concern reactive functional groups</w:t>
      </w:r>
      <w:r w:rsidR="00BF74B9">
        <w:rPr>
          <w:rStyle w:val="FootnoteReference"/>
        </w:rPr>
        <w:footnoteReference w:id="6"/>
      </w:r>
      <w:r w:rsidR="00B87355">
        <w:t>, or</w:t>
      </w:r>
    </w:p>
    <w:p w14:paraId="174B7383" w14:textId="77777777" w:rsidR="00B87355" w:rsidRDefault="00CA50A0" w:rsidP="003E3B1D">
      <w:pPr>
        <w:pStyle w:val="ListParagraph"/>
        <w:numPr>
          <w:ilvl w:val="2"/>
          <w:numId w:val="81"/>
        </w:numPr>
      </w:pPr>
      <w:r>
        <w:t xml:space="preserve">it </w:t>
      </w:r>
      <w:r w:rsidR="00B87355">
        <w:t>contains only low concern reactive functional groups</w:t>
      </w:r>
      <w:r w:rsidR="00BF74B9" w:rsidRPr="00BF74B9">
        <w:rPr>
          <w:vertAlign w:val="superscript"/>
        </w:rPr>
        <w:t>5</w:t>
      </w:r>
      <w:r w:rsidR="00B87355">
        <w:t xml:space="preserve"> and unsubstituted positions ortho and para to phenolic hydroxyl groups, or</w:t>
      </w:r>
    </w:p>
    <w:p w14:paraId="449B1E9D" w14:textId="77777777" w:rsidR="00B87355" w:rsidRDefault="00E914AB" w:rsidP="003E3B1D">
      <w:pPr>
        <w:pStyle w:val="ListParagraph"/>
        <w:numPr>
          <w:ilvl w:val="2"/>
          <w:numId w:val="81"/>
        </w:numPr>
        <w:spacing w:before="0" w:after="0"/>
      </w:pPr>
      <w:r>
        <w:t xml:space="preserve">the only reactive functional groups it </w:t>
      </w:r>
      <w:r w:rsidR="00B87355">
        <w:t xml:space="preserve">contains </w:t>
      </w:r>
      <w:r>
        <w:t>are</w:t>
      </w:r>
      <w:r w:rsidR="00B87355">
        <w:t xml:space="preserve"> unsubstituted positions ortho and para to phenolic hydroxyl groups, or</w:t>
      </w:r>
    </w:p>
    <w:p w14:paraId="0DF24574" w14:textId="77777777" w:rsidR="00B87355" w:rsidRPr="00B87355" w:rsidRDefault="004E32DF" w:rsidP="003E3B1D">
      <w:pPr>
        <w:pStyle w:val="Bulleted"/>
        <w:numPr>
          <w:ilvl w:val="2"/>
          <w:numId w:val="81"/>
        </w:numPr>
        <w:spacing w:after="0" w:line="240" w:lineRule="auto"/>
        <w:rPr>
          <w:rFonts w:ascii="Segoe UI" w:hAnsi="Segoe UI" w:cs="Segoe UI"/>
          <w:sz w:val="22"/>
          <w:szCs w:val="22"/>
        </w:rPr>
      </w:pPr>
      <w:r>
        <w:rPr>
          <w:rFonts w:ascii="Segoe UI" w:hAnsi="Segoe UI" w:cs="Segoe UI"/>
          <w:sz w:val="22"/>
          <w:szCs w:val="22"/>
        </w:rPr>
        <w:t xml:space="preserve">it </w:t>
      </w:r>
      <w:r w:rsidR="00B87355" w:rsidRPr="00B87355">
        <w:rPr>
          <w:rFonts w:ascii="Segoe UI" w:hAnsi="Segoe UI" w:cs="Segoe UI"/>
          <w:sz w:val="22"/>
          <w:szCs w:val="22"/>
        </w:rPr>
        <w:t>contains only low</w:t>
      </w:r>
      <w:r w:rsidR="00BF74B9" w:rsidRPr="00BF74B9">
        <w:rPr>
          <w:rFonts w:ascii="Segoe UI" w:hAnsi="Segoe UI" w:cs="Segoe UI"/>
          <w:sz w:val="22"/>
          <w:szCs w:val="22"/>
          <w:vertAlign w:val="superscript"/>
        </w:rPr>
        <w:t>5</w:t>
      </w:r>
      <w:r w:rsidR="00B87355" w:rsidRPr="00B87355">
        <w:rPr>
          <w:rFonts w:ascii="Segoe UI" w:hAnsi="Segoe UI" w:cs="Segoe UI"/>
          <w:sz w:val="22"/>
          <w:szCs w:val="22"/>
        </w:rPr>
        <w:t xml:space="preserve"> and moderate concern reactive fun</w:t>
      </w:r>
      <w:r w:rsidR="00694750">
        <w:rPr>
          <w:rFonts w:ascii="Segoe UI" w:hAnsi="Segoe UI" w:cs="Segoe UI"/>
          <w:sz w:val="22"/>
          <w:szCs w:val="22"/>
        </w:rPr>
        <w:t>ctional groups</w:t>
      </w:r>
      <w:r w:rsidR="00BF74B9">
        <w:rPr>
          <w:rStyle w:val="FootnoteReference"/>
          <w:rFonts w:ascii="Segoe UI" w:hAnsi="Segoe UI" w:cs="Segoe UI"/>
          <w:sz w:val="22"/>
          <w:szCs w:val="22"/>
        </w:rPr>
        <w:footnoteReference w:id="7"/>
      </w:r>
      <w:r w:rsidR="00694750">
        <w:rPr>
          <w:rFonts w:ascii="Segoe UI" w:hAnsi="Segoe UI" w:cs="Segoe UI"/>
          <w:sz w:val="22"/>
          <w:szCs w:val="22"/>
        </w:rPr>
        <w:t xml:space="preserve">, with a combined </w:t>
      </w:r>
      <w:r w:rsidR="00B87355" w:rsidRPr="00B87355">
        <w:rPr>
          <w:rFonts w:ascii="Segoe UI" w:hAnsi="Segoe UI" w:cs="Segoe UI"/>
          <w:sz w:val="22"/>
          <w:szCs w:val="22"/>
        </w:rPr>
        <w:t>functional group equivalent weight of ≥ 1000 g/mol, or</w:t>
      </w:r>
    </w:p>
    <w:p w14:paraId="225F3382" w14:textId="77777777" w:rsidR="005B2B62" w:rsidRDefault="004E32DF" w:rsidP="003E3B1D">
      <w:pPr>
        <w:pStyle w:val="ListParagraph"/>
        <w:numPr>
          <w:ilvl w:val="2"/>
          <w:numId w:val="81"/>
        </w:numPr>
        <w:spacing w:before="0" w:after="0"/>
      </w:pPr>
      <w:r>
        <w:rPr>
          <w:rFonts w:cs="Segoe UI"/>
        </w:rPr>
        <w:t xml:space="preserve">it </w:t>
      </w:r>
      <w:r w:rsidR="00B87355" w:rsidRPr="00694750">
        <w:rPr>
          <w:rFonts w:cs="Segoe UI"/>
        </w:rPr>
        <w:t>contains only moderate concern reactive functional groups</w:t>
      </w:r>
      <w:r w:rsidR="00BF74B9" w:rsidRPr="00BF74B9">
        <w:rPr>
          <w:rFonts w:cs="Segoe UI"/>
          <w:vertAlign w:val="superscript"/>
        </w:rPr>
        <w:t>6</w:t>
      </w:r>
      <w:r w:rsidR="00B87355" w:rsidRPr="00694750">
        <w:rPr>
          <w:rFonts w:cs="Segoe UI"/>
        </w:rPr>
        <w:t>, with a combined functional group equivalent weight of ≥ 1000 g/mol</w:t>
      </w:r>
      <w:r w:rsidR="005B2B62" w:rsidRPr="00694750">
        <w:rPr>
          <w:rFonts w:cs="Segoe UI"/>
        </w:rPr>
        <w:t>, or</w:t>
      </w:r>
      <w:r w:rsidR="005B2B62" w:rsidRPr="005B2B62">
        <w:t xml:space="preserve"> </w:t>
      </w:r>
    </w:p>
    <w:p w14:paraId="3947B6D4" w14:textId="77777777" w:rsidR="005B2B62" w:rsidRDefault="004E32DF" w:rsidP="003E3B1D">
      <w:pPr>
        <w:pStyle w:val="ListParagraph"/>
        <w:numPr>
          <w:ilvl w:val="2"/>
          <w:numId w:val="81"/>
        </w:numPr>
      </w:pPr>
      <w:r>
        <w:t xml:space="preserve">it </w:t>
      </w:r>
      <w:r w:rsidR="005B2B62" w:rsidRPr="003A28E5">
        <w:t xml:space="preserve">has a number average molecular weight that is greater than or equal to 10,000 g/mol </w:t>
      </w:r>
      <w:r w:rsidR="005B2B62">
        <w:t>and both:</w:t>
      </w:r>
    </w:p>
    <w:p w14:paraId="0F3DAA20" w14:textId="77777777" w:rsidR="005B2B62" w:rsidRDefault="005B2B62" w:rsidP="003E3B1D">
      <w:pPr>
        <w:pStyle w:val="ListParagraph"/>
        <w:numPr>
          <w:ilvl w:val="3"/>
          <w:numId w:val="81"/>
        </w:numPr>
      </w:pPr>
      <w:r w:rsidRPr="003A28E5">
        <w:t>less than 2% by mass of molecules with molecular weight that is less than 500 g/mol</w:t>
      </w:r>
      <w:r w:rsidR="00D15FB1">
        <w:t>,</w:t>
      </w:r>
      <w:r w:rsidRPr="003A28E5">
        <w:t xml:space="preserve"> and</w:t>
      </w:r>
    </w:p>
    <w:p w14:paraId="4BB44F90" w14:textId="77777777" w:rsidR="005B2B62" w:rsidRDefault="005B2B62" w:rsidP="003E3B1D">
      <w:pPr>
        <w:pStyle w:val="ListParagraph"/>
        <w:numPr>
          <w:ilvl w:val="3"/>
          <w:numId w:val="81"/>
        </w:numPr>
      </w:pPr>
      <w:r w:rsidRPr="003A28E5">
        <w:t>less than 5% by mass of molecules with molecular weight that is less than 1,000 g/mol</w:t>
      </w:r>
      <w:r w:rsidR="00D15FB1">
        <w:t>, or</w:t>
      </w:r>
    </w:p>
    <w:p w14:paraId="5F5D1B28" w14:textId="77777777" w:rsidR="00C32F6C" w:rsidRDefault="004E32DF" w:rsidP="003E3B1D">
      <w:pPr>
        <w:pStyle w:val="ListParagraph"/>
        <w:numPr>
          <w:ilvl w:val="1"/>
          <w:numId w:val="81"/>
        </w:numPr>
      </w:pPr>
      <w:r>
        <w:t>i</w:t>
      </w:r>
      <w:r w:rsidR="00C32F6C">
        <w:t xml:space="preserve">nformation that </w:t>
      </w:r>
      <w:r w:rsidR="00EF5B99">
        <w:t>demonstrates</w:t>
      </w:r>
      <w:r w:rsidR="00C32F6C">
        <w:t xml:space="preserve"> that the chemical is a substance covered by Entry 9 of Annex V, </w:t>
      </w:r>
      <w:r w:rsidR="00212324">
        <w:t xml:space="preserve">of </w:t>
      </w:r>
      <w:r w:rsidR="003356CA">
        <w:t>the REACH</w:t>
      </w:r>
      <w:r w:rsidR="005E3028">
        <w:t xml:space="preserve"> Regulation</w:t>
      </w:r>
      <w:r w:rsidR="00552BC2">
        <w:t>, or</w:t>
      </w:r>
    </w:p>
    <w:p w14:paraId="11E7B130" w14:textId="77777777" w:rsidR="003E7D67" w:rsidRDefault="004E32DF" w:rsidP="003E3B1D">
      <w:pPr>
        <w:pStyle w:val="ListParagraph"/>
        <w:numPr>
          <w:ilvl w:val="1"/>
          <w:numId w:val="81"/>
        </w:numPr>
      </w:pPr>
      <w:r>
        <w:t>i</w:t>
      </w:r>
      <w:r w:rsidR="00734D9F">
        <w:t>f the human health exposure band is 3 - a</w:t>
      </w:r>
      <w:r w:rsidR="00E51443">
        <w:t xml:space="preserve">ll </w:t>
      </w:r>
      <w:r w:rsidR="003F07FD">
        <w:t>of the following</w:t>
      </w:r>
      <w:r w:rsidR="003E7D67">
        <w:t>:</w:t>
      </w:r>
    </w:p>
    <w:p w14:paraId="0085483F" w14:textId="77777777" w:rsidR="003E7D67" w:rsidRDefault="004E32DF" w:rsidP="003E3B1D">
      <w:pPr>
        <w:pStyle w:val="ListParagraph"/>
        <w:numPr>
          <w:ilvl w:val="2"/>
          <w:numId w:val="81"/>
        </w:numPr>
      </w:pPr>
      <w:r>
        <w:t>a</w:t>
      </w:r>
      <w:r w:rsidR="001C60EF">
        <w:t xml:space="preserve"> suitable </w:t>
      </w:r>
      <w:r w:rsidR="003F07FD">
        <w:t>in</w:t>
      </w:r>
      <w:r w:rsidR="003E7D67">
        <w:t xml:space="preserve"> </w:t>
      </w:r>
      <w:r w:rsidR="001C60EF">
        <w:t>silico</w:t>
      </w:r>
      <w:r w:rsidR="000E504D">
        <w:t xml:space="preserve"> </w:t>
      </w:r>
      <w:r w:rsidR="003F07FD">
        <w:t>prediction indicating that the chemical</w:t>
      </w:r>
      <w:r w:rsidR="003E7D67">
        <w:t xml:space="preserve"> and</w:t>
      </w:r>
      <w:r w:rsidR="003F07FD">
        <w:t xml:space="preserve"> its metabolites (if any) do not cause skin sensitisation, and</w:t>
      </w:r>
    </w:p>
    <w:p w14:paraId="14314925" w14:textId="77777777" w:rsidR="00E51443" w:rsidRDefault="004E32DF" w:rsidP="003E3B1D">
      <w:pPr>
        <w:pStyle w:val="ListParagraph"/>
        <w:numPr>
          <w:ilvl w:val="2"/>
          <w:numId w:val="81"/>
        </w:numPr>
      </w:pPr>
      <w:r>
        <w:t>t</w:t>
      </w:r>
      <w:r w:rsidR="003F07FD">
        <w:t xml:space="preserve">est results from an in vitro study on the chemical or from suitable read across information, conducted following </w:t>
      </w:r>
      <w:r w:rsidR="000E504D">
        <w:t>an acceptable test guideline for the 2</w:t>
      </w:r>
      <w:r w:rsidR="000E504D" w:rsidRPr="00694750">
        <w:rPr>
          <w:vertAlign w:val="superscript"/>
        </w:rPr>
        <w:t>nd</w:t>
      </w:r>
      <w:r w:rsidR="000E504D">
        <w:t xml:space="preserve"> key event in skin sensitisation</w:t>
      </w:r>
      <w:r w:rsidR="008E6B05">
        <w:t>, with a non-sensitising prediction,</w:t>
      </w:r>
      <w:r w:rsidR="00E51443">
        <w:t xml:space="preserve"> and</w:t>
      </w:r>
    </w:p>
    <w:p w14:paraId="41CFC305" w14:textId="77777777" w:rsidR="003F07FD" w:rsidRDefault="004E32DF" w:rsidP="003E3B1D">
      <w:pPr>
        <w:pStyle w:val="ListParagraph"/>
        <w:numPr>
          <w:ilvl w:val="2"/>
          <w:numId w:val="81"/>
        </w:numPr>
      </w:pPr>
      <w:r>
        <w:t>t</w:t>
      </w:r>
      <w:r w:rsidR="00E51443">
        <w:t xml:space="preserve">est results from an in vitro study on the chemical or from suitable read across information, conducted following </w:t>
      </w:r>
      <w:r w:rsidR="000E504D">
        <w:t>an acceptable test guideline for the 3</w:t>
      </w:r>
      <w:r w:rsidR="000E504D" w:rsidRPr="00694750">
        <w:rPr>
          <w:vertAlign w:val="superscript"/>
        </w:rPr>
        <w:t>rd</w:t>
      </w:r>
      <w:r w:rsidR="000E504D">
        <w:t xml:space="preserve"> key event in skin sensitisation</w:t>
      </w:r>
      <w:r w:rsidR="00E51443">
        <w:t>, with a non-sensitising prediction</w:t>
      </w:r>
      <w:r w:rsidR="00555E6A">
        <w:t>, or</w:t>
      </w:r>
    </w:p>
    <w:p w14:paraId="5A796D18" w14:textId="77777777" w:rsidR="003E7D67" w:rsidRDefault="004E32DF" w:rsidP="003E3B1D">
      <w:pPr>
        <w:pStyle w:val="ListParagraph"/>
        <w:numPr>
          <w:ilvl w:val="1"/>
          <w:numId w:val="81"/>
        </w:numPr>
      </w:pPr>
      <w:r>
        <w:t>a</w:t>
      </w:r>
      <w:r w:rsidR="00E51443">
        <w:t xml:space="preserve">ll </w:t>
      </w:r>
      <w:r w:rsidR="008E6B05">
        <w:t>of the following:</w:t>
      </w:r>
    </w:p>
    <w:p w14:paraId="7F5B24CE" w14:textId="77777777" w:rsidR="003E7D67" w:rsidRDefault="004E32DF" w:rsidP="003E3B1D">
      <w:pPr>
        <w:pStyle w:val="ListParagraph"/>
        <w:numPr>
          <w:ilvl w:val="2"/>
          <w:numId w:val="81"/>
        </w:numPr>
      </w:pPr>
      <w:r>
        <w:t>t</w:t>
      </w:r>
      <w:r w:rsidR="008E6B05">
        <w:t xml:space="preserve">est results from an </w:t>
      </w:r>
      <w:r w:rsidR="008E6B05" w:rsidRPr="00460914">
        <w:t xml:space="preserve">in chemico test on the chemical or from suitable read-across information, conducted following </w:t>
      </w:r>
      <w:r w:rsidR="000E504D">
        <w:t>an acceptable test guideline for the 1</w:t>
      </w:r>
      <w:r w:rsidR="000E504D" w:rsidRPr="00694750">
        <w:rPr>
          <w:vertAlign w:val="superscript"/>
        </w:rPr>
        <w:t>st</w:t>
      </w:r>
      <w:r w:rsidR="000E504D">
        <w:t xml:space="preserve"> key event in skin sensitisation</w:t>
      </w:r>
      <w:r w:rsidR="008E6B05" w:rsidRPr="00460914">
        <w:t>, with a non-sensitising prediction</w:t>
      </w:r>
      <w:r w:rsidR="003E7D67">
        <w:t>, and</w:t>
      </w:r>
    </w:p>
    <w:p w14:paraId="669FF309" w14:textId="77777777" w:rsidR="00E51443" w:rsidRDefault="004E32DF" w:rsidP="003E3B1D">
      <w:pPr>
        <w:pStyle w:val="ListParagraph"/>
        <w:numPr>
          <w:ilvl w:val="2"/>
          <w:numId w:val="81"/>
        </w:numPr>
      </w:pPr>
      <w:r>
        <w:lastRenderedPageBreak/>
        <w:t>t</w:t>
      </w:r>
      <w:r w:rsidR="008E6B05">
        <w:t xml:space="preserve">est results from an in vitro study on the chemical or from suitable read across information, conducted following </w:t>
      </w:r>
      <w:r w:rsidR="000E504D">
        <w:t>an acceptable test guideline for the 2</w:t>
      </w:r>
      <w:r w:rsidR="000E504D" w:rsidRPr="00694750">
        <w:rPr>
          <w:vertAlign w:val="superscript"/>
        </w:rPr>
        <w:t>nd</w:t>
      </w:r>
      <w:r w:rsidR="000E504D">
        <w:t xml:space="preserve"> key event in skin sensitisation</w:t>
      </w:r>
      <w:r w:rsidR="008E6B05">
        <w:t>, with a non-sensitising prediction,</w:t>
      </w:r>
      <w:r w:rsidR="00974F68">
        <w:t xml:space="preserve"> </w:t>
      </w:r>
      <w:r w:rsidR="00E51443">
        <w:t>and</w:t>
      </w:r>
    </w:p>
    <w:p w14:paraId="213B9862" w14:textId="77777777" w:rsidR="008E6B05" w:rsidRDefault="004E32DF" w:rsidP="003E3B1D">
      <w:pPr>
        <w:pStyle w:val="ListParagraph"/>
        <w:numPr>
          <w:ilvl w:val="2"/>
          <w:numId w:val="81"/>
        </w:numPr>
      </w:pPr>
      <w:r>
        <w:t>t</w:t>
      </w:r>
      <w:r w:rsidR="00E51443">
        <w:t xml:space="preserve">est results from an in vitro study on the chemical or from suitable read across information, conducted following </w:t>
      </w:r>
      <w:r w:rsidR="000E504D">
        <w:t>an acceptable test guideline for the 3</w:t>
      </w:r>
      <w:r w:rsidR="000E504D" w:rsidRPr="00694750">
        <w:rPr>
          <w:vertAlign w:val="superscript"/>
        </w:rPr>
        <w:t>rd</w:t>
      </w:r>
      <w:r w:rsidR="000E504D">
        <w:t xml:space="preserve"> key event in skin sensitisation</w:t>
      </w:r>
      <w:r w:rsidR="00E51443">
        <w:t>, with a non-sensitising prediction</w:t>
      </w:r>
    </w:p>
    <w:p w14:paraId="0651A19A" w14:textId="77777777" w:rsidR="00454047" w:rsidRDefault="004E32DF" w:rsidP="003E3B1D">
      <w:pPr>
        <w:pStyle w:val="ListParagraph"/>
        <w:numPr>
          <w:ilvl w:val="1"/>
          <w:numId w:val="81"/>
        </w:numPr>
      </w:pPr>
      <w:r>
        <w:t>t</w:t>
      </w:r>
      <w:r w:rsidR="003F07FD">
        <w:t>est results from a</w:t>
      </w:r>
      <w:r w:rsidR="003F07FD" w:rsidRPr="00460914">
        <w:t xml:space="preserve">n in </w:t>
      </w:r>
      <w:r w:rsidR="003F07FD" w:rsidRPr="00734D9F">
        <w:t xml:space="preserve">vivo </w:t>
      </w:r>
      <w:r w:rsidR="00405E0B">
        <w:t>study</w:t>
      </w:r>
      <w:r w:rsidR="003F07FD" w:rsidRPr="00460914">
        <w:t xml:space="preserve"> on the chemical or from suitable read-across information, conducted following </w:t>
      </w:r>
      <w:r w:rsidR="00405E0B">
        <w:t>an acceptable test guideline for skin sensitisation</w:t>
      </w:r>
      <w:r w:rsidR="003F07FD" w:rsidRPr="00460914">
        <w:t>, which does not result in induction of an allergic response, as described in chapter 3.4 of the GHS</w:t>
      </w:r>
    </w:p>
    <w:p w14:paraId="04B134B1" w14:textId="675E13C1" w:rsidR="003E7D67" w:rsidRDefault="00A012B3" w:rsidP="003E3B1D">
      <w:pPr>
        <w:pStyle w:val="ListParagraph"/>
        <w:numPr>
          <w:ilvl w:val="0"/>
          <w:numId w:val="81"/>
        </w:numPr>
      </w:pPr>
      <w:r>
        <w:t>i</w:t>
      </w:r>
      <w:r w:rsidR="003E7D67">
        <w:t xml:space="preserve">n addition, </w:t>
      </w:r>
      <w:r w:rsidR="7C9A2091">
        <w:t xml:space="preserve">if </w:t>
      </w:r>
      <w:r w:rsidR="1980D650">
        <w:t xml:space="preserve">the human health exposure band </w:t>
      </w:r>
      <w:r w:rsidR="301A9FC5">
        <w:t xml:space="preserve">for the introduction </w:t>
      </w:r>
      <w:r w:rsidR="1980D650">
        <w:t xml:space="preserve">is 4 and the chemical is a UV filter or is introduced for an end use in a tattoo ink, </w:t>
      </w:r>
      <w:r w:rsidR="00384267">
        <w:t xml:space="preserve">information is required to justify why </w:t>
      </w:r>
      <w:r w:rsidR="00AF6BDB">
        <w:t xml:space="preserve">the </w:t>
      </w:r>
      <w:r w:rsidR="00384267">
        <w:t>chemical would not cause skin sensitisation mediated by UV light</w:t>
      </w:r>
      <w:r w:rsidR="42EF32C7">
        <w:t>. This may include one or more</w:t>
      </w:r>
      <w:r w:rsidR="003E7D67">
        <w:t xml:space="preserve"> of the following :</w:t>
      </w:r>
    </w:p>
    <w:p w14:paraId="1D3F1011" w14:textId="528BCE9A" w:rsidR="003E7D67" w:rsidRDefault="004E32DF" w:rsidP="2F7D7CB0">
      <w:pPr>
        <w:pStyle w:val="ListParagraph"/>
        <w:numPr>
          <w:ilvl w:val="1"/>
          <w:numId w:val="81"/>
        </w:numPr>
        <w:rPr>
          <w:rFonts w:asciiTheme="minorHAnsi" w:hAnsiTheme="minorHAnsi"/>
        </w:rPr>
      </w:pPr>
      <w:r>
        <w:t>t</w:t>
      </w:r>
      <w:r w:rsidR="003E7D67">
        <w:t>he chemical</w:t>
      </w:r>
      <w:r w:rsidR="39B0D9FC">
        <w:t xml:space="preserve"> ha</w:t>
      </w:r>
      <w:r w:rsidR="7BA19973">
        <w:t>s</w:t>
      </w:r>
      <w:r w:rsidR="39B0D9FC">
        <w:t xml:space="preserve"> a molar extinction coefficient/absorption coefficient of less than or equal to </w:t>
      </w:r>
      <w:r w:rsidR="3AFAA4A0">
        <w:t>1,000Lmol</w:t>
      </w:r>
      <w:r w:rsidR="3AFAA4A0" w:rsidRPr="2F7D7CB0">
        <w:rPr>
          <w:vertAlign w:val="superscript"/>
        </w:rPr>
        <w:t>-1</w:t>
      </w:r>
      <w:r w:rsidR="3AFAA4A0">
        <w:t>cm</w:t>
      </w:r>
      <w:r w:rsidR="3AFAA4A0" w:rsidRPr="2F7D7CB0">
        <w:rPr>
          <w:vertAlign w:val="superscript"/>
        </w:rPr>
        <w:t>-1</w:t>
      </w:r>
      <w:r w:rsidR="3AFAA4A0">
        <w:t xml:space="preserve"> at wavelengths between 290 and 700nm (based on the results of a study following OECD test guideline 101)</w:t>
      </w:r>
      <w:r w:rsidR="00CE1DF1">
        <w:t>, or</w:t>
      </w:r>
    </w:p>
    <w:p w14:paraId="0A0A2149" w14:textId="0ADC7BA2" w:rsidR="127E0B94" w:rsidRDefault="127E0B94" w:rsidP="2F7D7CB0">
      <w:pPr>
        <w:pStyle w:val="ListParagraph"/>
        <w:numPr>
          <w:ilvl w:val="1"/>
          <w:numId w:val="81"/>
        </w:numPr>
      </w:pPr>
      <w:r>
        <w:t>results from in vitro phototoxicity studies, or</w:t>
      </w:r>
    </w:p>
    <w:p w14:paraId="175824A2" w14:textId="49F57DBE" w:rsidR="00694750" w:rsidRDefault="649D43A6" w:rsidP="003E3B1D">
      <w:pPr>
        <w:pStyle w:val="ListParagraph"/>
        <w:numPr>
          <w:ilvl w:val="1"/>
          <w:numId w:val="81"/>
        </w:numPr>
      </w:pPr>
      <w:r>
        <w:t>results from in vitro or in vivo skin sensitisation studies where the methods have been modified to include photoactivation</w:t>
      </w:r>
      <w:r w:rsidR="6071131C">
        <w:t>.</w:t>
      </w:r>
    </w:p>
    <w:p w14:paraId="3B23F362" w14:textId="77777777" w:rsidR="00C83DE0" w:rsidRDefault="00C83DE0" w:rsidP="00C64BA8">
      <w:pPr>
        <w:ind w:left="1080"/>
      </w:pPr>
    </w:p>
    <w:p w14:paraId="6D3CBAA2" w14:textId="77777777" w:rsidR="003E7D67" w:rsidRDefault="003E7D67" w:rsidP="003E7D67">
      <w:pPr>
        <w:pStyle w:val="Heading2"/>
      </w:pPr>
      <w:bookmarkStart w:id="31" w:name="_Toc43890216"/>
      <w:r>
        <w:t>Acute toxicity (fatal or toxic) – Human health hazard band B</w:t>
      </w:r>
      <w:bookmarkEnd w:id="31"/>
    </w:p>
    <w:p w14:paraId="4DD0D65B" w14:textId="77777777" w:rsidR="003E7D67" w:rsidRDefault="002511D2" w:rsidP="00694750">
      <w:pPr>
        <w:pStyle w:val="Heading3"/>
        <w:ind w:left="709"/>
      </w:pPr>
      <w:r>
        <w:t xml:space="preserve">Clause </w:t>
      </w:r>
      <w:r w:rsidR="003E7D67">
        <w:t xml:space="preserve">2 of Part 1, Schedule 1 </w:t>
      </w:r>
      <w:r w:rsidR="00A012B3">
        <w:t xml:space="preserve">to </w:t>
      </w:r>
      <w:r w:rsidR="003E7D67">
        <w:t xml:space="preserve">the </w:t>
      </w:r>
      <w:r w:rsidR="009547E9">
        <w:t>IC General Rules</w:t>
      </w:r>
      <w:r w:rsidR="003E7D67">
        <w:t xml:space="preserve"> </w:t>
      </w:r>
    </w:p>
    <w:p w14:paraId="5FBC447D" w14:textId="77777777" w:rsidR="003E7D67" w:rsidRDefault="003E7D67" w:rsidP="00694750">
      <w:r>
        <w:rPr>
          <w:lang w:eastAsia="en-AU"/>
        </w:rPr>
        <w:t xml:space="preserve">For the </w:t>
      </w:r>
      <w:r>
        <w:t>purposes of table item 1</w:t>
      </w:r>
      <w:r w:rsidR="00AF2E25">
        <w:t>3</w:t>
      </w:r>
      <w:r>
        <w:t xml:space="preserve"> of </w:t>
      </w:r>
      <w:r w:rsidR="00A012B3">
        <w:t xml:space="preserve">Clause 2, </w:t>
      </w:r>
      <w:r>
        <w:t xml:space="preserve">Part 1, Schedule 1 </w:t>
      </w:r>
      <w:r w:rsidR="00A012B3">
        <w:t xml:space="preserve">to </w:t>
      </w:r>
      <w:r w:rsidR="0062271E">
        <w:t>the IC General Rules</w:t>
      </w:r>
      <w:r>
        <w:t>:</w:t>
      </w:r>
    </w:p>
    <w:p w14:paraId="549C4AAC" w14:textId="77777777" w:rsidR="003E7D67" w:rsidRDefault="005B34DD" w:rsidP="00694750">
      <w:r w:rsidRPr="00A012B3">
        <w:rPr>
          <w:b/>
        </w:rPr>
        <w:t>Acute toxicity (fatal or toxic)</w:t>
      </w:r>
      <w:r>
        <w:t xml:space="preserve"> means that any of the following apply to the industrial chemical:</w:t>
      </w:r>
    </w:p>
    <w:p w14:paraId="0AE98B78" w14:textId="77777777" w:rsidR="005B34DD" w:rsidRDefault="005B34DD" w:rsidP="003E3B1D">
      <w:pPr>
        <w:pStyle w:val="ListParagraph"/>
        <w:numPr>
          <w:ilvl w:val="0"/>
          <w:numId w:val="82"/>
        </w:numPr>
      </w:pPr>
      <w:r w:rsidRPr="00460914">
        <w:t>the chemical is known to exhibit acute toxicity effects, as described in chapter 3.1 of the GHS, with the chemical classified as acute toxicity (category 1 or 2 or 3)</w:t>
      </w:r>
      <w:r>
        <w:t>,</w:t>
      </w:r>
      <w:r w:rsidRPr="00460914">
        <w:t xml:space="preserve"> or</w:t>
      </w:r>
    </w:p>
    <w:p w14:paraId="3C982C0C" w14:textId="77777777" w:rsidR="005B34DD" w:rsidRPr="00460914" w:rsidRDefault="005B34DD" w:rsidP="003E3B1D">
      <w:pPr>
        <w:pStyle w:val="ListParagraph"/>
        <w:numPr>
          <w:ilvl w:val="0"/>
          <w:numId w:val="82"/>
        </w:numPr>
      </w:pPr>
      <w:r w:rsidRPr="00460914">
        <w:t>an in vitro study on the chemical:</w:t>
      </w:r>
    </w:p>
    <w:p w14:paraId="34DE9DB4" w14:textId="77777777" w:rsidR="005B34DD" w:rsidRPr="00460914" w:rsidRDefault="005B34DD" w:rsidP="003E3B1D">
      <w:pPr>
        <w:pStyle w:val="ListParagraph"/>
        <w:numPr>
          <w:ilvl w:val="1"/>
          <w:numId w:val="82"/>
        </w:numPr>
      </w:pPr>
      <w:r w:rsidRPr="00460914">
        <w:t xml:space="preserve">conducted following </w:t>
      </w:r>
      <w:r w:rsidR="00761FB6">
        <w:t>an acceptable test guideline</w:t>
      </w:r>
      <w:r w:rsidR="00062A57">
        <w:t xml:space="preserve"> for acute oral toxicity</w:t>
      </w:r>
      <w:r w:rsidR="00BC19DE">
        <w:t xml:space="preserve">, </w:t>
      </w:r>
      <w:r w:rsidRPr="00460914">
        <w:t>results in a predicted acute oral toxicity LD50 value of ≤300 mg/kg bw, and</w:t>
      </w:r>
    </w:p>
    <w:p w14:paraId="5B54D7F5" w14:textId="77777777" w:rsidR="005B34DD" w:rsidRPr="00460914" w:rsidRDefault="005B34DD" w:rsidP="003E3B1D">
      <w:pPr>
        <w:pStyle w:val="ListParagraph"/>
        <w:numPr>
          <w:ilvl w:val="1"/>
          <w:numId w:val="82"/>
        </w:numPr>
      </w:pPr>
      <w:r w:rsidRPr="00460914">
        <w:t xml:space="preserve">the results of the study have not been negated </w:t>
      </w:r>
      <w:r w:rsidR="00876871">
        <w:t>by</w:t>
      </w:r>
      <w:r w:rsidRPr="00460914">
        <w:t xml:space="preserve"> </w:t>
      </w:r>
      <w:r w:rsidR="00761FB6">
        <w:t xml:space="preserve">in vivo </w:t>
      </w:r>
      <w:r w:rsidRPr="00460914">
        <w:t>studies conducted on the chemical for acute toxicity, or</w:t>
      </w:r>
    </w:p>
    <w:p w14:paraId="60EDBC7A" w14:textId="77777777" w:rsidR="005B34DD" w:rsidRPr="00460914" w:rsidRDefault="005B34DD" w:rsidP="003E3B1D">
      <w:pPr>
        <w:pStyle w:val="ListParagraph"/>
        <w:numPr>
          <w:ilvl w:val="0"/>
          <w:numId w:val="82"/>
        </w:numPr>
      </w:pPr>
      <w:r w:rsidRPr="00460914">
        <w:t>an in vivo study on the chemical:</w:t>
      </w:r>
    </w:p>
    <w:p w14:paraId="1B64726F" w14:textId="77777777" w:rsidR="005B34DD" w:rsidRPr="00460914" w:rsidRDefault="005B34DD" w:rsidP="003E3B1D">
      <w:pPr>
        <w:pStyle w:val="ListParagraph"/>
        <w:numPr>
          <w:ilvl w:val="1"/>
          <w:numId w:val="82"/>
        </w:numPr>
      </w:pPr>
      <w:r w:rsidRPr="00460914">
        <w:t xml:space="preserve">conducted following </w:t>
      </w:r>
      <w:r w:rsidR="00822AB4">
        <w:t>an acceptable test guideline</w:t>
      </w:r>
      <w:r w:rsidRPr="00460914">
        <w:t xml:space="preserve"> </w:t>
      </w:r>
      <w:r w:rsidR="00AC3FE4">
        <w:t xml:space="preserve">for acute oral toxicity </w:t>
      </w:r>
      <w:r w:rsidRPr="00460914">
        <w:t>results in an acute oral LD50 value of ≤300 mg/kg bw, or</w:t>
      </w:r>
    </w:p>
    <w:p w14:paraId="7786C531" w14:textId="77777777" w:rsidR="005B34DD" w:rsidRPr="00460914" w:rsidRDefault="005B34DD" w:rsidP="003E3B1D">
      <w:pPr>
        <w:pStyle w:val="ListParagraph"/>
        <w:numPr>
          <w:ilvl w:val="1"/>
          <w:numId w:val="82"/>
        </w:numPr>
      </w:pPr>
      <w:r w:rsidRPr="00460914">
        <w:t xml:space="preserve">conducted following </w:t>
      </w:r>
      <w:r w:rsidR="00822AB4">
        <w:t xml:space="preserve">an acceptable test guideline </w:t>
      </w:r>
      <w:r w:rsidR="00AC3FE4">
        <w:t xml:space="preserve">for acute dermal toxicity </w:t>
      </w:r>
      <w:r w:rsidRPr="00460914">
        <w:t>results in an acute dermal LD50 value of ≤1,000 mg/kg bw, or</w:t>
      </w:r>
    </w:p>
    <w:p w14:paraId="0847E3D6" w14:textId="77777777" w:rsidR="00734D9F" w:rsidRDefault="005B34DD" w:rsidP="003E3B1D">
      <w:pPr>
        <w:pStyle w:val="ListParagraph"/>
        <w:numPr>
          <w:ilvl w:val="1"/>
          <w:numId w:val="82"/>
        </w:numPr>
      </w:pPr>
      <w:r w:rsidRPr="00460914">
        <w:lastRenderedPageBreak/>
        <w:t xml:space="preserve">conducted following </w:t>
      </w:r>
      <w:r w:rsidR="00AC3FE4">
        <w:t>an acceptable test guideline for acute inhalation toxicity</w:t>
      </w:r>
      <w:r w:rsidRPr="00460914">
        <w:t xml:space="preserve"> results in an acute inhalation LC50 value of</w:t>
      </w:r>
      <w:r w:rsidR="00734D9F">
        <w:t>:</w:t>
      </w:r>
    </w:p>
    <w:p w14:paraId="48FC461C" w14:textId="77777777" w:rsidR="00734D9F" w:rsidRDefault="00734D9F" w:rsidP="003E3B1D">
      <w:pPr>
        <w:pStyle w:val="ListParagraph"/>
        <w:numPr>
          <w:ilvl w:val="2"/>
          <w:numId w:val="82"/>
        </w:numPr>
      </w:pPr>
      <w:r>
        <w:t>for gases -</w:t>
      </w:r>
      <w:r w:rsidR="005B34DD" w:rsidRPr="00460914">
        <w:t xml:space="preserve"> ≤2,500 ppmV</w:t>
      </w:r>
      <w:r w:rsidR="00343A2E">
        <w:t>/4h</w:t>
      </w:r>
      <w:r w:rsidR="006A479D">
        <w:t>,</w:t>
      </w:r>
      <w:r w:rsidR="005B34DD" w:rsidRPr="00460914">
        <w:t xml:space="preserve"> or</w:t>
      </w:r>
    </w:p>
    <w:p w14:paraId="111A70F3" w14:textId="77777777" w:rsidR="00734D9F" w:rsidRDefault="00734D9F" w:rsidP="003E3B1D">
      <w:pPr>
        <w:pStyle w:val="ListParagraph"/>
        <w:numPr>
          <w:ilvl w:val="2"/>
          <w:numId w:val="82"/>
        </w:numPr>
      </w:pPr>
      <w:r>
        <w:t xml:space="preserve">for vapours - </w:t>
      </w:r>
      <w:r w:rsidR="005B34DD" w:rsidRPr="00460914">
        <w:t>≤10 mg/L</w:t>
      </w:r>
      <w:r w:rsidR="00343A2E">
        <w:t>/4h</w:t>
      </w:r>
      <w:r w:rsidR="006A479D">
        <w:t>,</w:t>
      </w:r>
      <w:r w:rsidR="005B34DD" w:rsidRPr="00460914">
        <w:t xml:space="preserve"> or </w:t>
      </w:r>
    </w:p>
    <w:p w14:paraId="3E6BC669" w14:textId="77777777" w:rsidR="005B34DD" w:rsidRPr="00460914" w:rsidRDefault="00734D9F" w:rsidP="003E3B1D">
      <w:pPr>
        <w:pStyle w:val="ListParagraph"/>
        <w:numPr>
          <w:ilvl w:val="2"/>
          <w:numId w:val="82"/>
        </w:numPr>
      </w:pPr>
      <w:r>
        <w:t xml:space="preserve">for dusts/mists/fumes - </w:t>
      </w:r>
      <w:r w:rsidR="005B34DD" w:rsidRPr="00460914">
        <w:t>≤1 mg/L</w:t>
      </w:r>
      <w:r w:rsidR="00343A2E">
        <w:t>/4h</w:t>
      </w:r>
      <w:r w:rsidR="005B34DD" w:rsidRPr="00460914">
        <w:t xml:space="preserve"> , or</w:t>
      </w:r>
    </w:p>
    <w:p w14:paraId="47A78375" w14:textId="77777777" w:rsidR="00BA0DD7" w:rsidRDefault="003F58E7" w:rsidP="003E3B1D">
      <w:pPr>
        <w:pStyle w:val="ListParagraph"/>
        <w:numPr>
          <w:ilvl w:val="0"/>
          <w:numId w:val="82"/>
        </w:numPr>
      </w:pPr>
      <w:r>
        <w:t xml:space="preserve">evidence </w:t>
      </w:r>
      <w:r w:rsidR="005B34DD" w:rsidRPr="00460914">
        <w:t xml:space="preserve">in humans </w:t>
      </w:r>
      <w:r w:rsidR="007829A5">
        <w:t>of systemic toxicity after eye contact</w:t>
      </w:r>
      <w:r w:rsidR="00BA0DD7">
        <w:t>,</w:t>
      </w:r>
      <w:r w:rsidR="007829A5">
        <w:t xml:space="preserve"> </w:t>
      </w:r>
      <w:r w:rsidR="00BA0DD7" w:rsidRPr="00460914">
        <w:t>with the chemical classified with the non-G</w:t>
      </w:r>
      <w:r w:rsidR="00BA0DD7">
        <w:t>HS hazard statement – AUH070</w:t>
      </w:r>
      <w:r w:rsidR="00555E6A">
        <w:t>,</w:t>
      </w:r>
      <w:r w:rsidR="00BA0DD7">
        <w:t xml:space="preserve"> </w:t>
      </w:r>
      <w:r w:rsidR="005B34DD" w:rsidRPr="00460914">
        <w:t>or</w:t>
      </w:r>
    </w:p>
    <w:p w14:paraId="006B0D21" w14:textId="77777777" w:rsidR="005B34DD" w:rsidRPr="00460914" w:rsidRDefault="003F58E7" w:rsidP="003E3B1D">
      <w:pPr>
        <w:pStyle w:val="ListParagraph"/>
        <w:numPr>
          <w:ilvl w:val="0"/>
          <w:numId w:val="82"/>
        </w:numPr>
      </w:pPr>
      <w:r>
        <w:t xml:space="preserve">an in vivo study, </w:t>
      </w:r>
      <w:r w:rsidR="005B34DD" w:rsidRPr="00460914">
        <w:t xml:space="preserve">conducted following </w:t>
      </w:r>
      <w:r>
        <w:t>an acceptable test guideline for eye irritation,</w:t>
      </w:r>
      <w:r w:rsidR="00BA0DD7">
        <w:t xml:space="preserve"> </w:t>
      </w:r>
      <w:r w:rsidR="005B34DD" w:rsidRPr="00460914">
        <w:t>results in overt signs of systemic toxicity or mortality, which is likely to be attributed to absorption of the chemical through the mucous membranes of the eye,</w:t>
      </w:r>
      <w:r w:rsidR="00BA0DD7">
        <w:t xml:space="preserve"> </w:t>
      </w:r>
      <w:r w:rsidR="005B34DD" w:rsidRPr="00460914">
        <w:t>with the chemical classified with the non-G</w:t>
      </w:r>
      <w:r w:rsidR="005B34DD">
        <w:t>HS hazard statement – AUH070.</w:t>
      </w:r>
    </w:p>
    <w:p w14:paraId="25E35480" w14:textId="77777777" w:rsidR="003E7D67" w:rsidRDefault="006C2ED3" w:rsidP="00BC19DE">
      <w:pPr>
        <w:pStyle w:val="Heading3"/>
        <w:ind w:left="709"/>
      </w:pPr>
      <w:r>
        <w:t>Section 30</w:t>
      </w:r>
      <w:r w:rsidR="003E7D67">
        <w:t xml:space="preserve"> of the </w:t>
      </w:r>
      <w:r w:rsidR="009547E9">
        <w:t>IC General Rules</w:t>
      </w:r>
      <w:r w:rsidR="003E7D67">
        <w:t xml:space="preserve"> - Information required to demonstrate the absence of hazard characteristics  </w:t>
      </w:r>
    </w:p>
    <w:p w14:paraId="1D2D7E1B" w14:textId="77777777" w:rsidR="003E7D67" w:rsidRDefault="003E7D67" w:rsidP="00BC19DE">
      <w:r>
        <w:t xml:space="preserve">For the purposes of </w:t>
      </w:r>
      <w:r w:rsidR="00AF2E25">
        <w:t>sub</w:t>
      </w:r>
      <w:r w:rsidR="006A479D">
        <w:t>paragraph</w:t>
      </w:r>
      <w:r w:rsidR="00AF2E25">
        <w:t xml:space="preserve"> 30(2)(c)(iv) of the IC General Rules</w:t>
      </w:r>
      <w:r>
        <w:t>:</w:t>
      </w:r>
    </w:p>
    <w:p w14:paraId="754B9B59" w14:textId="77777777" w:rsidR="004A4BD0" w:rsidRDefault="00E75166" w:rsidP="003E3B1D">
      <w:pPr>
        <w:pStyle w:val="ListParagraph"/>
        <w:numPr>
          <w:ilvl w:val="0"/>
          <w:numId w:val="83"/>
        </w:numPr>
      </w:pPr>
      <w:r>
        <w:t>t</w:t>
      </w:r>
      <w:r w:rsidR="002122A7">
        <w:t xml:space="preserve">here are no information requirements to demonstrate the absence of the hazard characteristic, </w:t>
      </w:r>
      <w:r w:rsidR="002122A7" w:rsidRPr="004932E9">
        <w:rPr>
          <w:b/>
        </w:rPr>
        <w:t>acute toxicity (fatal or toxic)</w:t>
      </w:r>
      <w:r w:rsidR="002122A7">
        <w:t>, i</w:t>
      </w:r>
      <w:r w:rsidR="00A43AA6">
        <w:t xml:space="preserve">f the chemical is corrosive to the skin (GHS category 1), or likely to be corrosive to the skin (that is, the chemical </w:t>
      </w:r>
      <w:r w:rsidR="00A43AA6" w:rsidRPr="007361B0">
        <w:t xml:space="preserve">is a strong acid (pH ≤ 2.0) or base (pH ≥ 11.5), </w:t>
      </w:r>
      <w:r w:rsidR="00A43AA6">
        <w:t>and has</w:t>
      </w:r>
      <w:r w:rsidR="00A43AA6" w:rsidRPr="007361B0">
        <w:t xml:space="preserve"> high buffering capacity (if relevant)</w:t>
      </w:r>
      <w:r w:rsidR="00A43AA6">
        <w:t>)</w:t>
      </w:r>
      <w:r w:rsidR="002122A7">
        <w:t xml:space="preserve">, </w:t>
      </w:r>
      <w:r w:rsidR="00A43AA6">
        <w:t>as the in vivo tests cannot be conducted</w:t>
      </w:r>
    </w:p>
    <w:p w14:paraId="70939D1A" w14:textId="77777777" w:rsidR="003356CA" w:rsidRDefault="00E75166" w:rsidP="003E3B1D">
      <w:pPr>
        <w:pStyle w:val="ListParagraph"/>
        <w:numPr>
          <w:ilvl w:val="0"/>
          <w:numId w:val="83"/>
        </w:numPr>
      </w:pPr>
      <w:r>
        <w:t>i</w:t>
      </w:r>
      <w:r w:rsidR="003356CA">
        <w:t>f the chemical is for end use in a personal vaporiser</w:t>
      </w:r>
      <w:r w:rsidR="008664DF">
        <w:t xml:space="preserve"> - </w:t>
      </w:r>
      <w:r w:rsidR="003356CA" w:rsidRPr="003C724E">
        <w:t>the information req</w:t>
      </w:r>
      <w:r w:rsidR="003356CA">
        <w:t xml:space="preserve">uired to </w:t>
      </w:r>
      <w:r w:rsidR="00EF5B99">
        <w:t>demonstrate</w:t>
      </w:r>
      <w:r w:rsidR="003356CA">
        <w:t xml:space="preserve"> that the</w:t>
      </w:r>
      <w:r w:rsidR="003356CA" w:rsidRPr="003C724E">
        <w:t xml:space="preserve"> chemical does not have the hazard characteristic</w:t>
      </w:r>
      <w:r w:rsidR="003356CA">
        <w:t xml:space="preserve">, </w:t>
      </w:r>
      <w:r w:rsidR="003356CA" w:rsidRPr="00E75166">
        <w:rPr>
          <w:b/>
        </w:rPr>
        <w:t>acute toxicity (fatal or toxic)</w:t>
      </w:r>
      <w:r w:rsidR="003356CA">
        <w:t>, is a test result from at</w:t>
      </w:r>
      <w:r w:rsidR="003356CA" w:rsidRPr="003C724E">
        <w:t xml:space="preserve"> least one</w:t>
      </w:r>
      <w:r w:rsidR="003356CA">
        <w:t xml:space="preserve"> </w:t>
      </w:r>
      <w:r w:rsidR="003356CA" w:rsidRPr="00460914">
        <w:t xml:space="preserve">in vivo </w:t>
      </w:r>
      <w:r w:rsidR="003356CA">
        <w:t>study</w:t>
      </w:r>
      <w:r w:rsidR="003356CA" w:rsidRPr="00460914">
        <w:t xml:space="preserve"> on the chemical or from suitable read-across information, conducted following </w:t>
      </w:r>
      <w:r w:rsidR="008664DF">
        <w:t>an acceptable test guideline for acute inhalation toxicity with an LC50</w:t>
      </w:r>
      <w:r w:rsidR="004A4BD0">
        <w:t>:</w:t>
      </w:r>
    </w:p>
    <w:p w14:paraId="69FEE91A" w14:textId="77777777" w:rsidR="004A4BD0" w:rsidRDefault="004A4BD0" w:rsidP="003E3B1D">
      <w:pPr>
        <w:pStyle w:val="ListParagraph"/>
        <w:numPr>
          <w:ilvl w:val="1"/>
          <w:numId w:val="83"/>
        </w:numPr>
      </w:pPr>
      <w:r w:rsidRPr="00460914">
        <w:t>for gases</w:t>
      </w:r>
      <w:r w:rsidRPr="00460914" w:rsidDel="008664DF">
        <w:t xml:space="preserve"> </w:t>
      </w:r>
      <w:r>
        <w:t xml:space="preserve">-  </w:t>
      </w:r>
      <w:r w:rsidRPr="00460914">
        <w:t>&gt;2,500 ppmV</w:t>
      </w:r>
      <w:r>
        <w:t>/4h</w:t>
      </w:r>
      <w:r w:rsidR="0078284B">
        <w:t>,</w:t>
      </w:r>
      <w:r w:rsidRPr="00460914">
        <w:t xml:space="preserve"> or </w:t>
      </w:r>
    </w:p>
    <w:p w14:paraId="7341719E" w14:textId="77777777" w:rsidR="004A4BD0" w:rsidRDefault="004A4BD0" w:rsidP="003E3B1D">
      <w:pPr>
        <w:pStyle w:val="ListParagraph"/>
        <w:numPr>
          <w:ilvl w:val="1"/>
          <w:numId w:val="83"/>
        </w:numPr>
      </w:pPr>
      <w:r w:rsidRPr="00460914">
        <w:t xml:space="preserve">for vapours </w:t>
      </w:r>
      <w:r>
        <w:t xml:space="preserve">- </w:t>
      </w:r>
      <w:r w:rsidRPr="00460914">
        <w:t>&gt;10 mg/L</w:t>
      </w:r>
      <w:r>
        <w:t>/4h</w:t>
      </w:r>
      <w:r w:rsidR="0078284B">
        <w:t>,</w:t>
      </w:r>
      <w:r w:rsidRPr="00460914">
        <w:t xml:space="preserve"> or </w:t>
      </w:r>
    </w:p>
    <w:p w14:paraId="30B0BF2C" w14:textId="77777777" w:rsidR="003356CA" w:rsidRDefault="004A4BD0" w:rsidP="003E3B1D">
      <w:pPr>
        <w:pStyle w:val="ListParagraph"/>
        <w:numPr>
          <w:ilvl w:val="1"/>
          <w:numId w:val="83"/>
        </w:numPr>
      </w:pPr>
      <w:r w:rsidRPr="00460914">
        <w:t xml:space="preserve">for dusts/mists/fumes </w:t>
      </w:r>
      <w:r>
        <w:t xml:space="preserve">- </w:t>
      </w:r>
      <w:r w:rsidRPr="00460914">
        <w:t>&gt;1 mg/L</w:t>
      </w:r>
      <w:r>
        <w:t>/4h</w:t>
      </w:r>
      <w:r w:rsidR="00555E6A">
        <w:t>, or</w:t>
      </w:r>
    </w:p>
    <w:p w14:paraId="07A2CFBB" w14:textId="77777777" w:rsidR="0037103E" w:rsidRDefault="0078284B" w:rsidP="003E3B1D">
      <w:pPr>
        <w:pStyle w:val="ListParagraph"/>
        <w:numPr>
          <w:ilvl w:val="0"/>
          <w:numId w:val="83"/>
        </w:numPr>
      </w:pPr>
      <w:r>
        <w:t>o</w:t>
      </w:r>
      <w:r w:rsidR="0037103E">
        <w:t xml:space="preserve">therwise, the information required to </w:t>
      </w:r>
      <w:r w:rsidR="00EF5B99">
        <w:t>demonstrate</w:t>
      </w:r>
      <w:r w:rsidR="0037103E">
        <w:t xml:space="preserve"> that a chemical does not have the hazard characteristic, </w:t>
      </w:r>
      <w:r w:rsidR="00867CAD" w:rsidRPr="004F1557">
        <w:rPr>
          <w:b/>
        </w:rPr>
        <w:t>acute toxicity (fatal or toxic)</w:t>
      </w:r>
      <w:r w:rsidR="0037103E">
        <w:t>, is at least one of</w:t>
      </w:r>
      <w:r w:rsidR="00867CAD">
        <w:t xml:space="preserve"> the following</w:t>
      </w:r>
      <w:r w:rsidR="0037103E">
        <w:t>:</w:t>
      </w:r>
    </w:p>
    <w:p w14:paraId="0C07FD1F" w14:textId="77777777" w:rsidR="008664DF" w:rsidRDefault="001721E4" w:rsidP="003E3B1D">
      <w:pPr>
        <w:pStyle w:val="ListParagraph"/>
        <w:numPr>
          <w:ilvl w:val="1"/>
          <w:numId w:val="83"/>
        </w:numPr>
      </w:pPr>
      <w:r>
        <w:t>i</w:t>
      </w:r>
      <w:r w:rsidR="008664DF">
        <w:t>f the human health exposure band for the introduction is 3 - both of the following:</w:t>
      </w:r>
    </w:p>
    <w:p w14:paraId="29864CFA" w14:textId="77777777" w:rsidR="008664DF" w:rsidRDefault="001721E4" w:rsidP="003E3B1D">
      <w:pPr>
        <w:pStyle w:val="ListParagraph"/>
        <w:numPr>
          <w:ilvl w:val="2"/>
          <w:numId w:val="83"/>
        </w:numPr>
      </w:pPr>
      <w:r>
        <w:t>a</w:t>
      </w:r>
      <w:r w:rsidR="008664DF">
        <w:t xml:space="preserve"> suitable in silico prediction for acute toxicity (LD50) of the chemical of &gt;2,000 mg/kg bw/day, and</w:t>
      </w:r>
    </w:p>
    <w:p w14:paraId="2043EDEF" w14:textId="77777777" w:rsidR="008664DF" w:rsidRDefault="001721E4" w:rsidP="003E3B1D">
      <w:pPr>
        <w:pStyle w:val="ListParagraph"/>
        <w:numPr>
          <w:ilvl w:val="2"/>
          <w:numId w:val="83"/>
        </w:numPr>
      </w:pPr>
      <w:r>
        <w:t>t</w:t>
      </w:r>
      <w:r w:rsidR="008664DF">
        <w:t>est results from an in vitro study on the chemical or from suitable read across information for acute toxicity (LD50), conducted following an acceptable test guideline</w:t>
      </w:r>
      <w:r w:rsidR="00062A57">
        <w:t xml:space="preserve"> for acute oral toxicity</w:t>
      </w:r>
      <w:r w:rsidR="008664DF">
        <w:t>, of &gt; 300 mg/kg bw</w:t>
      </w:r>
      <w:r w:rsidR="00AF2E25">
        <w:t xml:space="preserve">, </w:t>
      </w:r>
      <w:r w:rsidR="008664DF">
        <w:t xml:space="preserve"> or</w:t>
      </w:r>
    </w:p>
    <w:p w14:paraId="690BBEDE" w14:textId="77777777" w:rsidR="00867CAD" w:rsidRDefault="001721E4" w:rsidP="003E3B1D">
      <w:pPr>
        <w:pStyle w:val="ListParagraph"/>
        <w:numPr>
          <w:ilvl w:val="1"/>
          <w:numId w:val="83"/>
        </w:numPr>
      </w:pPr>
      <w:r>
        <w:t>i</w:t>
      </w:r>
      <w:r w:rsidR="00867CAD">
        <w:t xml:space="preserve">nformation that </w:t>
      </w:r>
      <w:r w:rsidR="00EF5B99">
        <w:t>demonstrates</w:t>
      </w:r>
      <w:r w:rsidR="00867CAD">
        <w:t xml:space="preserve"> that the chemical is a high molecular weight polymer that has:</w:t>
      </w:r>
    </w:p>
    <w:p w14:paraId="02A62AB6" w14:textId="77777777" w:rsidR="00867CAD" w:rsidRDefault="00867CAD" w:rsidP="003E3B1D">
      <w:pPr>
        <w:pStyle w:val="ListParagraph"/>
        <w:numPr>
          <w:ilvl w:val="2"/>
          <w:numId w:val="83"/>
        </w:numPr>
      </w:pPr>
      <w:r>
        <w:t>&lt; 5% by mass of molecules with molecular weight &lt; 1,000 g/mol, and</w:t>
      </w:r>
    </w:p>
    <w:p w14:paraId="3BC13659" w14:textId="77777777" w:rsidR="00867CAD" w:rsidRDefault="00867CAD" w:rsidP="003E3B1D">
      <w:pPr>
        <w:pStyle w:val="ListParagraph"/>
        <w:numPr>
          <w:ilvl w:val="2"/>
          <w:numId w:val="83"/>
        </w:numPr>
      </w:pPr>
      <w:r>
        <w:t>&lt; 2% by mass of molecules with molecular weight &lt; 500 g/mol</w:t>
      </w:r>
      <w:r w:rsidR="004A4BD0">
        <w:t>, or</w:t>
      </w:r>
      <w:r>
        <w:t xml:space="preserve"> </w:t>
      </w:r>
    </w:p>
    <w:p w14:paraId="7E4ED0F1" w14:textId="77777777" w:rsidR="002D11F1" w:rsidRDefault="00BE68D5" w:rsidP="003E3B1D">
      <w:pPr>
        <w:pStyle w:val="ListParagraph"/>
        <w:numPr>
          <w:ilvl w:val="1"/>
          <w:numId w:val="83"/>
        </w:numPr>
      </w:pPr>
      <w:r>
        <w:t>i</w:t>
      </w:r>
      <w:r w:rsidR="002D11F1" w:rsidRPr="00332C64">
        <w:t xml:space="preserve">nclusion of the chemical in the </w:t>
      </w:r>
      <w:r w:rsidR="002D11F1">
        <w:t xml:space="preserve">Select Committee on </w:t>
      </w:r>
      <w:r w:rsidR="002D11F1" w:rsidRPr="00332C64">
        <w:t xml:space="preserve">GRAS </w:t>
      </w:r>
      <w:r w:rsidR="002D11F1">
        <w:t xml:space="preserve">Substances (SCOGS) Database </w:t>
      </w:r>
      <w:r w:rsidR="002D11F1" w:rsidRPr="00332C64">
        <w:t xml:space="preserve">as a Type 1 conclusion, </w:t>
      </w:r>
      <w:r w:rsidR="002D11F1">
        <w:t xml:space="preserve">as long as the human health </w:t>
      </w:r>
      <w:r w:rsidR="002D11F1">
        <w:lastRenderedPageBreak/>
        <w:t xml:space="preserve">exposure expected from the industrial use of the chemical is no higher than the human health exposure expected from food use, </w:t>
      </w:r>
      <w:r w:rsidR="002D11F1" w:rsidRPr="00332C64">
        <w:t>or</w:t>
      </w:r>
    </w:p>
    <w:p w14:paraId="30B2B1E0" w14:textId="77777777" w:rsidR="002D11F1" w:rsidRDefault="00F07CD2" w:rsidP="003E3B1D">
      <w:pPr>
        <w:pStyle w:val="ListParagraph"/>
        <w:numPr>
          <w:ilvl w:val="1"/>
          <w:numId w:val="83"/>
        </w:numPr>
      </w:pPr>
      <w:r>
        <w:t>t</w:t>
      </w:r>
      <w:r w:rsidR="002D11F1">
        <w:t>he chemical has been notified to the US FDA GRAS notification program and FDA had no questions about the notifier’s conclusion of GRAS status, as long as the human health exposure expected from the industrial use of the chemical is no higher than the human health exposure expected from food use, or</w:t>
      </w:r>
    </w:p>
    <w:p w14:paraId="525EAFD2" w14:textId="77777777" w:rsidR="00E018AC" w:rsidRPr="00332C64" w:rsidRDefault="00BE68D5" w:rsidP="003E3B1D">
      <w:pPr>
        <w:pStyle w:val="ListParagraph"/>
        <w:numPr>
          <w:ilvl w:val="1"/>
          <w:numId w:val="83"/>
        </w:numPr>
      </w:pPr>
      <w:r>
        <w:t>t</w:t>
      </w:r>
      <w:r w:rsidR="00F6642B">
        <w:t xml:space="preserve">he chemical is permitted to be used as a food additive according to </w:t>
      </w:r>
      <w:r w:rsidR="00E018AC">
        <w:t xml:space="preserve">Schedule 15 of the </w:t>
      </w:r>
      <w:r w:rsidR="00E018AC" w:rsidRPr="00BC19DE">
        <w:rPr>
          <w:i/>
        </w:rPr>
        <w:t>Australia New Zealand Food Standards Code - Standard 1.3.1 - Food Additives</w:t>
      </w:r>
      <w:r w:rsidR="00E018AC">
        <w:t>,</w:t>
      </w:r>
      <w:r w:rsidR="00E018AC" w:rsidRPr="00E018AC">
        <w:t xml:space="preserve"> </w:t>
      </w:r>
      <w:r w:rsidR="00E018AC">
        <w:t>as long as the human health exposure expected from the industrial use of the chemical is no higher than the human health exposure expected from food use, or</w:t>
      </w:r>
    </w:p>
    <w:p w14:paraId="158BF624" w14:textId="77777777" w:rsidR="00C32F6C" w:rsidRDefault="00BE68D5" w:rsidP="003E3B1D">
      <w:pPr>
        <w:pStyle w:val="ListParagraph"/>
        <w:numPr>
          <w:ilvl w:val="1"/>
          <w:numId w:val="83"/>
        </w:numPr>
      </w:pPr>
      <w:r>
        <w:t>i</w:t>
      </w:r>
      <w:r w:rsidR="00C32F6C">
        <w:t xml:space="preserve">nformation that </w:t>
      </w:r>
      <w:r w:rsidR="00EF5B99">
        <w:t>demonstrates</w:t>
      </w:r>
      <w:r w:rsidR="00C32F6C">
        <w:t xml:space="preserve"> that the chemical is a substanc</w:t>
      </w:r>
      <w:r w:rsidR="00F07CD2">
        <w:t>e covered by Entry 9 of Annex V</w:t>
      </w:r>
      <w:r w:rsidR="00C32F6C">
        <w:t xml:space="preserve"> </w:t>
      </w:r>
      <w:r w:rsidR="00212324">
        <w:t xml:space="preserve">of </w:t>
      </w:r>
      <w:r w:rsidR="003356CA">
        <w:t>the REACH</w:t>
      </w:r>
      <w:r w:rsidR="005E3028">
        <w:t xml:space="preserve"> Regulation</w:t>
      </w:r>
      <w:r w:rsidR="00F6642B">
        <w:t>, or</w:t>
      </w:r>
    </w:p>
    <w:p w14:paraId="356E774E" w14:textId="77777777" w:rsidR="009C49EA" w:rsidRDefault="00BE68D5" w:rsidP="003E3B1D">
      <w:pPr>
        <w:pStyle w:val="ListParagraph"/>
        <w:numPr>
          <w:ilvl w:val="1"/>
          <w:numId w:val="83"/>
        </w:numPr>
      </w:pPr>
      <w:r>
        <w:t>a</w:t>
      </w:r>
      <w:r w:rsidR="009C49EA">
        <w:t xml:space="preserve"> test result from at least one in vivo study on the chemical or from suitable read across information</w:t>
      </w:r>
      <w:r w:rsidR="009C49EA" w:rsidRPr="004F090A">
        <w:t xml:space="preserve">, </w:t>
      </w:r>
      <w:r w:rsidR="009C49EA">
        <w:t xml:space="preserve">as detailed below, </w:t>
      </w:r>
      <w:r w:rsidR="009C49EA" w:rsidRPr="004F090A">
        <w:t>with the administration route dependent on the most relevant route of exposure (or the oral route if information on the most relevant route is not available)</w:t>
      </w:r>
      <w:r w:rsidR="009C49EA">
        <w:t>:</w:t>
      </w:r>
    </w:p>
    <w:p w14:paraId="69E3B5F6" w14:textId="77777777" w:rsidR="00BC19DE" w:rsidRDefault="00867CAD" w:rsidP="003E3B1D">
      <w:pPr>
        <w:pStyle w:val="ListParagraph"/>
        <w:numPr>
          <w:ilvl w:val="2"/>
          <w:numId w:val="83"/>
        </w:numPr>
      </w:pPr>
      <w:r w:rsidRPr="00460914">
        <w:t xml:space="preserve">conducted following </w:t>
      </w:r>
      <w:r w:rsidR="008664DF">
        <w:t>an acceptable test guideline for acute oral toxicity with an LD50</w:t>
      </w:r>
      <w:r w:rsidRPr="00460914">
        <w:t xml:space="preserve"> &gt;300 mg/kg bw, or</w:t>
      </w:r>
    </w:p>
    <w:p w14:paraId="5FC89B45" w14:textId="77777777" w:rsidR="00867CAD" w:rsidRDefault="00867CAD" w:rsidP="003E3B1D">
      <w:pPr>
        <w:pStyle w:val="ListParagraph"/>
        <w:numPr>
          <w:ilvl w:val="2"/>
          <w:numId w:val="83"/>
        </w:numPr>
      </w:pPr>
      <w:r w:rsidRPr="00460914">
        <w:t xml:space="preserve">conducted following </w:t>
      </w:r>
      <w:r w:rsidR="008664DF">
        <w:t>an acceptable test guideline for acute dermal toxicity with an LD50</w:t>
      </w:r>
      <w:r w:rsidRPr="00460914">
        <w:t xml:space="preserve"> &gt;1,000 mg/kg bw, or</w:t>
      </w:r>
    </w:p>
    <w:p w14:paraId="2DF99E67" w14:textId="77777777" w:rsidR="006C72A7" w:rsidRDefault="00867CAD" w:rsidP="003E3B1D">
      <w:pPr>
        <w:pStyle w:val="ListParagraph"/>
        <w:numPr>
          <w:ilvl w:val="2"/>
          <w:numId w:val="83"/>
        </w:numPr>
      </w:pPr>
      <w:r w:rsidRPr="00460914">
        <w:t xml:space="preserve">conducted following </w:t>
      </w:r>
      <w:r w:rsidR="008664DF">
        <w:t>an acceptable test guideline for acute inhalation toxicity, with an LC50</w:t>
      </w:r>
      <w:r w:rsidR="006C72A7">
        <w:t>:</w:t>
      </w:r>
    </w:p>
    <w:p w14:paraId="5C3EA451" w14:textId="77777777" w:rsidR="006C72A7" w:rsidRDefault="006C72A7" w:rsidP="003E3B1D">
      <w:pPr>
        <w:pStyle w:val="ListParagraph"/>
        <w:numPr>
          <w:ilvl w:val="3"/>
          <w:numId w:val="83"/>
        </w:numPr>
      </w:pPr>
      <w:r w:rsidRPr="00460914">
        <w:t>for gases</w:t>
      </w:r>
      <w:r w:rsidRPr="00460914" w:rsidDel="008664DF">
        <w:t xml:space="preserve"> </w:t>
      </w:r>
      <w:r>
        <w:t xml:space="preserve">- </w:t>
      </w:r>
      <w:r w:rsidR="008664DF">
        <w:t xml:space="preserve"> </w:t>
      </w:r>
      <w:r w:rsidR="00867CAD" w:rsidRPr="00460914">
        <w:t>&gt;2,500 ppmV</w:t>
      </w:r>
      <w:r w:rsidR="005831BA">
        <w:t>/4h</w:t>
      </w:r>
      <w:r w:rsidR="00BE68D5">
        <w:t>,</w:t>
      </w:r>
      <w:r w:rsidR="00867CAD" w:rsidRPr="00460914">
        <w:t xml:space="preserve"> or </w:t>
      </w:r>
    </w:p>
    <w:p w14:paraId="6A329B87" w14:textId="77777777" w:rsidR="00A05A19" w:rsidRDefault="006C72A7" w:rsidP="003E3B1D">
      <w:pPr>
        <w:pStyle w:val="ListParagraph"/>
        <w:numPr>
          <w:ilvl w:val="3"/>
          <w:numId w:val="83"/>
        </w:numPr>
      </w:pPr>
      <w:r w:rsidRPr="00460914">
        <w:t xml:space="preserve">for vapours </w:t>
      </w:r>
      <w:r>
        <w:t xml:space="preserve">- </w:t>
      </w:r>
      <w:r w:rsidR="00867CAD" w:rsidRPr="00460914">
        <w:t>&gt;10 mg/L</w:t>
      </w:r>
      <w:r w:rsidR="005831BA">
        <w:t>/4h</w:t>
      </w:r>
      <w:r w:rsidR="00BE68D5">
        <w:t>,</w:t>
      </w:r>
      <w:r w:rsidR="00867CAD" w:rsidRPr="00460914">
        <w:t xml:space="preserve"> or </w:t>
      </w:r>
    </w:p>
    <w:p w14:paraId="32857DA9" w14:textId="77777777" w:rsidR="00867CAD" w:rsidRDefault="00A05A19" w:rsidP="003E3B1D">
      <w:pPr>
        <w:pStyle w:val="ListParagraph"/>
        <w:numPr>
          <w:ilvl w:val="3"/>
          <w:numId w:val="83"/>
        </w:numPr>
      </w:pPr>
      <w:r w:rsidRPr="00460914">
        <w:t xml:space="preserve">for dusts/mists/fumes </w:t>
      </w:r>
      <w:r>
        <w:t xml:space="preserve">- </w:t>
      </w:r>
      <w:r w:rsidR="00867CAD" w:rsidRPr="00460914">
        <w:t>&gt;1 mg/L</w:t>
      </w:r>
      <w:r w:rsidR="005831BA">
        <w:t>/4h</w:t>
      </w:r>
      <w:r w:rsidR="00377C00">
        <w:t>, or</w:t>
      </w:r>
    </w:p>
    <w:p w14:paraId="46327A49" w14:textId="77777777" w:rsidR="003356CA" w:rsidRDefault="00BE68D5" w:rsidP="003E3B1D">
      <w:pPr>
        <w:pStyle w:val="ListParagraph"/>
        <w:numPr>
          <w:ilvl w:val="1"/>
          <w:numId w:val="83"/>
        </w:numPr>
      </w:pPr>
      <w:r>
        <w:t>t</w:t>
      </w:r>
      <w:r w:rsidR="003356CA">
        <w:t>est results from an in vivo study via the oral route on the chemical or from suitable read across information, conducted following an acceptable test guideline</w:t>
      </w:r>
      <w:r w:rsidR="00422FCC">
        <w:t xml:space="preserve"> for subacute oral toxicity</w:t>
      </w:r>
      <w:r w:rsidR="003356CA">
        <w:t xml:space="preserve">, with a NOAEL </w:t>
      </w:r>
      <w:r w:rsidR="003356CA" w:rsidRPr="00BC19DE">
        <w:rPr>
          <w:rFonts w:cs="Segoe UI"/>
        </w:rPr>
        <w:t>≥</w:t>
      </w:r>
      <w:r w:rsidR="003356CA">
        <w:t xml:space="preserve"> 1,000 mg/kg bw/day</w:t>
      </w:r>
      <w:r w:rsidR="00377C00">
        <w:t>.</w:t>
      </w:r>
    </w:p>
    <w:p w14:paraId="198A1DB6" w14:textId="77777777" w:rsidR="003E7D67" w:rsidRDefault="003E7D67" w:rsidP="00432D25"/>
    <w:p w14:paraId="62A284C4" w14:textId="77777777" w:rsidR="003E7D67" w:rsidRDefault="003E7D67" w:rsidP="003E7D67">
      <w:pPr>
        <w:pStyle w:val="Heading2"/>
      </w:pPr>
      <w:bookmarkStart w:id="32" w:name="_Toc43890217"/>
      <w:r>
        <w:t>Specific target organ toxicity after repeated exposure – Human health hazard band B</w:t>
      </w:r>
      <w:bookmarkEnd w:id="32"/>
    </w:p>
    <w:p w14:paraId="0FCC2F25" w14:textId="77777777" w:rsidR="003E7D67" w:rsidRDefault="002511D2" w:rsidP="00EE3E3E">
      <w:pPr>
        <w:pStyle w:val="Heading3"/>
        <w:ind w:left="709"/>
      </w:pPr>
      <w:r>
        <w:t xml:space="preserve">Clause </w:t>
      </w:r>
      <w:r w:rsidR="003E7D67">
        <w:t xml:space="preserve">2 of Part 1, Schedule 1 </w:t>
      </w:r>
      <w:r w:rsidR="00BE68D5">
        <w:t xml:space="preserve">to </w:t>
      </w:r>
      <w:r w:rsidR="003E7D67">
        <w:t xml:space="preserve">the </w:t>
      </w:r>
      <w:r w:rsidR="009547E9">
        <w:t>IC General Rules</w:t>
      </w:r>
      <w:r w:rsidR="003E7D67">
        <w:t xml:space="preserve"> </w:t>
      </w:r>
    </w:p>
    <w:p w14:paraId="27394D0C" w14:textId="77777777" w:rsidR="003E7D67" w:rsidRDefault="003E7D67" w:rsidP="00EE3E3E">
      <w:r>
        <w:rPr>
          <w:lang w:eastAsia="en-AU"/>
        </w:rPr>
        <w:t xml:space="preserve">For the </w:t>
      </w:r>
      <w:r>
        <w:t>purposes of</w:t>
      </w:r>
      <w:r w:rsidR="00617515">
        <w:t xml:space="preserve"> table item 14</w:t>
      </w:r>
      <w:r>
        <w:t xml:space="preserve"> of </w:t>
      </w:r>
      <w:r w:rsidR="00BE68D5">
        <w:t xml:space="preserve">Clause 2, </w:t>
      </w:r>
      <w:r>
        <w:t xml:space="preserve">Part 1, Schedule 1 of </w:t>
      </w:r>
      <w:r w:rsidR="0062271E">
        <w:t>the IC General Rules</w:t>
      </w:r>
      <w:r>
        <w:t>:</w:t>
      </w:r>
    </w:p>
    <w:p w14:paraId="5C4D9E73" w14:textId="77777777" w:rsidR="003E7D67" w:rsidRDefault="00FC7141" w:rsidP="00EE3E3E">
      <w:r w:rsidRPr="00F41CA0">
        <w:rPr>
          <w:b/>
        </w:rPr>
        <w:t>Specific target organ toxicity after repeated exposure</w:t>
      </w:r>
      <w:r>
        <w:t xml:space="preserve"> means that any of the following apply to the industrial chemical</w:t>
      </w:r>
      <w:r w:rsidR="003E7D67">
        <w:t>:</w:t>
      </w:r>
    </w:p>
    <w:p w14:paraId="28C47A7F" w14:textId="77777777" w:rsidR="00FC7141" w:rsidRPr="00460914" w:rsidRDefault="00FC7141" w:rsidP="003E3B1D">
      <w:pPr>
        <w:pStyle w:val="ListParagraph"/>
        <w:numPr>
          <w:ilvl w:val="0"/>
          <w:numId w:val="84"/>
        </w:numPr>
      </w:pPr>
      <w:r w:rsidRPr="00460914">
        <w:t>the chemical is known to exhibit significant toxicity or be potentially harmful to human health following repeated exposure, as described in chapter 3.9 of the GHS, with the</w:t>
      </w:r>
      <w:r>
        <w:t xml:space="preserve"> chemical classified as </w:t>
      </w:r>
      <w:r w:rsidRPr="00460914">
        <w:t>specific target organ toxicity – repeated exposure (category 1 or 2)</w:t>
      </w:r>
      <w:r w:rsidR="00131209">
        <w:t>,</w:t>
      </w:r>
      <w:r w:rsidRPr="00460914">
        <w:t xml:space="preserve"> or</w:t>
      </w:r>
    </w:p>
    <w:p w14:paraId="149C1003" w14:textId="77777777" w:rsidR="00FC7141" w:rsidRPr="00460914" w:rsidRDefault="00FC7141" w:rsidP="003E3B1D">
      <w:pPr>
        <w:pStyle w:val="ListParagraph"/>
        <w:numPr>
          <w:ilvl w:val="0"/>
          <w:numId w:val="84"/>
        </w:numPr>
      </w:pPr>
      <w:r w:rsidRPr="00460914">
        <w:lastRenderedPageBreak/>
        <w:t>an in vivo study on the chemical:</w:t>
      </w:r>
    </w:p>
    <w:p w14:paraId="421F0D92" w14:textId="77777777" w:rsidR="00FC7141" w:rsidRPr="00460914" w:rsidRDefault="00FC7141" w:rsidP="003E3B1D">
      <w:pPr>
        <w:pStyle w:val="ListParagraph"/>
        <w:numPr>
          <w:ilvl w:val="1"/>
          <w:numId w:val="84"/>
        </w:numPr>
      </w:pPr>
      <w:r w:rsidRPr="00460914">
        <w:t xml:space="preserve">conducted following </w:t>
      </w:r>
      <w:r w:rsidR="00701B7D">
        <w:t>an acceptable test guideline for subacute oral toxicity</w:t>
      </w:r>
      <w:r w:rsidRPr="00460914">
        <w:t xml:space="preserve"> results in significant toxic effects of relevance to human health, as discussed in chapter 3.9 of the GHS, and a NOAEL (oral) value of &lt;300 mg/kg bw/day, or</w:t>
      </w:r>
    </w:p>
    <w:p w14:paraId="3C5862A5" w14:textId="77777777" w:rsidR="00FC7141" w:rsidRPr="00460914" w:rsidRDefault="00FC7141" w:rsidP="003E3B1D">
      <w:pPr>
        <w:pStyle w:val="ListParagraph"/>
        <w:numPr>
          <w:ilvl w:val="1"/>
          <w:numId w:val="84"/>
        </w:numPr>
      </w:pPr>
      <w:r w:rsidRPr="00460914">
        <w:t xml:space="preserve">conducted following </w:t>
      </w:r>
      <w:r w:rsidR="00701B7D">
        <w:t>an acceptable test guideline for subchronic oral toxicity</w:t>
      </w:r>
      <w:r w:rsidRPr="00460914">
        <w:t xml:space="preserve"> results in significant toxic effects of relevance to human health, as discussed in chapter 3.9 of the GHS, and a NOAEL (oral) of &lt;100 mg/kg bw/day, or</w:t>
      </w:r>
    </w:p>
    <w:p w14:paraId="25CD2E28" w14:textId="77777777" w:rsidR="00FC7141" w:rsidRPr="00460914" w:rsidRDefault="00FC7141" w:rsidP="003E3B1D">
      <w:pPr>
        <w:pStyle w:val="ListParagraph"/>
        <w:numPr>
          <w:ilvl w:val="1"/>
          <w:numId w:val="84"/>
        </w:numPr>
      </w:pPr>
      <w:r w:rsidRPr="00460914">
        <w:t xml:space="preserve">conducted following </w:t>
      </w:r>
      <w:r w:rsidR="00701B7D">
        <w:t>an acceptable test guideline for subacute dermal toxicity</w:t>
      </w:r>
      <w:r w:rsidRPr="00460914">
        <w:t xml:space="preserve"> results in significant toxic effects of relevance to human health, as discussed in chapter 3.9 of the GHS, and a NOAEL (dermal) value of &lt;600 mg/kg bw/day, or</w:t>
      </w:r>
    </w:p>
    <w:p w14:paraId="4B7082AE" w14:textId="77777777" w:rsidR="00FC7141" w:rsidRPr="00460914" w:rsidRDefault="00FC7141" w:rsidP="003E3B1D">
      <w:pPr>
        <w:pStyle w:val="ListParagraph"/>
        <w:numPr>
          <w:ilvl w:val="1"/>
          <w:numId w:val="84"/>
        </w:numPr>
      </w:pPr>
      <w:r w:rsidRPr="00460914">
        <w:t xml:space="preserve">conducted following </w:t>
      </w:r>
      <w:r w:rsidR="00701B7D">
        <w:t>an acceptable test guideline for subchronic dermal toxicity</w:t>
      </w:r>
      <w:r w:rsidRPr="00460914">
        <w:t xml:space="preserve"> results in significant toxic effects of relevance to human health, as discussed in chapter 3.9 of the GHS, and a NOAEL (dermal) of &lt;200 mg/kg bw/day, or</w:t>
      </w:r>
    </w:p>
    <w:p w14:paraId="3652385C" w14:textId="77777777" w:rsidR="000E4440" w:rsidRDefault="00FC7141" w:rsidP="003E3B1D">
      <w:pPr>
        <w:pStyle w:val="ListParagraph"/>
        <w:numPr>
          <w:ilvl w:val="1"/>
          <w:numId w:val="84"/>
        </w:numPr>
      </w:pPr>
      <w:r w:rsidRPr="00460914">
        <w:t xml:space="preserve">conducted following </w:t>
      </w:r>
      <w:r w:rsidR="00701B7D">
        <w:t>an acceptable test guideline for subacute inhalation toxicity</w:t>
      </w:r>
      <w:r w:rsidRPr="00460914">
        <w:t xml:space="preserve"> results in significant toxic effects of relevance to human health, as discussed in chapter 3.9 of the GHS, and a NOAEC (inhalation) of</w:t>
      </w:r>
      <w:r w:rsidR="000E4440">
        <w:t>:</w:t>
      </w:r>
    </w:p>
    <w:p w14:paraId="0B48F186" w14:textId="77777777" w:rsidR="000E4440" w:rsidRDefault="000E4440" w:rsidP="003E3B1D">
      <w:pPr>
        <w:pStyle w:val="ListParagraph"/>
        <w:numPr>
          <w:ilvl w:val="2"/>
          <w:numId w:val="84"/>
        </w:numPr>
      </w:pPr>
      <w:r w:rsidRPr="00460914">
        <w:t xml:space="preserve">for gases </w:t>
      </w:r>
      <w:r>
        <w:t xml:space="preserve">- </w:t>
      </w:r>
      <w:r w:rsidR="00FC7141" w:rsidRPr="00460914">
        <w:t>&lt;750 ppmV/6 h/day</w:t>
      </w:r>
      <w:r w:rsidR="00A63003">
        <w:t>,</w:t>
      </w:r>
      <w:r w:rsidR="00FC7141" w:rsidRPr="00460914">
        <w:t xml:space="preserve"> or</w:t>
      </w:r>
    </w:p>
    <w:p w14:paraId="08665BD4" w14:textId="77777777" w:rsidR="000E4440" w:rsidRDefault="000E4440" w:rsidP="003E3B1D">
      <w:pPr>
        <w:pStyle w:val="ListParagraph"/>
        <w:numPr>
          <w:ilvl w:val="2"/>
          <w:numId w:val="84"/>
        </w:numPr>
      </w:pPr>
      <w:r w:rsidRPr="00460914">
        <w:t>for vapours</w:t>
      </w:r>
      <w:r w:rsidR="00FC7141" w:rsidRPr="00460914">
        <w:t xml:space="preserve"> </w:t>
      </w:r>
      <w:r>
        <w:t xml:space="preserve">- </w:t>
      </w:r>
      <w:r w:rsidR="00FC7141" w:rsidRPr="00460914">
        <w:t>&lt;3 mg/L/6 h/day</w:t>
      </w:r>
      <w:r w:rsidR="00A63003">
        <w:t>,</w:t>
      </w:r>
      <w:r w:rsidR="00FC7141" w:rsidRPr="00460914">
        <w:t xml:space="preserve"> or</w:t>
      </w:r>
    </w:p>
    <w:p w14:paraId="59DD85B1" w14:textId="77777777" w:rsidR="00FC7141" w:rsidRPr="00460914" w:rsidRDefault="000E4440" w:rsidP="003E3B1D">
      <w:pPr>
        <w:pStyle w:val="ListParagraph"/>
        <w:numPr>
          <w:ilvl w:val="2"/>
          <w:numId w:val="84"/>
        </w:numPr>
      </w:pPr>
      <w:r w:rsidRPr="00460914">
        <w:t>for dusts/mists</w:t>
      </w:r>
      <w:r w:rsidR="006A6219">
        <w:t>/fumes</w:t>
      </w:r>
      <w:r w:rsidR="00FC7141" w:rsidRPr="00460914">
        <w:t xml:space="preserve"> &lt;0.6 mg/L</w:t>
      </w:r>
      <w:r w:rsidR="00A344BC">
        <w:t>/6 h/day</w:t>
      </w:r>
      <w:r w:rsidR="00FC7141" w:rsidRPr="00460914">
        <w:t>, or</w:t>
      </w:r>
    </w:p>
    <w:p w14:paraId="225EC18D" w14:textId="77777777" w:rsidR="006A6219" w:rsidRDefault="00FC7141" w:rsidP="003E3B1D">
      <w:pPr>
        <w:pStyle w:val="ListParagraph"/>
        <w:numPr>
          <w:ilvl w:val="1"/>
          <w:numId w:val="84"/>
        </w:numPr>
      </w:pPr>
      <w:r w:rsidRPr="00460914">
        <w:t xml:space="preserve">conducted following </w:t>
      </w:r>
      <w:r w:rsidR="00701B7D">
        <w:t>an acceptable test guideline for subchronic inhalation toxicity</w:t>
      </w:r>
      <w:r w:rsidRPr="00460914">
        <w:t xml:space="preserve"> results in significant toxic effects of relevance to human health, as discussed in chapter 3.9 of the GHS, and a NOAEC (inhalation) of</w:t>
      </w:r>
      <w:r w:rsidR="006A6219">
        <w:t>:</w:t>
      </w:r>
      <w:r w:rsidR="006A6219" w:rsidRPr="006A6219">
        <w:t xml:space="preserve"> </w:t>
      </w:r>
    </w:p>
    <w:p w14:paraId="2834076E" w14:textId="77777777" w:rsidR="006A6219" w:rsidRDefault="006A6219" w:rsidP="003E3B1D">
      <w:pPr>
        <w:pStyle w:val="ListParagraph"/>
        <w:numPr>
          <w:ilvl w:val="2"/>
          <w:numId w:val="84"/>
        </w:numPr>
        <w:ind w:left="2154" w:hanging="357"/>
      </w:pPr>
      <w:r w:rsidRPr="00460914">
        <w:t xml:space="preserve">for gases </w:t>
      </w:r>
      <w:r>
        <w:t xml:space="preserve">- </w:t>
      </w:r>
      <w:r w:rsidRPr="00460914">
        <w:t>&lt;</w:t>
      </w:r>
      <w:r>
        <w:t>2</w:t>
      </w:r>
      <w:r w:rsidRPr="00460914">
        <w:t>50 ppmV/6 h/day</w:t>
      </w:r>
      <w:r w:rsidR="00A63003">
        <w:t>,</w:t>
      </w:r>
      <w:r w:rsidRPr="00460914">
        <w:t xml:space="preserve"> or</w:t>
      </w:r>
    </w:p>
    <w:p w14:paraId="6F0DCC31" w14:textId="77777777" w:rsidR="006A6219" w:rsidRDefault="006A6219" w:rsidP="003E3B1D">
      <w:pPr>
        <w:pStyle w:val="ListParagraph"/>
        <w:numPr>
          <w:ilvl w:val="2"/>
          <w:numId w:val="84"/>
        </w:numPr>
      </w:pPr>
      <w:r w:rsidRPr="00460914">
        <w:t xml:space="preserve">for vapours </w:t>
      </w:r>
      <w:r>
        <w:t xml:space="preserve">- </w:t>
      </w:r>
      <w:r w:rsidRPr="00460914">
        <w:t>&lt;</w:t>
      </w:r>
      <w:r>
        <w:t>1</w:t>
      </w:r>
      <w:r w:rsidRPr="00460914">
        <w:t xml:space="preserve"> mg/L/6 h/day</w:t>
      </w:r>
      <w:r w:rsidR="00A63003">
        <w:t>,</w:t>
      </w:r>
      <w:r w:rsidRPr="00460914">
        <w:t xml:space="preserve"> or</w:t>
      </w:r>
    </w:p>
    <w:p w14:paraId="7F5F6DB5" w14:textId="77777777" w:rsidR="006A6219" w:rsidRPr="00460914" w:rsidRDefault="006A6219" w:rsidP="003E3B1D">
      <w:pPr>
        <w:pStyle w:val="ListParagraph"/>
        <w:numPr>
          <w:ilvl w:val="2"/>
          <w:numId w:val="84"/>
        </w:numPr>
      </w:pPr>
      <w:r w:rsidRPr="00460914">
        <w:t>for dusts/mists</w:t>
      </w:r>
      <w:r>
        <w:t>/fumes</w:t>
      </w:r>
      <w:r w:rsidRPr="00460914">
        <w:t xml:space="preserve"> &lt;0.</w:t>
      </w:r>
      <w:r>
        <w:t>2 mg/L</w:t>
      </w:r>
      <w:r w:rsidR="00A344BC">
        <w:t>/6 h/day</w:t>
      </w:r>
      <w:r>
        <w:t>.</w:t>
      </w:r>
    </w:p>
    <w:p w14:paraId="0B00A6FA" w14:textId="77777777" w:rsidR="003E7D67" w:rsidRDefault="00617515" w:rsidP="00EE3E3E">
      <w:pPr>
        <w:pStyle w:val="Heading3"/>
        <w:ind w:left="709"/>
      </w:pPr>
      <w:r>
        <w:t>Section 30</w:t>
      </w:r>
      <w:r w:rsidR="003E7D67">
        <w:t xml:space="preserve"> of the </w:t>
      </w:r>
      <w:r w:rsidR="009547E9">
        <w:t>IC General Rules</w:t>
      </w:r>
      <w:r w:rsidR="003E7D67">
        <w:t xml:space="preserve"> - Information required to demonstrate the absence of hazard characteristics  </w:t>
      </w:r>
    </w:p>
    <w:p w14:paraId="33127FCA" w14:textId="77777777" w:rsidR="00AA7769" w:rsidRDefault="003E7D67" w:rsidP="005F47E1">
      <w:r>
        <w:t xml:space="preserve">For the purposes of </w:t>
      </w:r>
      <w:r w:rsidR="00617515">
        <w:t>sub</w:t>
      </w:r>
      <w:r w:rsidR="000A01F8">
        <w:t>paragraph</w:t>
      </w:r>
      <w:r w:rsidR="00617515">
        <w:t xml:space="preserve"> 30(2)(c)(iv) of the IC General Rules</w:t>
      </w:r>
      <w:r w:rsidR="005F47E1">
        <w:t xml:space="preserve">, information is required to demonstrate the absence of the hazard characteristic, </w:t>
      </w:r>
      <w:r w:rsidR="005F47E1" w:rsidRPr="007C3C49">
        <w:rPr>
          <w:b/>
        </w:rPr>
        <w:t>specific target organ toxicity after repeated exposure</w:t>
      </w:r>
      <w:r w:rsidR="005F47E1">
        <w:t>, if</w:t>
      </w:r>
      <w:r w:rsidR="00AA7769">
        <w:t>:</w:t>
      </w:r>
    </w:p>
    <w:p w14:paraId="67BD4059" w14:textId="77777777" w:rsidR="00AA7769" w:rsidRDefault="005F47E1" w:rsidP="00AA7769">
      <w:pPr>
        <w:pStyle w:val="ListParagraph"/>
        <w:numPr>
          <w:ilvl w:val="0"/>
          <w:numId w:val="134"/>
        </w:numPr>
      </w:pPr>
      <w:r>
        <w:t>the human health exposure band for the introduction is 4</w:t>
      </w:r>
      <w:r w:rsidR="00AA7769">
        <w:t>,</w:t>
      </w:r>
      <w:r>
        <w:t xml:space="preserve"> and</w:t>
      </w:r>
    </w:p>
    <w:p w14:paraId="625A799C" w14:textId="77777777" w:rsidR="00AA7769" w:rsidRDefault="005F47E1" w:rsidP="00AA7769">
      <w:pPr>
        <w:pStyle w:val="ListParagraph"/>
        <w:numPr>
          <w:ilvl w:val="0"/>
          <w:numId w:val="134"/>
        </w:numPr>
      </w:pPr>
      <w:r>
        <w:t xml:space="preserve"> you are seeking to demonstrate that </w:t>
      </w:r>
      <w:r w:rsidR="00FE2F5A">
        <w:t>the</w:t>
      </w:r>
      <w:r>
        <w:t xml:space="preserve"> introduction meets the criteria for low risk or very low risk</w:t>
      </w:r>
      <w:r w:rsidR="00AA7769">
        <w:t>,</w:t>
      </w:r>
    </w:p>
    <w:p w14:paraId="43F8495C" w14:textId="77777777" w:rsidR="00767C62" w:rsidRDefault="005F47E1" w:rsidP="00AA7769">
      <w:r>
        <w:t xml:space="preserve"> and any of the following apply:</w:t>
      </w:r>
    </w:p>
    <w:p w14:paraId="272339A5" w14:textId="77777777" w:rsidR="004674A1" w:rsidRDefault="000E3B3D" w:rsidP="003E3B1D">
      <w:pPr>
        <w:pStyle w:val="ListParagraph"/>
        <w:numPr>
          <w:ilvl w:val="1"/>
          <w:numId w:val="123"/>
        </w:numPr>
        <w:spacing w:before="0" w:after="0"/>
        <w:ind w:left="284" w:hanging="284"/>
      </w:pPr>
      <w:r>
        <w:t>t</w:t>
      </w:r>
      <w:r w:rsidR="004674A1">
        <w:t>he human health categorisation volume for the introduction is &gt;100 kg and the chemical is introduced for end use in any of the following types of articles:</w:t>
      </w:r>
    </w:p>
    <w:p w14:paraId="0D674603" w14:textId="77777777" w:rsidR="004674A1" w:rsidRDefault="00B2161B" w:rsidP="003E3B1D">
      <w:pPr>
        <w:pStyle w:val="ListParagraph"/>
        <w:numPr>
          <w:ilvl w:val="2"/>
          <w:numId w:val="125"/>
        </w:numPr>
        <w:spacing w:before="0" w:after="0"/>
        <w:ind w:left="714" w:hanging="357"/>
      </w:pPr>
      <w:r>
        <w:t>f</w:t>
      </w:r>
      <w:r w:rsidR="004674A1">
        <w:t>ood contact</w:t>
      </w:r>
      <w:r w:rsidR="0065546F">
        <w:t>, or</w:t>
      </w:r>
    </w:p>
    <w:p w14:paraId="4DF5971D" w14:textId="77777777" w:rsidR="004674A1" w:rsidRDefault="00B2161B" w:rsidP="003E3B1D">
      <w:pPr>
        <w:pStyle w:val="ListParagraph"/>
        <w:numPr>
          <w:ilvl w:val="2"/>
          <w:numId w:val="125"/>
        </w:numPr>
        <w:spacing w:before="0" w:after="0"/>
        <w:ind w:left="714" w:hanging="357"/>
      </w:pPr>
      <w:r>
        <w:t>c</w:t>
      </w:r>
      <w:r w:rsidR="004674A1">
        <w:t>hildren’s toys that can be placed in the mouth</w:t>
      </w:r>
      <w:r w:rsidR="0065546F">
        <w:t>, or</w:t>
      </w:r>
    </w:p>
    <w:p w14:paraId="61B30BF3" w14:textId="77777777" w:rsidR="004674A1" w:rsidRDefault="00B2161B" w:rsidP="003E3B1D">
      <w:pPr>
        <w:pStyle w:val="ListParagraph"/>
        <w:numPr>
          <w:ilvl w:val="2"/>
          <w:numId w:val="125"/>
        </w:numPr>
        <w:spacing w:before="0" w:after="0"/>
        <w:ind w:left="714" w:hanging="357"/>
      </w:pPr>
      <w:r>
        <w:t>c</w:t>
      </w:r>
      <w:r w:rsidR="004674A1">
        <w:t>hildren’s care products that can be placed in the mouth</w:t>
      </w:r>
      <w:r w:rsidR="0065546F">
        <w:t>, or</w:t>
      </w:r>
    </w:p>
    <w:p w14:paraId="2CDE5001" w14:textId="77777777" w:rsidR="008702B6" w:rsidRDefault="008702B6" w:rsidP="008702B6">
      <w:pPr>
        <w:spacing w:before="0" w:after="0"/>
      </w:pPr>
    </w:p>
    <w:p w14:paraId="67B01153" w14:textId="77777777" w:rsidR="004674A1" w:rsidRDefault="000E3B3D" w:rsidP="003E3B1D">
      <w:pPr>
        <w:pStyle w:val="ListParagraph"/>
        <w:numPr>
          <w:ilvl w:val="1"/>
          <w:numId w:val="123"/>
        </w:numPr>
        <w:spacing w:before="0" w:after="0"/>
        <w:ind w:left="284" w:hanging="284"/>
      </w:pPr>
      <w:r>
        <w:lastRenderedPageBreak/>
        <w:t>t</w:t>
      </w:r>
      <w:r w:rsidR="004674A1">
        <w:t>he human health categorisation volume for the introduction is &gt;1000 kg and the chemical is not introduced for end use in any of the following types of articles:</w:t>
      </w:r>
    </w:p>
    <w:p w14:paraId="68958A9F" w14:textId="77777777" w:rsidR="004674A1" w:rsidRDefault="00061E17" w:rsidP="003E3B1D">
      <w:pPr>
        <w:pStyle w:val="ListParagraph"/>
        <w:numPr>
          <w:ilvl w:val="1"/>
          <w:numId w:val="126"/>
        </w:numPr>
        <w:spacing w:before="0" w:after="0"/>
        <w:ind w:left="714" w:hanging="357"/>
      </w:pPr>
      <w:r>
        <w:t>f</w:t>
      </w:r>
      <w:r w:rsidR="004674A1">
        <w:t>ood contact</w:t>
      </w:r>
      <w:r w:rsidR="0065546F">
        <w:t>, or</w:t>
      </w:r>
    </w:p>
    <w:p w14:paraId="4BF3DE10" w14:textId="77777777" w:rsidR="004674A1" w:rsidRDefault="00061E17" w:rsidP="003E3B1D">
      <w:pPr>
        <w:pStyle w:val="ListParagraph"/>
        <w:numPr>
          <w:ilvl w:val="1"/>
          <w:numId w:val="126"/>
        </w:numPr>
        <w:spacing w:before="0" w:after="0"/>
        <w:ind w:left="714" w:hanging="357"/>
      </w:pPr>
      <w:r>
        <w:t>c</w:t>
      </w:r>
      <w:r w:rsidR="004674A1">
        <w:t>hildren’s toys that can be placed in the mouth</w:t>
      </w:r>
      <w:r w:rsidR="0065546F">
        <w:t>, or</w:t>
      </w:r>
    </w:p>
    <w:p w14:paraId="659ADFA8" w14:textId="77777777" w:rsidR="004674A1" w:rsidRDefault="00061E17" w:rsidP="003E3B1D">
      <w:pPr>
        <w:pStyle w:val="ListParagraph"/>
        <w:numPr>
          <w:ilvl w:val="1"/>
          <w:numId w:val="126"/>
        </w:numPr>
        <w:spacing w:before="0" w:after="0"/>
        <w:ind w:left="714" w:hanging="357"/>
      </w:pPr>
      <w:r>
        <w:t>c</w:t>
      </w:r>
      <w:r w:rsidR="004674A1">
        <w:t>hildren’s care products that can be placed in the mouth</w:t>
      </w:r>
      <w:r w:rsidR="0065546F">
        <w:t>, or</w:t>
      </w:r>
    </w:p>
    <w:p w14:paraId="018313B1" w14:textId="77777777" w:rsidR="008702B6" w:rsidRDefault="008702B6" w:rsidP="008702B6">
      <w:pPr>
        <w:spacing w:before="0" w:after="0"/>
      </w:pPr>
    </w:p>
    <w:p w14:paraId="1C9710BF" w14:textId="77777777" w:rsidR="004674A1" w:rsidRDefault="000E3B3D" w:rsidP="003E3B1D">
      <w:pPr>
        <w:pStyle w:val="ListParagraph"/>
        <w:numPr>
          <w:ilvl w:val="0"/>
          <w:numId w:val="124"/>
        </w:numPr>
        <w:spacing w:before="0" w:after="0"/>
        <w:ind w:left="284" w:hanging="284"/>
      </w:pPr>
      <w:r>
        <w:t>t</w:t>
      </w:r>
      <w:r w:rsidR="004674A1">
        <w:t>he chemical is for end use in a personal vaporiser</w:t>
      </w:r>
      <w:r w:rsidR="0065546F">
        <w:t>.</w:t>
      </w:r>
    </w:p>
    <w:p w14:paraId="6A6A1FA4" w14:textId="77777777" w:rsidR="004674A1" w:rsidRDefault="004674A1" w:rsidP="004674A1"/>
    <w:p w14:paraId="044CBB06" w14:textId="77777777" w:rsidR="00270AB1" w:rsidRDefault="00270AB1" w:rsidP="00270AB1">
      <w:pPr>
        <w:spacing w:before="0" w:after="0"/>
      </w:pPr>
      <w:r>
        <w:t xml:space="preserve">If 1 or 2 apply, the information required to </w:t>
      </w:r>
      <w:r w:rsidR="00EF5B99">
        <w:t>demonstrate</w:t>
      </w:r>
      <w:r>
        <w:t xml:space="preserve"> that a chemical does not have the hazard characteristic, </w:t>
      </w:r>
      <w:r w:rsidRPr="00C55A82">
        <w:rPr>
          <w:b/>
        </w:rPr>
        <w:t>specific target organ toxicity</w:t>
      </w:r>
      <w:r w:rsidRPr="00791709">
        <w:rPr>
          <w:b/>
        </w:rPr>
        <w:t xml:space="preserve"> after repeated exposure</w:t>
      </w:r>
      <w:r>
        <w:t>, is at least one of the following:</w:t>
      </w:r>
    </w:p>
    <w:p w14:paraId="0EAF8849" w14:textId="77777777" w:rsidR="00791709" w:rsidRDefault="00791709" w:rsidP="00270AB1">
      <w:pPr>
        <w:spacing w:before="0" w:after="0"/>
      </w:pPr>
    </w:p>
    <w:p w14:paraId="7F0C0759" w14:textId="77777777" w:rsidR="00D5123F" w:rsidRDefault="00791709" w:rsidP="003E3B1D">
      <w:pPr>
        <w:pStyle w:val="ListParagraph"/>
        <w:numPr>
          <w:ilvl w:val="1"/>
          <w:numId w:val="127"/>
        </w:numPr>
        <w:spacing w:before="0" w:after="0"/>
        <w:ind w:left="714" w:hanging="357"/>
      </w:pPr>
      <w:r>
        <w:t>i</w:t>
      </w:r>
      <w:r w:rsidR="00D5123F" w:rsidRPr="00332C64">
        <w:t xml:space="preserve">nclusion of the chemical in the </w:t>
      </w:r>
      <w:r w:rsidR="00D5123F">
        <w:t xml:space="preserve">Select Committee on </w:t>
      </w:r>
      <w:r w:rsidR="00D5123F" w:rsidRPr="00332C64">
        <w:t xml:space="preserve">GRAS </w:t>
      </w:r>
      <w:r w:rsidR="00D5123F">
        <w:t xml:space="preserve">Substances (SCOGS) Database </w:t>
      </w:r>
      <w:r w:rsidR="00D5123F" w:rsidRPr="00332C64">
        <w:t xml:space="preserve">as a Type 1 conclusion, </w:t>
      </w:r>
      <w:r w:rsidR="00D5123F">
        <w:t>as long as the human health exposure expected from the industrial use of the chemical is no higher than the human health exposure expected from food use</w:t>
      </w:r>
      <w:r w:rsidR="00F07CD2">
        <w:t>, or</w:t>
      </w:r>
    </w:p>
    <w:p w14:paraId="0B82CF55" w14:textId="77777777" w:rsidR="00D5123F" w:rsidRDefault="00791709" w:rsidP="003E3B1D">
      <w:pPr>
        <w:pStyle w:val="ListParagraph"/>
        <w:numPr>
          <w:ilvl w:val="1"/>
          <w:numId w:val="127"/>
        </w:numPr>
        <w:spacing w:before="0" w:after="0"/>
        <w:ind w:left="714" w:hanging="357"/>
      </w:pPr>
      <w:r>
        <w:t>t</w:t>
      </w:r>
      <w:r w:rsidR="00D5123F">
        <w:t>he chemical has been notified to the US FDA GRAS notification program and FDA had no questions about the notifier’s conclusion of GRAS status, as long as the human health exposure expected from the industrial use of the chemical is no higher than the human health exposure expected from food use, or</w:t>
      </w:r>
    </w:p>
    <w:p w14:paraId="345895DE" w14:textId="77777777" w:rsidR="00D5123F" w:rsidRPr="00332C64" w:rsidRDefault="00173A5A" w:rsidP="003E3B1D">
      <w:pPr>
        <w:pStyle w:val="ListParagraph"/>
        <w:numPr>
          <w:ilvl w:val="1"/>
          <w:numId w:val="127"/>
        </w:numPr>
        <w:spacing w:before="0" w:after="0"/>
        <w:ind w:left="714" w:hanging="357"/>
      </w:pPr>
      <w:r>
        <w:t>t</w:t>
      </w:r>
      <w:r w:rsidR="00D5123F">
        <w:t xml:space="preserve">he chemical is permitted to be used as a food additive according to Schedule 15 of the </w:t>
      </w:r>
      <w:r w:rsidR="00D5123F" w:rsidRPr="003F4B71">
        <w:rPr>
          <w:i/>
        </w:rPr>
        <w:t>Australia New Zealand Food Standards Code - Standard 1.3.1 - Food Additives</w:t>
      </w:r>
      <w:r w:rsidR="00D5123F">
        <w:t>, as long as the human health exposure expected from the industrial use of the chemical is no higher than the human health exposure expected from food use, or</w:t>
      </w:r>
    </w:p>
    <w:p w14:paraId="457A4302" w14:textId="77777777" w:rsidR="00D5123F" w:rsidRDefault="00173A5A" w:rsidP="003E3B1D">
      <w:pPr>
        <w:pStyle w:val="ListParagraph"/>
        <w:numPr>
          <w:ilvl w:val="1"/>
          <w:numId w:val="127"/>
        </w:numPr>
        <w:spacing w:before="0" w:after="0"/>
        <w:ind w:left="714" w:hanging="357"/>
      </w:pPr>
      <w:r>
        <w:t>i</w:t>
      </w:r>
      <w:r w:rsidR="00D5123F">
        <w:t xml:space="preserve">nformation that </w:t>
      </w:r>
      <w:r w:rsidR="00EF5B99">
        <w:t>demonstrates</w:t>
      </w:r>
      <w:r w:rsidR="00D5123F">
        <w:t xml:space="preserve"> that the chemical is a substance covered by Entry 9 of Annex V of the REACH Regulation, or</w:t>
      </w:r>
    </w:p>
    <w:p w14:paraId="7E698A00" w14:textId="77777777" w:rsidR="00D5123F" w:rsidRDefault="00173A5A" w:rsidP="003E3B1D">
      <w:pPr>
        <w:pStyle w:val="ListParagraph"/>
        <w:numPr>
          <w:ilvl w:val="1"/>
          <w:numId w:val="127"/>
        </w:numPr>
        <w:spacing w:before="0" w:after="0"/>
        <w:ind w:left="714" w:hanging="357"/>
      </w:pPr>
      <w:r>
        <w:t>i</w:t>
      </w:r>
      <w:r w:rsidR="00D5123F">
        <w:t xml:space="preserve">nformation that </w:t>
      </w:r>
      <w:r w:rsidR="00EF5B99">
        <w:t>demonstrates</w:t>
      </w:r>
      <w:r w:rsidR="00D5123F">
        <w:t xml:space="preserve"> that the chemical is a high molecular weight polymer that does not have the hazard characteristic</w:t>
      </w:r>
      <w:r w:rsidR="0077491A">
        <w:t>,</w:t>
      </w:r>
      <w:r w:rsidR="00D5123F">
        <w:t xml:space="preserve"> </w:t>
      </w:r>
      <w:r w:rsidR="00D5123F" w:rsidRPr="006A5B40">
        <w:rPr>
          <w:b/>
        </w:rPr>
        <w:t>skin corrosion</w:t>
      </w:r>
      <w:r w:rsidR="00D5123F">
        <w:t>, or</w:t>
      </w:r>
    </w:p>
    <w:p w14:paraId="31E01FE1" w14:textId="77777777" w:rsidR="00D5123F" w:rsidRDefault="00092D79" w:rsidP="003E3B1D">
      <w:pPr>
        <w:pStyle w:val="ListParagraph"/>
        <w:numPr>
          <w:ilvl w:val="1"/>
          <w:numId w:val="128"/>
        </w:numPr>
        <w:spacing w:before="0" w:after="0"/>
        <w:ind w:left="714" w:hanging="357"/>
      </w:pPr>
      <w:r>
        <w:t>a</w:t>
      </w:r>
      <w:r w:rsidR="00D5123F">
        <w:t xml:space="preserve"> test result from at least one in vivo study on the chemical or from suitable read across information</w:t>
      </w:r>
      <w:r w:rsidR="00D5123F" w:rsidRPr="004F090A">
        <w:t xml:space="preserve">, </w:t>
      </w:r>
      <w:r w:rsidR="00D5123F">
        <w:t xml:space="preserve">as detailed below, </w:t>
      </w:r>
      <w:r w:rsidR="00D5123F" w:rsidRPr="004F090A">
        <w:t>with the administration route dependent on the most relevant route of exposure (or the oral route if information on the most relevant route is not available)</w:t>
      </w:r>
      <w:r w:rsidR="00D5123F">
        <w:t>:</w:t>
      </w:r>
    </w:p>
    <w:p w14:paraId="7E33DA91" w14:textId="77777777" w:rsidR="00D5123F" w:rsidRDefault="00D5123F" w:rsidP="003E3B1D">
      <w:pPr>
        <w:numPr>
          <w:ilvl w:val="2"/>
          <w:numId w:val="128"/>
        </w:numPr>
        <w:spacing w:before="0" w:after="0"/>
        <w:ind w:left="1434" w:hanging="357"/>
      </w:pPr>
      <w:r w:rsidRPr="00460914">
        <w:t xml:space="preserve">conducted following </w:t>
      </w:r>
      <w:r>
        <w:t>an acceptable test guideline for subacute oral toxicity,</w:t>
      </w:r>
      <w:r w:rsidRPr="00460914">
        <w:t xml:space="preserve"> in which the NOAEL</w:t>
      </w:r>
      <w:r>
        <w:t xml:space="preserve"> </w:t>
      </w:r>
      <w:r w:rsidRPr="00460914">
        <w:t>(oral) is ≥ 300 mg/kg bw/day or there were no significant toxic effects of relevance to human health (as described in chapter 3.9 of the GHS) produced, or</w:t>
      </w:r>
    </w:p>
    <w:p w14:paraId="2654F918" w14:textId="77777777" w:rsidR="00D5123F" w:rsidRPr="00460914" w:rsidRDefault="00D5123F" w:rsidP="003E3B1D">
      <w:pPr>
        <w:numPr>
          <w:ilvl w:val="2"/>
          <w:numId w:val="128"/>
        </w:numPr>
        <w:spacing w:before="0" w:after="0"/>
        <w:ind w:left="1434" w:hanging="357"/>
      </w:pPr>
      <w:r w:rsidRPr="00460914">
        <w:t xml:space="preserve">conducted following </w:t>
      </w:r>
      <w:r>
        <w:t>an acceptable test guideline for subchronic oral toxicity</w:t>
      </w:r>
      <w:r w:rsidRPr="00460914">
        <w:t>, in which the NOAEL</w:t>
      </w:r>
      <w:r>
        <w:t xml:space="preserve"> </w:t>
      </w:r>
      <w:r w:rsidRPr="00460914">
        <w:t>(oral) is ≥100 mg/kg bw/day or there were no significant toxic effects of relevance to human health (as described in chapter 3.9 of the GHS) produced, or</w:t>
      </w:r>
    </w:p>
    <w:p w14:paraId="24E4D07B" w14:textId="77777777" w:rsidR="00D5123F" w:rsidRPr="00460914" w:rsidRDefault="00D5123F" w:rsidP="003E3B1D">
      <w:pPr>
        <w:numPr>
          <w:ilvl w:val="2"/>
          <w:numId w:val="128"/>
        </w:numPr>
        <w:spacing w:before="0" w:after="0"/>
        <w:ind w:left="1434" w:hanging="357"/>
      </w:pPr>
      <w:r w:rsidRPr="00460914">
        <w:t xml:space="preserve">conducted following </w:t>
      </w:r>
      <w:r>
        <w:t>an acceptable test guideline for subacute dermal toxicity,</w:t>
      </w:r>
      <w:r w:rsidRPr="00460914">
        <w:t xml:space="preserve"> in which the NOAEL</w:t>
      </w:r>
      <w:r>
        <w:t xml:space="preserve"> </w:t>
      </w:r>
      <w:r w:rsidRPr="00460914">
        <w:t>(dermal) is ≥600 mg/kg bw/day or there were no significant toxic effects of relevance to human health (as described in chapter 3.9 of the GHS) produced, or</w:t>
      </w:r>
    </w:p>
    <w:p w14:paraId="791ED273" w14:textId="77777777" w:rsidR="00D5123F" w:rsidRPr="00460914" w:rsidRDefault="00D5123F" w:rsidP="003E3B1D">
      <w:pPr>
        <w:numPr>
          <w:ilvl w:val="2"/>
          <w:numId w:val="128"/>
        </w:numPr>
        <w:spacing w:before="0" w:after="0"/>
        <w:ind w:left="1434" w:hanging="357"/>
      </w:pPr>
      <w:r w:rsidRPr="00460914">
        <w:t xml:space="preserve">conducted following </w:t>
      </w:r>
      <w:r>
        <w:t>an acceptable test guideline for subchronic dermal toxicity</w:t>
      </w:r>
      <w:r w:rsidRPr="00460914">
        <w:t xml:space="preserve">, in which the NOAEL (dermal) is ≥200 mg/kg bw/day or there were no </w:t>
      </w:r>
      <w:r w:rsidRPr="00460914">
        <w:lastRenderedPageBreak/>
        <w:t>significant toxic effects of relevance to human health (as described in chapter 3.9 of the GHS) produced, or</w:t>
      </w:r>
    </w:p>
    <w:p w14:paraId="2E7C88D4" w14:textId="77777777" w:rsidR="00D5123F" w:rsidRDefault="00D5123F" w:rsidP="003E3B1D">
      <w:pPr>
        <w:numPr>
          <w:ilvl w:val="2"/>
          <w:numId w:val="128"/>
        </w:numPr>
        <w:spacing w:before="0" w:after="0"/>
        <w:ind w:left="1434" w:hanging="357"/>
      </w:pPr>
      <w:r w:rsidRPr="00460914">
        <w:t xml:space="preserve">conducted following </w:t>
      </w:r>
      <w:r>
        <w:t>an acceptable test guideline for subacute inhalation toxicity</w:t>
      </w:r>
      <w:r w:rsidRPr="00460914">
        <w:t>, in which there were no significant toxic effects of relevance to human health (as described in chapter 3.9 of the GHS) produced</w:t>
      </w:r>
      <w:r>
        <w:t xml:space="preserve">, or </w:t>
      </w:r>
      <w:r w:rsidRPr="00460914">
        <w:t>the NOAEC (inhalation) is</w:t>
      </w:r>
      <w:r>
        <w:t>:</w:t>
      </w:r>
    </w:p>
    <w:p w14:paraId="7A99FB03" w14:textId="77777777" w:rsidR="00D5123F" w:rsidRDefault="00D5123F" w:rsidP="003E3B1D">
      <w:pPr>
        <w:numPr>
          <w:ilvl w:val="3"/>
          <w:numId w:val="130"/>
        </w:numPr>
        <w:spacing w:before="0" w:after="0"/>
        <w:ind w:left="2154" w:hanging="357"/>
      </w:pPr>
      <w:r w:rsidRPr="00460914">
        <w:t xml:space="preserve">for gases </w:t>
      </w:r>
      <w:r>
        <w:t xml:space="preserve">- </w:t>
      </w:r>
      <w:r>
        <w:rPr>
          <w:rFonts w:cs="Segoe UI"/>
        </w:rPr>
        <w:t xml:space="preserve">≥ </w:t>
      </w:r>
      <w:r w:rsidRPr="00460914">
        <w:t>750 ppmV/6 h/day</w:t>
      </w:r>
      <w:r w:rsidR="00092D79">
        <w:t>,</w:t>
      </w:r>
      <w:r w:rsidRPr="00460914">
        <w:t xml:space="preserve"> or</w:t>
      </w:r>
    </w:p>
    <w:p w14:paraId="003FA5AB" w14:textId="77777777" w:rsidR="00D5123F" w:rsidRDefault="00D5123F" w:rsidP="003E3B1D">
      <w:pPr>
        <w:numPr>
          <w:ilvl w:val="3"/>
          <w:numId w:val="130"/>
        </w:numPr>
        <w:spacing w:before="0" w:after="0"/>
        <w:ind w:left="2154" w:hanging="357"/>
      </w:pPr>
      <w:r w:rsidRPr="00460914">
        <w:t xml:space="preserve">for vapours </w:t>
      </w:r>
      <w:r>
        <w:t xml:space="preserve">- </w:t>
      </w:r>
      <w:r>
        <w:rPr>
          <w:rFonts w:cs="Segoe UI"/>
        </w:rPr>
        <w:t xml:space="preserve">≥ </w:t>
      </w:r>
      <w:r w:rsidRPr="00460914">
        <w:t>3 mg/L/6 h/day</w:t>
      </w:r>
      <w:r w:rsidR="00092D79">
        <w:t>,</w:t>
      </w:r>
      <w:r w:rsidRPr="00460914">
        <w:t xml:space="preserve"> or</w:t>
      </w:r>
    </w:p>
    <w:p w14:paraId="24C3431A" w14:textId="77777777" w:rsidR="00D5123F" w:rsidRPr="00460914" w:rsidRDefault="00D5123F" w:rsidP="003E3B1D">
      <w:pPr>
        <w:numPr>
          <w:ilvl w:val="3"/>
          <w:numId w:val="130"/>
        </w:numPr>
        <w:spacing w:before="0" w:after="0"/>
        <w:ind w:left="2154" w:hanging="357"/>
      </w:pPr>
      <w:r w:rsidRPr="00460914">
        <w:t>for dusts/mists</w:t>
      </w:r>
      <w:r>
        <w:t>/fumes</w:t>
      </w:r>
      <w:r w:rsidRPr="00460914">
        <w:t xml:space="preserve"> </w:t>
      </w:r>
      <w:r>
        <w:t xml:space="preserve">- </w:t>
      </w:r>
      <w:r>
        <w:rPr>
          <w:rFonts w:cs="Segoe UI"/>
        </w:rPr>
        <w:t>≥</w:t>
      </w:r>
      <w:r>
        <w:t xml:space="preserve"> </w:t>
      </w:r>
      <w:r w:rsidRPr="00460914">
        <w:t>0.6 mg/L</w:t>
      </w:r>
      <w:r>
        <w:t>/6 h/day</w:t>
      </w:r>
      <w:r w:rsidRPr="00460914">
        <w:t xml:space="preserve"> , or</w:t>
      </w:r>
    </w:p>
    <w:p w14:paraId="71F1F5D7" w14:textId="77777777" w:rsidR="00D5123F" w:rsidRDefault="00D5123F" w:rsidP="003E3B1D">
      <w:pPr>
        <w:numPr>
          <w:ilvl w:val="2"/>
          <w:numId w:val="129"/>
        </w:numPr>
        <w:spacing w:before="0" w:after="0"/>
        <w:ind w:left="1434" w:hanging="357"/>
      </w:pPr>
      <w:r w:rsidRPr="00460914">
        <w:t xml:space="preserve">conducted following </w:t>
      </w:r>
      <w:r>
        <w:t>an acceptable test guideline for subchronic inhalation toxicity</w:t>
      </w:r>
      <w:r w:rsidRPr="00460914">
        <w:t>, in which there were no significant toxic effects of relevance to human health (as described in chapter 3.9 of the GHS) produced</w:t>
      </w:r>
      <w:r>
        <w:t>, or</w:t>
      </w:r>
      <w:r w:rsidRPr="00460914">
        <w:t xml:space="preserve"> the NOAEC (inhalation) is</w:t>
      </w:r>
      <w:r>
        <w:t>:</w:t>
      </w:r>
      <w:r w:rsidRPr="00460914">
        <w:t xml:space="preserve"> </w:t>
      </w:r>
    </w:p>
    <w:p w14:paraId="6A712693" w14:textId="77777777" w:rsidR="00D5123F" w:rsidRDefault="00D5123F" w:rsidP="003E3B1D">
      <w:pPr>
        <w:numPr>
          <w:ilvl w:val="3"/>
          <w:numId w:val="129"/>
        </w:numPr>
        <w:spacing w:before="0" w:after="0"/>
        <w:ind w:left="2154" w:hanging="357"/>
      </w:pPr>
      <w:r w:rsidRPr="00460914">
        <w:t xml:space="preserve">for gases </w:t>
      </w:r>
      <w:r>
        <w:t xml:space="preserve">- </w:t>
      </w:r>
      <w:r>
        <w:rPr>
          <w:rFonts w:cs="Segoe UI"/>
        </w:rPr>
        <w:t>≥</w:t>
      </w:r>
      <w:r>
        <w:t xml:space="preserve"> 2</w:t>
      </w:r>
      <w:r w:rsidRPr="00460914">
        <w:t>50 ppmV/6 h/day</w:t>
      </w:r>
      <w:r w:rsidR="004D0554">
        <w:t>,</w:t>
      </w:r>
      <w:r w:rsidRPr="00460914">
        <w:t xml:space="preserve"> or</w:t>
      </w:r>
    </w:p>
    <w:p w14:paraId="11E1BDC8" w14:textId="77777777" w:rsidR="00D5123F" w:rsidRDefault="00D5123F" w:rsidP="003E3B1D">
      <w:pPr>
        <w:numPr>
          <w:ilvl w:val="3"/>
          <w:numId w:val="129"/>
        </w:numPr>
        <w:spacing w:before="0" w:after="0"/>
        <w:ind w:left="2154" w:hanging="357"/>
      </w:pPr>
      <w:r w:rsidRPr="00460914">
        <w:t xml:space="preserve">for vapours </w:t>
      </w:r>
      <w:r>
        <w:t xml:space="preserve">- </w:t>
      </w:r>
      <w:r>
        <w:rPr>
          <w:rFonts w:cs="Segoe UI"/>
        </w:rPr>
        <w:t>≥</w:t>
      </w:r>
      <w:r>
        <w:t xml:space="preserve"> 1</w:t>
      </w:r>
      <w:r w:rsidRPr="00460914">
        <w:t xml:space="preserve"> mg/L/6 h/day</w:t>
      </w:r>
      <w:r w:rsidR="004D0554">
        <w:t>,</w:t>
      </w:r>
      <w:r w:rsidRPr="00460914">
        <w:t xml:space="preserve"> or</w:t>
      </w:r>
    </w:p>
    <w:p w14:paraId="1C3A561C" w14:textId="77777777" w:rsidR="00D5123F" w:rsidRPr="00460914" w:rsidRDefault="00D5123F" w:rsidP="003E3B1D">
      <w:pPr>
        <w:numPr>
          <w:ilvl w:val="3"/>
          <w:numId w:val="129"/>
        </w:numPr>
        <w:spacing w:before="0" w:after="0"/>
        <w:ind w:left="2154" w:hanging="357"/>
      </w:pPr>
      <w:r w:rsidRPr="00460914">
        <w:t>for dusts/mists</w:t>
      </w:r>
      <w:r>
        <w:t>/fumes</w:t>
      </w:r>
      <w:r w:rsidRPr="00460914">
        <w:t xml:space="preserve"> </w:t>
      </w:r>
      <w:r>
        <w:t xml:space="preserve">- </w:t>
      </w:r>
      <w:r>
        <w:rPr>
          <w:rFonts w:cs="Segoe UI"/>
        </w:rPr>
        <w:t>≥</w:t>
      </w:r>
      <w:r>
        <w:t xml:space="preserve"> </w:t>
      </w:r>
      <w:r w:rsidRPr="00460914">
        <w:t>0.</w:t>
      </w:r>
      <w:r>
        <w:t>2 mg/L/6 h/day.</w:t>
      </w:r>
    </w:p>
    <w:p w14:paraId="05062959" w14:textId="77777777" w:rsidR="00535614" w:rsidRDefault="00535614" w:rsidP="00535614">
      <w:pPr>
        <w:spacing w:before="0" w:after="0"/>
        <w:ind w:left="720" w:hanging="360"/>
      </w:pPr>
    </w:p>
    <w:p w14:paraId="586CDF26" w14:textId="77777777" w:rsidR="00535614" w:rsidRDefault="00535614" w:rsidP="00535614">
      <w:pPr>
        <w:spacing w:before="0" w:after="0"/>
      </w:pPr>
      <w:r>
        <w:t>If 3 applies (the chemical is for end use in a personal vaporiser)</w:t>
      </w:r>
      <w:r w:rsidRPr="003C724E">
        <w:t>, the information req</w:t>
      </w:r>
      <w:r>
        <w:t xml:space="preserve">uired to </w:t>
      </w:r>
      <w:r w:rsidR="00EF5B99">
        <w:t>demonstrate</w:t>
      </w:r>
      <w:r>
        <w:t xml:space="preserve"> that the</w:t>
      </w:r>
      <w:r w:rsidRPr="003C724E">
        <w:t xml:space="preserve"> chemical does not have the hazard characteristic</w:t>
      </w:r>
      <w:r>
        <w:t>,</w:t>
      </w:r>
      <w:r w:rsidRPr="003C724E">
        <w:t xml:space="preserve"> </w:t>
      </w:r>
      <w:r w:rsidRPr="002B5700">
        <w:rPr>
          <w:b/>
        </w:rPr>
        <w:t>specific target organ toxicity after repeated exposure</w:t>
      </w:r>
      <w:r>
        <w:t>,</w:t>
      </w:r>
      <w:r w:rsidRPr="003C724E">
        <w:t xml:space="preserve"> is a</w:t>
      </w:r>
      <w:r>
        <w:t xml:space="preserve"> test result from at</w:t>
      </w:r>
      <w:r w:rsidRPr="003C724E">
        <w:t xml:space="preserve"> least one </w:t>
      </w:r>
      <w:r>
        <w:t>in vivo study on the chemical or from suitable read across information, as detailed below</w:t>
      </w:r>
      <w:r w:rsidRPr="003C724E">
        <w:t>:</w:t>
      </w:r>
    </w:p>
    <w:p w14:paraId="63B987E6" w14:textId="77777777" w:rsidR="00794B53" w:rsidRDefault="00794B53" w:rsidP="00535614">
      <w:pPr>
        <w:spacing w:before="0" w:after="0"/>
      </w:pPr>
    </w:p>
    <w:p w14:paraId="5F9F6D40" w14:textId="77777777" w:rsidR="00535614" w:rsidRDefault="00535614" w:rsidP="003E3B1D">
      <w:pPr>
        <w:numPr>
          <w:ilvl w:val="1"/>
          <w:numId w:val="129"/>
        </w:numPr>
        <w:spacing w:before="0" w:after="0"/>
        <w:ind w:left="714" w:hanging="357"/>
      </w:pPr>
      <w:r w:rsidRPr="00460914">
        <w:t xml:space="preserve">conducted following </w:t>
      </w:r>
      <w:r>
        <w:t>an acceptable test guideline for subacute inhalation toxicity, in which there were no</w:t>
      </w:r>
      <w:r w:rsidRPr="00460914">
        <w:t xml:space="preserve"> significant toxic effects of relevance to human health, as discussed in chapter 3.9 of the GHS, </w:t>
      </w:r>
      <w:r>
        <w:t>or the</w:t>
      </w:r>
      <w:r w:rsidRPr="00460914">
        <w:t xml:space="preserve"> NOAEC (inhalation) </w:t>
      </w:r>
      <w:r>
        <w:t>is:</w:t>
      </w:r>
      <w:r w:rsidRPr="00460914">
        <w:t xml:space="preserve"> </w:t>
      </w:r>
    </w:p>
    <w:p w14:paraId="022F2345" w14:textId="77777777" w:rsidR="00535614" w:rsidRDefault="00535614" w:rsidP="003E3B1D">
      <w:pPr>
        <w:numPr>
          <w:ilvl w:val="2"/>
          <w:numId w:val="129"/>
        </w:numPr>
        <w:spacing w:before="0" w:after="0"/>
        <w:ind w:left="1434" w:hanging="357"/>
      </w:pPr>
      <w:r w:rsidRPr="00460914">
        <w:t xml:space="preserve">for gases </w:t>
      </w:r>
      <w:r>
        <w:t xml:space="preserve">- </w:t>
      </w:r>
      <w:r>
        <w:rPr>
          <w:rFonts w:cs="Segoe UI"/>
        </w:rPr>
        <w:t xml:space="preserve">≥ </w:t>
      </w:r>
      <w:r w:rsidRPr="00460914">
        <w:t>750 ppmV/6 h/day</w:t>
      </w:r>
      <w:r w:rsidR="007E1977">
        <w:t>,</w:t>
      </w:r>
      <w:r w:rsidRPr="00460914">
        <w:t xml:space="preserve"> or</w:t>
      </w:r>
    </w:p>
    <w:p w14:paraId="6568BA92" w14:textId="77777777" w:rsidR="00535614" w:rsidRDefault="00535614" w:rsidP="003E3B1D">
      <w:pPr>
        <w:numPr>
          <w:ilvl w:val="2"/>
          <w:numId w:val="129"/>
        </w:numPr>
        <w:spacing w:before="0" w:after="0"/>
        <w:ind w:left="1434" w:hanging="357"/>
      </w:pPr>
      <w:r w:rsidRPr="00460914">
        <w:t xml:space="preserve">for vapours </w:t>
      </w:r>
      <w:r>
        <w:t xml:space="preserve">- </w:t>
      </w:r>
      <w:r>
        <w:rPr>
          <w:rFonts w:cs="Segoe UI"/>
        </w:rPr>
        <w:t xml:space="preserve">≥ </w:t>
      </w:r>
      <w:r w:rsidRPr="00460914">
        <w:t>3 mg/L/6 h/day</w:t>
      </w:r>
      <w:r w:rsidR="007E1977">
        <w:t>,</w:t>
      </w:r>
      <w:r w:rsidRPr="00460914">
        <w:t xml:space="preserve"> or</w:t>
      </w:r>
    </w:p>
    <w:p w14:paraId="7DCA6F32" w14:textId="77777777" w:rsidR="00535614" w:rsidRPr="00460914" w:rsidRDefault="00535614" w:rsidP="003E3B1D">
      <w:pPr>
        <w:numPr>
          <w:ilvl w:val="2"/>
          <w:numId w:val="129"/>
        </w:numPr>
        <w:spacing w:before="0" w:after="0"/>
        <w:ind w:left="1434" w:hanging="357"/>
      </w:pPr>
      <w:r w:rsidRPr="00460914">
        <w:t>for dusts/mists</w:t>
      </w:r>
      <w:r>
        <w:t>/fumes</w:t>
      </w:r>
      <w:r w:rsidRPr="00460914">
        <w:t xml:space="preserve"> </w:t>
      </w:r>
      <w:r>
        <w:t xml:space="preserve">- </w:t>
      </w:r>
      <w:r>
        <w:rPr>
          <w:rFonts w:cs="Segoe UI"/>
        </w:rPr>
        <w:t>≥</w:t>
      </w:r>
      <w:r>
        <w:t xml:space="preserve"> </w:t>
      </w:r>
      <w:r w:rsidRPr="00460914">
        <w:t>0.6 mg/L</w:t>
      </w:r>
      <w:r>
        <w:t>/6 h/day</w:t>
      </w:r>
      <w:r w:rsidRPr="00460914">
        <w:t>, or</w:t>
      </w:r>
    </w:p>
    <w:p w14:paraId="5A18C12E" w14:textId="77777777" w:rsidR="00535614" w:rsidRDefault="00535614" w:rsidP="003E3B1D">
      <w:pPr>
        <w:numPr>
          <w:ilvl w:val="0"/>
          <w:numId w:val="129"/>
        </w:numPr>
        <w:spacing w:before="0" w:after="0"/>
        <w:ind w:left="714" w:hanging="357"/>
      </w:pPr>
      <w:r w:rsidRPr="00460914">
        <w:t xml:space="preserve">conducted following </w:t>
      </w:r>
      <w:r>
        <w:t>an acceptable test guideline for subchronic inhalation toxicity, in which there were no</w:t>
      </w:r>
      <w:r w:rsidRPr="00460914">
        <w:t xml:space="preserve"> significant toxic effects of relevance to human health, as discussed in chapter 3.9 of the GHS, </w:t>
      </w:r>
      <w:r>
        <w:t>or the</w:t>
      </w:r>
      <w:r w:rsidRPr="00460914">
        <w:t xml:space="preserve"> NOAEC (inhalation) </w:t>
      </w:r>
      <w:r w:rsidR="00AF226A">
        <w:t>is:</w:t>
      </w:r>
    </w:p>
    <w:p w14:paraId="02B7F0D5" w14:textId="77777777" w:rsidR="00535614" w:rsidRDefault="00535614" w:rsidP="003E3B1D">
      <w:pPr>
        <w:numPr>
          <w:ilvl w:val="1"/>
          <w:numId w:val="133"/>
        </w:numPr>
        <w:spacing w:before="0" w:after="0"/>
        <w:ind w:left="1434" w:hanging="357"/>
      </w:pPr>
      <w:r w:rsidRPr="00460914">
        <w:t xml:space="preserve"> for gases </w:t>
      </w:r>
      <w:r>
        <w:t xml:space="preserve">- </w:t>
      </w:r>
      <w:r>
        <w:rPr>
          <w:rFonts w:cs="Segoe UI"/>
        </w:rPr>
        <w:t>≥</w:t>
      </w:r>
      <w:r>
        <w:t xml:space="preserve"> 2</w:t>
      </w:r>
      <w:r w:rsidRPr="00460914">
        <w:t>50 ppmV/6 h/day</w:t>
      </w:r>
      <w:r w:rsidR="0088176A">
        <w:t>,</w:t>
      </w:r>
      <w:r w:rsidRPr="00460914">
        <w:t xml:space="preserve"> or</w:t>
      </w:r>
    </w:p>
    <w:p w14:paraId="659EDD2A" w14:textId="77777777" w:rsidR="00535614" w:rsidRDefault="00535614" w:rsidP="003E3B1D">
      <w:pPr>
        <w:numPr>
          <w:ilvl w:val="1"/>
          <w:numId w:val="133"/>
        </w:numPr>
        <w:spacing w:before="0" w:after="0"/>
        <w:ind w:left="1434" w:hanging="357"/>
      </w:pPr>
      <w:r w:rsidRPr="00460914">
        <w:t xml:space="preserve">for vapours </w:t>
      </w:r>
      <w:r>
        <w:t xml:space="preserve">- </w:t>
      </w:r>
      <w:r>
        <w:rPr>
          <w:rFonts w:cs="Segoe UI"/>
        </w:rPr>
        <w:t>≥</w:t>
      </w:r>
      <w:r>
        <w:t xml:space="preserve"> 1</w:t>
      </w:r>
      <w:r w:rsidRPr="00460914">
        <w:t xml:space="preserve"> mg/L/6 h/day</w:t>
      </w:r>
      <w:r w:rsidR="0088176A">
        <w:t>,</w:t>
      </w:r>
      <w:r w:rsidR="0077491A">
        <w:t xml:space="preserve"> </w:t>
      </w:r>
      <w:r w:rsidRPr="00460914">
        <w:t>or</w:t>
      </w:r>
    </w:p>
    <w:p w14:paraId="1A978089" w14:textId="77777777" w:rsidR="00535614" w:rsidRPr="00460914" w:rsidRDefault="00535614" w:rsidP="003E3B1D">
      <w:pPr>
        <w:numPr>
          <w:ilvl w:val="1"/>
          <w:numId w:val="133"/>
        </w:numPr>
        <w:spacing w:before="0" w:after="0"/>
        <w:ind w:left="1434" w:hanging="357"/>
      </w:pPr>
      <w:r w:rsidRPr="00460914">
        <w:t>for dusts/mists</w:t>
      </w:r>
      <w:r>
        <w:t>/fumes</w:t>
      </w:r>
      <w:r w:rsidRPr="00460914">
        <w:t xml:space="preserve"> </w:t>
      </w:r>
      <w:r>
        <w:t xml:space="preserve">- </w:t>
      </w:r>
      <w:r>
        <w:rPr>
          <w:rFonts w:cs="Segoe UI"/>
        </w:rPr>
        <w:t>≥</w:t>
      </w:r>
      <w:r>
        <w:t xml:space="preserve"> </w:t>
      </w:r>
      <w:r w:rsidRPr="00460914">
        <w:t>0.</w:t>
      </w:r>
      <w:r>
        <w:t>2 mg/L/6 h/day.</w:t>
      </w:r>
    </w:p>
    <w:p w14:paraId="412ABDF1" w14:textId="77777777" w:rsidR="00535614" w:rsidRDefault="00535614" w:rsidP="00535614">
      <w:pPr>
        <w:ind w:left="360"/>
      </w:pPr>
    </w:p>
    <w:p w14:paraId="1FC5ACE8" w14:textId="77777777" w:rsidR="009330CB" w:rsidRDefault="009330CB" w:rsidP="00535614">
      <w:r>
        <w:t xml:space="preserve">There are </w:t>
      </w:r>
      <w:r w:rsidRPr="00C013FE">
        <w:rPr>
          <w:b/>
        </w:rPr>
        <w:t>no</w:t>
      </w:r>
      <w:r>
        <w:t xml:space="preserve"> information requirements to demonstrate the absence of the hazard characteristic, </w:t>
      </w:r>
      <w:r w:rsidRPr="008F4763">
        <w:rPr>
          <w:b/>
        </w:rPr>
        <w:t>specific target organ toxicity after repeated exposure</w:t>
      </w:r>
      <w:r>
        <w:t>, i</w:t>
      </w:r>
      <w:r w:rsidR="00535614">
        <w:t>f</w:t>
      </w:r>
      <w:r>
        <w:t>:</w:t>
      </w:r>
    </w:p>
    <w:p w14:paraId="7D86F866" w14:textId="77777777" w:rsidR="009330CB" w:rsidRDefault="00535614" w:rsidP="009330CB">
      <w:pPr>
        <w:pStyle w:val="ListParagraph"/>
        <w:numPr>
          <w:ilvl w:val="1"/>
          <w:numId w:val="128"/>
        </w:numPr>
      </w:pPr>
      <w:r>
        <w:t>the human health exposure band for the introduction is 4</w:t>
      </w:r>
      <w:r w:rsidR="009330CB">
        <w:t>,</w:t>
      </w:r>
      <w:r>
        <w:t xml:space="preserve"> and </w:t>
      </w:r>
    </w:p>
    <w:p w14:paraId="3DF46321" w14:textId="77777777" w:rsidR="009330CB" w:rsidRDefault="00535614" w:rsidP="009330CB">
      <w:pPr>
        <w:pStyle w:val="ListParagraph"/>
        <w:numPr>
          <w:ilvl w:val="1"/>
          <w:numId w:val="128"/>
        </w:numPr>
      </w:pPr>
      <w:r>
        <w:t xml:space="preserve">you are seeking to demonstrate that </w:t>
      </w:r>
      <w:r w:rsidR="00FE2F5A">
        <w:t>the</w:t>
      </w:r>
      <w:r>
        <w:t xml:space="preserve"> introduction meets the criteria for low risk or very low risk</w:t>
      </w:r>
      <w:r w:rsidR="009330CB">
        <w:t>,</w:t>
      </w:r>
      <w:r>
        <w:t xml:space="preserve"> </w:t>
      </w:r>
    </w:p>
    <w:p w14:paraId="638BCF6A" w14:textId="77777777" w:rsidR="00535614" w:rsidRDefault="009330CB" w:rsidP="009330CB">
      <w:r>
        <w:t>and</w:t>
      </w:r>
      <w:r w:rsidR="00535614">
        <w:t xml:space="preserve"> any of the following apply:</w:t>
      </w:r>
    </w:p>
    <w:p w14:paraId="05A0FAF7" w14:textId="77777777" w:rsidR="00535614" w:rsidRDefault="00AF60AC" w:rsidP="003E3B1D">
      <w:pPr>
        <w:pStyle w:val="ListParagraph"/>
        <w:numPr>
          <w:ilvl w:val="1"/>
          <w:numId w:val="131"/>
        </w:numPr>
        <w:ind w:left="714" w:hanging="357"/>
      </w:pPr>
      <w:r>
        <w:t>t</w:t>
      </w:r>
      <w:r w:rsidR="00535614">
        <w:t>he human health categorisation volume for the introduction is ≤100 kg and the chemical is introduced for end use in any of the following types of articles:</w:t>
      </w:r>
    </w:p>
    <w:p w14:paraId="0BC886F6" w14:textId="77777777" w:rsidR="00535614" w:rsidRDefault="00AF60AC" w:rsidP="003E3B1D">
      <w:pPr>
        <w:pStyle w:val="ListParagraph"/>
        <w:numPr>
          <w:ilvl w:val="2"/>
          <w:numId w:val="131"/>
        </w:numPr>
        <w:spacing w:before="0" w:after="0"/>
      </w:pPr>
      <w:r>
        <w:t>f</w:t>
      </w:r>
      <w:r w:rsidR="00535614">
        <w:t>ood contact</w:t>
      </w:r>
      <w:r w:rsidR="00E608C5">
        <w:t>, or</w:t>
      </w:r>
    </w:p>
    <w:p w14:paraId="26EE4BCF" w14:textId="77777777" w:rsidR="00535614" w:rsidRDefault="00AF60AC" w:rsidP="003E3B1D">
      <w:pPr>
        <w:pStyle w:val="ListParagraph"/>
        <w:numPr>
          <w:ilvl w:val="2"/>
          <w:numId w:val="131"/>
        </w:numPr>
        <w:spacing w:before="0" w:after="0"/>
      </w:pPr>
      <w:r>
        <w:lastRenderedPageBreak/>
        <w:t>c</w:t>
      </w:r>
      <w:r w:rsidR="00535614">
        <w:t>hildren’s toys that can be placed in the mouth</w:t>
      </w:r>
      <w:r w:rsidR="00E608C5">
        <w:t>, or</w:t>
      </w:r>
    </w:p>
    <w:p w14:paraId="1EDEFFC5" w14:textId="77777777" w:rsidR="00535614" w:rsidRDefault="00AF60AC" w:rsidP="003E3B1D">
      <w:pPr>
        <w:pStyle w:val="ListParagraph"/>
        <w:numPr>
          <w:ilvl w:val="2"/>
          <w:numId w:val="131"/>
        </w:numPr>
        <w:spacing w:before="0" w:after="0"/>
      </w:pPr>
      <w:r>
        <w:t>c</w:t>
      </w:r>
      <w:r w:rsidR="00535614">
        <w:t>hildren’s care products that can be placed in the mouth</w:t>
      </w:r>
      <w:r w:rsidR="00E608C5">
        <w:t>, or</w:t>
      </w:r>
    </w:p>
    <w:p w14:paraId="6C06EB8D" w14:textId="77777777" w:rsidR="00535614" w:rsidRDefault="00AF60AC" w:rsidP="003E3B1D">
      <w:pPr>
        <w:pStyle w:val="ListParagraph"/>
        <w:numPr>
          <w:ilvl w:val="0"/>
          <w:numId w:val="132"/>
        </w:numPr>
        <w:ind w:left="714" w:hanging="357"/>
      </w:pPr>
      <w:r>
        <w:t>t</w:t>
      </w:r>
      <w:r w:rsidR="00535614">
        <w:t>he human health categorisation volume for the introduction is ≤1,000 kg and the chemical is not introduced for end use in any of the following types of articles:</w:t>
      </w:r>
    </w:p>
    <w:p w14:paraId="608768E5" w14:textId="77777777" w:rsidR="00535614" w:rsidRDefault="00AF60AC" w:rsidP="003E3B1D">
      <w:pPr>
        <w:pStyle w:val="ListParagraph"/>
        <w:numPr>
          <w:ilvl w:val="1"/>
          <w:numId w:val="132"/>
        </w:numPr>
      </w:pPr>
      <w:r>
        <w:t>f</w:t>
      </w:r>
      <w:r w:rsidR="00535614">
        <w:t>ood contact</w:t>
      </w:r>
      <w:r w:rsidR="00E608C5">
        <w:t>, or</w:t>
      </w:r>
    </w:p>
    <w:p w14:paraId="45D00FF4" w14:textId="77777777" w:rsidR="00535614" w:rsidRDefault="00AF60AC" w:rsidP="003E3B1D">
      <w:pPr>
        <w:pStyle w:val="ListParagraph"/>
        <w:numPr>
          <w:ilvl w:val="1"/>
          <w:numId w:val="132"/>
        </w:numPr>
      </w:pPr>
      <w:r>
        <w:t>c</w:t>
      </w:r>
      <w:r w:rsidR="00535614">
        <w:t>hildren’s toys that can be placed in the mouth</w:t>
      </w:r>
      <w:r w:rsidR="00E608C5">
        <w:t>, or</w:t>
      </w:r>
    </w:p>
    <w:p w14:paraId="5A00D9A8" w14:textId="77777777" w:rsidR="00535614" w:rsidRDefault="00AF60AC" w:rsidP="003E3B1D">
      <w:pPr>
        <w:pStyle w:val="ListParagraph"/>
        <w:numPr>
          <w:ilvl w:val="1"/>
          <w:numId w:val="132"/>
        </w:numPr>
      </w:pPr>
      <w:r>
        <w:t>c</w:t>
      </w:r>
      <w:r w:rsidR="00535614">
        <w:t>hildren’s care products that can be placed in the mouth</w:t>
      </w:r>
    </w:p>
    <w:p w14:paraId="6DAAEFF3" w14:textId="77777777" w:rsidR="00535614" w:rsidRDefault="00535614" w:rsidP="00072241">
      <w:r>
        <w:t xml:space="preserve">In these circumstances, if you do not have any information that </w:t>
      </w:r>
      <w:r w:rsidR="00EF5B99">
        <w:t>demonstrates</w:t>
      </w:r>
      <w:r>
        <w:t xml:space="preserve"> that the chemical has this hazard characteristic then you can assume it does not for the purposes of categorisation.</w:t>
      </w:r>
    </w:p>
    <w:p w14:paraId="51C42906" w14:textId="77777777" w:rsidR="00D5123F" w:rsidRPr="00460914" w:rsidRDefault="00D5123F" w:rsidP="00535614">
      <w:pPr>
        <w:spacing w:before="160" w:after="120" w:line="360" w:lineRule="atLeast"/>
      </w:pPr>
    </w:p>
    <w:p w14:paraId="6D66ACCF" w14:textId="77777777" w:rsidR="003E7D67" w:rsidRDefault="003E7D67" w:rsidP="003E7D67">
      <w:pPr>
        <w:pStyle w:val="Heading2"/>
      </w:pPr>
      <w:bookmarkStart w:id="33" w:name="_Toc43890218"/>
      <w:r>
        <w:t>High molecular weight polymer that has lung overloading potential – Human health hazard band A</w:t>
      </w:r>
      <w:bookmarkEnd w:id="33"/>
    </w:p>
    <w:p w14:paraId="1700750B" w14:textId="77777777" w:rsidR="003E7D67" w:rsidRDefault="002511D2" w:rsidP="00E43912">
      <w:pPr>
        <w:pStyle w:val="Heading3"/>
        <w:ind w:left="709"/>
      </w:pPr>
      <w:r>
        <w:t xml:space="preserve">Clause </w:t>
      </w:r>
      <w:r w:rsidR="003E7D67">
        <w:t xml:space="preserve">2 of Part 1, Schedule 1 </w:t>
      </w:r>
      <w:r w:rsidR="00A41282">
        <w:t xml:space="preserve">to </w:t>
      </w:r>
      <w:r w:rsidR="003E7D67">
        <w:t xml:space="preserve">the </w:t>
      </w:r>
      <w:r w:rsidR="009547E9">
        <w:t>IC General Rules</w:t>
      </w:r>
      <w:r w:rsidR="003E7D67">
        <w:t xml:space="preserve"> </w:t>
      </w:r>
    </w:p>
    <w:p w14:paraId="0796D395" w14:textId="77777777" w:rsidR="003E7D67" w:rsidRDefault="003E7D67" w:rsidP="00E43912">
      <w:r>
        <w:rPr>
          <w:lang w:eastAsia="en-AU"/>
        </w:rPr>
        <w:t xml:space="preserve">For the </w:t>
      </w:r>
      <w:r w:rsidR="00617515">
        <w:t>purposes of table item 15</w:t>
      </w:r>
      <w:r>
        <w:t xml:space="preserve"> of </w:t>
      </w:r>
      <w:r w:rsidR="00A41282">
        <w:t xml:space="preserve">Clause 2, </w:t>
      </w:r>
      <w:r>
        <w:t xml:space="preserve">Part 1, Schedule 1 </w:t>
      </w:r>
      <w:r w:rsidR="00A41282">
        <w:t xml:space="preserve">to </w:t>
      </w:r>
      <w:r w:rsidR="0062271E">
        <w:t>the IC General Rules</w:t>
      </w:r>
      <w:r>
        <w:t>:</w:t>
      </w:r>
    </w:p>
    <w:p w14:paraId="403FB187" w14:textId="77777777" w:rsidR="003E7D67" w:rsidRDefault="00244CE6" w:rsidP="00E43912">
      <w:r w:rsidRPr="00A41282">
        <w:rPr>
          <w:b/>
        </w:rPr>
        <w:t>High molecular weight polymer that has lung overloading potential</w:t>
      </w:r>
      <w:r>
        <w:t xml:space="preserve"> means that all of the following apply to the industrial chemical:</w:t>
      </w:r>
    </w:p>
    <w:p w14:paraId="668A5CEF" w14:textId="77777777" w:rsidR="00244CE6" w:rsidRDefault="0017110E" w:rsidP="003E3B1D">
      <w:pPr>
        <w:pStyle w:val="ListParagraph"/>
        <w:numPr>
          <w:ilvl w:val="0"/>
          <w:numId w:val="85"/>
        </w:numPr>
      </w:pPr>
      <w:r>
        <w:t>i</w:t>
      </w:r>
      <w:r w:rsidR="00244CE6">
        <w:t>t is a polymer, and</w:t>
      </w:r>
    </w:p>
    <w:p w14:paraId="651C354F" w14:textId="77777777" w:rsidR="00244CE6" w:rsidRPr="00460914" w:rsidRDefault="0017110E" w:rsidP="003E3B1D">
      <w:pPr>
        <w:pStyle w:val="ListParagraph"/>
        <w:numPr>
          <w:ilvl w:val="0"/>
          <w:numId w:val="85"/>
        </w:numPr>
      </w:pPr>
      <w:r>
        <w:t>i</w:t>
      </w:r>
      <w:r w:rsidR="00244CE6">
        <w:t xml:space="preserve">t </w:t>
      </w:r>
      <w:r w:rsidR="00244CE6" w:rsidRPr="00460914">
        <w:t>has a number average molecular weight that is &gt;70,000 g/mol, and</w:t>
      </w:r>
    </w:p>
    <w:p w14:paraId="0635F48A" w14:textId="77777777" w:rsidR="00244CE6" w:rsidRPr="00460914" w:rsidRDefault="0017110E" w:rsidP="003E3B1D">
      <w:pPr>
        <w:pStyle w:val="ListParagraph"/>
        <w:numPr>
          <w:ilvl w:val="0"/>
          <w:numId w:val="85"/>
        </w:numPr>
      </w:pPr>
      <w:r>
        <w:t>i</w:t>
      </w:r>
      <w:r w:rsidR="00244CE6">
        <w:t xml:space="preserve">t </w:t>
      </w:r>
      <w:r w:rsidR="00244CE6" w:rsidRPr="00460914">
        <w:t>has a solubility in water of &lt; 0.1 mg/L, and</w:t>
      </w:r>
    </w:p>
    <w:p w14:paraId="5EF307A1" w14:textId="77777777" w:rsidR="00244CE6" w:rsidRPr="00460914" w:rsidRDefault="0017110E" w:rsidP="003E3B1D">
      <w:pPr>
        <w:pStyle w:val="ListParagraph"/>
        <w:numPr>
          <w:ilvl w:val="0"/>
          <w:numId w:val="85"/>
        </w:numPr>
      </w:pPr>
      <w:r>
        <w:t>i</w:t>
      </w:r>
      <w:r w:rsidR="00244CE6">
        <w:t xml:space="preserve">t </w:t>
      </w:r>
      <w:r w:rsidR="00244CE6" w:rsidRPr="00460914">
        <w:t>becomes aerosolised during end use.</w:t>
      </w:r>
    </w:p>
    <w:p w14:paraId="2C789FDA" w14:textId="77777777" w:rsidR="003E7D67" w:rsidRDefault="003E7D67" w:rsidP="00E43912">
      <w:pPr>
        <w:pStyle w:val="Heading3"/>
        <w:ind w:left="709"/>
      </w:pPr>
      <w:r>
        <w:t>Sec</w:t>
      </w:r>
      <w:r w:rsidR="006C2ED3">
        <w:t xml:space="preserve">tion </w:t>
      </w:r>
      <w:r>
        <w:t>3</w:t>
      </w:r>
      <w:r w:rsidR="006C2ED3">
        <w:t>0</w:t>
      </w:r>
      <w:r>
        <w:t xml:space="preserve"> of the </w:t>
      </w:r>
      <w:r w:rsidR="009547E9">
        <w:t>IC General Rules</w:t>
      </w:r>
      <w:r>
        <w:t xml:space="preserve"> - Information required to demonstrate the absence of hazard characteristics  </w:t>
      </w:r>
    </w:p>
    <w:p w14:paraId="2A994B68" w14:textId="77777777" w:rsidR="003E7D67" w:rsidRDefault="003E7D67" w:rsidP="00E43912">
      <w:r>
        <w:t>For the purposes of</w:t>
      </w:r>
      <w:r w:rsidR="00617515">
        <w:t xml:space="preserve"> sub</w:t>
      </w:r>
      <w:r w:rsidR="00680588">
        <w:t>paragraph</w:t>
      </w:r>
      <w:r w:rsidR="00617515">
        <w:t xml:space="preserve"> 30(2)(c)(iv) of the IC General Rules</w:t>
      </w:r>
      <w:r>
        <w:t>:</w:t>
      </w:r>
    </w:p>
    <w:p w14:paraId="55EEAD1F" w14:textId="77777777" w:rsidR="00555136" w:rsidRDefault="00555136" w:rsidP="00E43912">
      <w:r>
        <w:t>If the chemical is a polymer</w:t>
      </w:r>
      <w:r w:rsidR="006D0D17">
        <w:t>,</w:t>
      </w:r>
      <w:r>
        <w:t xml:space="preserve"> the information required to </w:t>
      </w:r>
      <w:r w:rsidR="006D0D17">
        <w:t>demonstrate</w:t>
      </w:r>
      <w:r>
        <w:t xml:space="preserve"> that a chemical does not have the hazard characteristic, </w:t>
      </w:r>
      <w:r w:rsidRPr="0041177A">
        <w:rPr>
          <w:b/>
        </w:rPr>
        <w:t>high molecular weight polymer that has lung overloading potential</w:t>
      </w:r>
      <w:r>
        <w:t xml:space="preserve">, is </w:t>
      </w:r>
      <w:r w:rsidR="0009497E">
        <w:t>at least one of the following:</w:t>
      </w:r>
    </w:p>
    <w:p w14:paraId="40745E05" w14:textId="77777777" w:rsidR="0009497E" w:rsidRDefault="0017110E" w:rsidP="003E3B1D">
      <w:pPr>
        <w:pStyle w:val="ListParagraph"/>
        <w:numPr>
          <w:ilvl w:val="0"/>
          <w:numId w:val="86"/>
        </w:numPr>
      </w:pPr>
      <w:r>
        <w:t>m</w:t>
      </w:r>
      <w:r w:rsidR="006D0D17">
        <w:t>olecular weight i</w:t>
      </w:r>
      <w:r w:rsidR="0009497E">
        <w:t xml:space="preserve">nformation that </w:t>
      </w:r>
      <w:r w:rsidR="006D0D17">
        <w:t>demonstrates</w:t>
      </w:r>
      <w:r w:rsidR="0009497E">
        <w:t xml:space="preserve"> that the number average molecular weight is </w:t>
      </w:r>
      <w:r w:rsidR="00044043" w:rsidRPr="00E43912">
        <w:rPr>
          <w:rFonts w:cs="Segoe UI"/>
        </w:rPr>
        <w:t>≤</w:t>
      </w:r>
      <w:r w:rsidR="0009497E">
        <w:t>70,000 g/mol, or</w:t>
      </w:r>
    </w:p>
    <w:p w14:paraId="4B47C4E6" w14:textId="77777777" w:rsidR="0009497E" w:rsidRDefault="0009497E" w:rsidP="003E3B1D">
      <w:pPr>
        <w:pStyle w:val="ListParagraph"/>
        <w:numPr>
          <w:ilvl w:val="0"/>
          <w:numId w:val="86"/>
        </w:numPr>
      </w:pPr>
      <w:r>
        <w:t xml:space="preserve">information that </w:t>
      </w:r>
      <w:r w:rsidR="006D0D17">
        <w:t>demonstrates</w:t>
      </w:r>
      <w:r>
        <w:t xml:space="preserve"> that the polymer has a solubility </w:t>
      </w:r>
      <w:r w:rsidR="008E4C62">
        <w:t>in water that is</w:t>
      </w:r>
      <w:r>
        <w:t xml:space="preserve"> </w:t>
      </w:r>
      <w:r w:rsidR="00044043" w:rsidRPr="00E43912">
        <w:rPr>
          <w:rFonts w:cs="Segoe UI"/>
        </w:rPr>
        <w:t>≥</w:t>
      </w:r>
      <w:r>
        <w:t> 0.1 mg/L</w:t>
      </w:r>
      <w:r w:rsidR="008E4C62">
        <w:t xml:space="preserve"> measured following an acceptable test guideline for water solubility</w:t>
      </w:r>
      <w:r>
        <w:t>, or</w:t>
      </w:r>
    </w:p>
    <w:p w14:paraId="1B5998A7" w14:textId="77777777" w:rsidR="0009497E" w:rsidRDefault="0009497E" w:rsidP="003E3B1D">
      <w:pPr>
        <w:pStyle w:val="ListParagraph"/>
        <w:numPr>
          <w:ilvl w:val="0"/>
          <w:numId w:val="86"/>
        </w:numPr>
      </w:pPr>
      <w:r>
        <w:t xml:space="preserve">information that </w:t>
      </w:r>
      <w:r w:rsidR="006D0D17">
        <w:t>demonstrates</w:t>
      </w:r>
      <w:r>
        <w:t xml:space="preserve"> that the polymer does not become aerosolised during end use</w:t>
      </w:r>
    </w:p>
    <w:p w14:paraId="57420420" w14:textId="77777777" w:rsidR="00C13E11" w:rsidRDefault="00265CFC" w:rsidP="00265CFC">
      <w:pPr>
        <w:spacing w:before="0" w:after="200" w:line="276" w:lineRule="auto"/>
      </w:pPr>
      <w:r>
        <w:br w:type="page"/>
      </w:r>
    </w:p>
    <w:p w14:paraId="1AA52814" w14:textId="77777777" w:rsidR="00C937C5" w:rsidRDefault="00C937C5" w:rsidP="00C937C5">
      <w:pPr>
        <w:pStyle w:val="Heading2"/>
      </w:pPr>
      <w:bookmarkStart w:id="34" w:name="_Toc43890219"/>
      <w:r>
        <w:lastRenderedPageBreak/>
        <w:t>Aspiration hazard – Human health hazard band A</w:t>
      </w:r>
      <w:bookmarkEnd w:id="34"/>
    </w:p>
    <w:p w14:paraId="4CFF42AF" w14:textId="77777777" w:rsidR="00C937C5" w:rsidRDefault="002511D2" w:rsidP="00E43912">
      <w:pPr>
        <w:pStyle w:val="Heading3"/>
        <w:ind w:left="709"/>
      </w:pPr>
      <w:r>
        <w:t xml:space="preserve">Clause </w:t>
      </w:r>
      <w:r w:rsidR="00C937C5">
        <w:t xml:space="preserve">2 of Part 1, Schedule 1 </w:t>
      </w:r>
      <w:r w:rsidR="00631AB1">
        <w:t xml:space="preserve">to </w:t>
      </w:r>
      <w:r w:rsidR="00C937C5">
        <w:t xml:space="preserve">the </w:t>
      </w:r>
      <w:r w:rsidR="009547E9">
        <w:t>IC General Rules</w:t>
      </w:r>
      <w:r w:rsidR="00C937C5">
        <w:t xml:space="preserve"> </w:t>
      </w:r>
    </w:p>
    <w:p w14:paraId="77AE0EFC" w14:textId="77777777" w:rsidR="00C937C5" w:rsidRDefault="00C937C5" w:rsidP="00E43912">
      <w:r>
        <w:rPr>
          <w:lang w:eastAsia="en-AU"/>
        </w:rPr>
        <w:t xml:space="preserve">For the </w:t>
      </w:r>
      <w:r w:rsidR="00617515">
        <w:t>purposes of table item 16</w:t>
      </w:r>
      <w:r>
        <w:t xml:space="preserve"> of </w:t>
      </w:r>
      <w:r w:rsidR="00631AB1">
        <w:t xml:space="preserve">Clause 2, </w:t>
      </w:r>
      <w:r>
        <w:t xml:space="preserve">Part 1, Schedule 1 of </w:t>
      </w:r>
      <w:r w:rsidR="0062271E">
        <w:t>the IC General Rules</w:t>
      </w:r>
      <w:r>
        <w:t>:</w:t>
      </w:r>
    </w:p>
    <w:p w14:paraId="6B81CA76" w14:textId="77777777" w:rsidR="00964341" w:rsidRDefault="00964341" w:rsidP="00E43912">
      <w:r w:rsidRPr="00631AB1">
        <w:rPr>
          <w:b/>
        </w:rPr>
        <w:t>Aspiration hazard</w:t>
      </w:r>
      <w:r>
        <w:t xml:space="preserve"> means that any of the following apply to the industrial chemical:</w:t>
      </w:r>
    </w:p>
    <w:p w14:paraId="6D4106E0" w14:textId="77777777" w:rsidR="00964341" w:rsidRPr="00460914" w:rsidRDefault="00964341" w:rsidP="003E3B1D">
      <w:pPr>
        <w:pStyle w:val="ListParagraph"/>
        <w:numPr>
          <w:ilvl w:val="0"/>
          <w:numId w:val="87"/>
        </w:numPr>
      </w:pPr>
      <w:r w:rsidRPr="00460914">
        <w:t>the chemical is known or presumed to cause aspiration toxicity, as described in chapter 3.10 of the GHS, with the chemical</w:t>
      </w:r>
      <w:r>
        <w:t xml:space="preserve"> classified as </w:t>
      </w:r>
      <w:r w:rsidRPr="00460914">
        <w:t>may be fatal if swallowed and enters airways (category 1)</w:t>
      </w:r>
      <w:r w:rsidR="00D22E3E">
        <w:t>,</w:t>
      </w:r>
      <w:r w:rsidRPr="00460914">
        <w:t xml:space="preserve"> or</w:t>
      </w:r>
    </w:p>
    <w:p w14:paraId="72B1C2DF" w14:textId="77777777" w:rsidR="00964341" w:rsidRPr="00460914" w:rsidRDefault="00964341" w:rsidP="003E3B1D">
      <w:pPr>
        <w:pStyle w:val="ListParagraph"/>
        <w:numPr>
          <w:ilvl w:val="0"/>
          <w:numId w:val="87"/>
        </w:numPr>
      </w:pPr>
      <w:r w:rsidRPr="00460914">
        <w:t>the chemical is a hydrocarbon that has a kinematic viscosity ≤20.5 mm</w:t>
      </w:r>
      <w:r w:rsidRPr="00E43912">
        <w:rPr>
          <w:vertAlign w:val="superscript"/>
        </w:rPr>
        <w:t>2</w:t>
      </w:r>
      <w:r w:rsidRPr="00460914">
        <w:t>/s, measured at 40°C.</w:t>
      </w:r>
    </w:p>
    <w:p w14:paraId="288DDCD3" w14:textId="77777777" w:rsidR="00A828BA" w:rsidRDefault="00617515" w:rsidP="00E43912">
      <w:pPr>
        <w:pStyle w:val="Heading3"/>
        <w:ind w:left="709"/>
      </w:pPr>
      <w:r>
        <w:t>Section 30</w:t>
      </w:r>
      <w:r w:rsidR="00A828BA">
        <w:t xml:space="preserve"> of the </w:t>
      </w:r>
      <w:r w:rsidR="009547E9">
        <w:t>IC General Rules</w:t>
      </w:r>
      <w:r w:rsidR="00A828BA">
        <w:t xml:space="preserve"> - Information required to demonstrate the absence of hazard characteristics  </w:t>
      </w:r>
    </w:p>
    <w:p w14:paraId="655D4F36" w14:textId="77777777" w:rsidR="00A828BA" w:rsidRDefault="00A828BA" w:rsidP="00E43912">
      <w:r>
        <w:t xml:space="preserve">For the purposes of </w:t>
      </w:r>
      <w:r w:rsidR="00617515">
        <w:t>sub</w:t>
      </w:r>
      <w:r w:rsidR="00726AB1">
        <w:t>paragraph</w:t>
      </w:r>
      <w:r w:rsidR="00617515">
        <w:t xml:space="preserve"> 30(2)(c)(iv) of the IC General Rules</w:t>
      </w:r>
      <w:r>
        <w:t>:</w:t>
      </w:r>
    </w:p>
    <w:p w14:paraId="47B4AC2C" w14:textId="77777777" w:rsidR="000636AE" w:rsidRDefault="00C400AC" w:rsidP="003E3B1D">
      <w:pPr>
        <w:pStyle w:val="ListParagraph"/>
        <w:numPr>
          <w:ilvl w:val="0"/>
          <w:numId w:val="121"/>
        </w:numPr>
      </w:pPr>
      <w:r>
        <w:t>i</w:t>
      </w:r>
      <w:r w:rsidR="000636AE">
        <w:t xml:space="preserve">f </w:t>
      </w:r>
      <w:r w:rsidR="00FE2F5A">
        <w:t>the</w:t>
      </w:r>
      <w:r w:rsidR="000636AE">
        <w:t xml:space="preserve"> chemical is a </w:t>
      </w:r>
      <w:r w:rsidR="000636AE" w:rsidRPr="00460914">
        <w:t>hydrocarbon</w:t>
      </w:r>
      <w:r>
        <w:t>,</w:t>
      </w:r>
      <w:r w:rsidR="000636AE" w:rsidRPr="00460914">
        <w:t xml:space="preserve"> </w:t>
      </w:r>
      <w:r w:rsidR="000636AE">
        <w:t>the information required to demonstrate the absence of the hazard characteristic</w:t>
      </w:r>
      <w:r w:rsidR="00D22E3E">
        <w:t>,</w:t>
      </w:r>
      <w:r w:rsidR="000636AE">
        <w:t xml:space="preserve"> </w:t>
      </w:r>
      <w:r w:rsidR="000636AE" w:rsidRPr="00D22E3E">
        <w:rPr>
          <w:b/>
        </w:rPr>
        <w:t>aspiration hazard</w:t>
      </w:r>
      <w:r w:rsidR="00D22E3E" w:rsidRPr="00D22E3E">
        <w:t>,</w:t>
      </w:r>
      <w:r w:rsidR="000636AE">
        <w:t xml:space="preserve"> is a measured </w:t>
      </w:r>
      <w:r w:rsidR="000636AE" w:rsidRPr="00460914">
        <w:t xml:space="preserve">kinematic viscosity </w:t>
      </w:r>
      <w:r w:rsidR="00914EC3">
        <w:t>&gt;</w:t>
      </w:r>
      <w:r w:rsidR="000636AE" w:rsidRPr="00460914">
        <w:t>20.5 mm</w:t>
      </w:r>
      <w:r w:rsidR="000636AE" w:rsidRPr="00087A3E">
        <w:rPr>
          <w:vertAlign w:val="superscript"/>
        </w:rPr>
        <w:t>2</w:t>
      </w:r>
      <w:r w:rsidR="000636AE" w:rsidRPr="00460914">
        <w:t>/s, at 40°C</w:t>
      </w:r>
    </w:p>
    <w:p w14:paraId="793E00DA" w14:textId="77777777" w:rsidR="00AF6D6C" w:rsidRDefault="00D22E3E" w:rsidP="003E3B1D">
      <w:pPr>
        <w:pStyle w:val="ListParagraph"/>
        <w:numPr>
          <w:ilvl w:val="0"/>
          <w:numId w:val="121"/>
        </w:numPr>
        <w:rPr>
          <w:lang w:eastAsia="en-AU"/>
        </w:rPr>
      </w:pPr>
      <w:r>
        <w:t>o</w:t>
      </w:r>
      <w:r w:rsidR="000636AE">
        <w:t>therwise</w:t>
      </w:r>
      <w:r>
        <w:t>,</w:t>
      </w:r>
      <w:r w:rsidR="000636AE">
        <w:t xml:space="preserve"> t</w:t>
      </w:r>
      <w:r w:rsidR="00AF6D6C">
        <w:t xml:space="preserve">here are no information requirements to demonstrate the absence of the hazard characteristic, </w:t>
      </w:r>
      <w:r w:rsidR="00AF6D6C" w:rsidRPr="00C400AC">
        <w:rPr>
          <w:b/>
        </w:rPr>
        <w:t>aspiration hazard</w:t>
      </w:r>
      <w:r w:rsidR="00AF6D6C">
        <w:t>.</w:t>
      </w:r>
      <w:r w:rsidR="00AF6D6C" w:rsidRPr="00CD04DB">
        <w:rPr>
          <w:lang w:eastAsia="en-AU"/>
        </w:rPr>
        <w:t xml:space="preserve"> If you do not have any information that </w:t>
      </w:r>
      <w:r w:rsidR="006D0D17">
        <w:rPr>
          <w:lang w:eastAsia="en-AU"/>
        </w:rPr>
        <w:t>demonstrates</w:t>
      </w:r>
      <w:r w:rsidR="00AF6D6C" w:rsidRPr="00CD04DB">
        <w:rPr>
          <w:lang w:eastAsia="en-AU"/>
        </w:rPr>
        <w:t xml:space="preserve"> that the chemical has this hazard characteristic</w:t>
      </w:r>
      <w:r w:rsidR="00072241">
        <w:rPr>
          <w:lang w:eastAsia="en-AU"/>
        </w:rPr>
        <w:t>,</w:t>
      </w:r>
      <w:r w:rsidR="00AF6D6C" w:rsidRPr="00CD04DB">
        <w:rPr>
          <w:lang w:eastAsia="en-AU"/>
        </w:rPr>
        <w:t xml:space="preserve"> then you can assume it does not for the purposes of categorisation.</w:t>
      </w:r>
    </w:p>
    <w:p w14:paraId="5AB3A879" w14:textId="77777777" w:rsidR="00633E3F" w:rsidRPr="00CD04DB" w:rsidRDefault="00633E3F" w:rsidP="00633E3F">
      <w:pPr>
        <w:pStyle w:val="ListParagraph"/>
        <w:numPr>
          <w:ilvl w:val="0"/>
          <w:numId w:val="0"/>
        </w:numPr>
        <w:ind w:left="720"/>
        <w:rPr>
          <w:lang w:eastAsia="en-AU"/>
        </w:rPr>
      </w:pPr>
    </w:p>
    <w:p w14:paraId="39531EC5" w14:textId="77777777" w:rsidR="00C937C5" w:rsidRDefault="00A828BA" w:rsidP="00C937C5">
      <w:pPr>
        <w:pStyle w:val="Heading2"/>
      </w:pPr>
      <w:bookmarkStart w:id="35" w:name="_Toc43890220"/>
      <w:r>
        <w:t>Specific target organ toxicity after a single exposure (harmful or transient effects)</w:t>
      </w:r>
      <w:r w:rsidR="00C937C5">
        <w:t xml:space="preserve"> – Human health hazard band A</w:t>
      </w:r>
      <w:bookmarkEnd w:id="35"/>
    </w:p>
    <w:p w14:paraId="44D04C39" w14:textId="77777777" w:rsidR="00C937C5" w:rsidRDefault="00877BCF" w:rsidP="00E43912">
      <w:pPr>
        <w:pStyle w:val="Heading3"/>
        <w:ind w:left="709"/>
      </w:pPr>
      <w:r>
        <w:t xml:space="preserve">Clause </w:t>
      </w:r>
      <w:r w:rsidR="00C937C5">
        <w:t xml:space="preserve">2 of Part 1, Schedule 1 </w:t>
      </w:r>
      <w:r w:rsidR="00D22E3E">
        <w:t>to</w:t>
      </w:r>
      <w:r w:rsidR="00C937C5">
        <w:t xml:space="preserve"> the </w:t>
      </w:r>
      <w:r w:rsidR="009547E9">
        <w:t>IC General Rules</w:t>
      </w:r>
      <w:r w:rsidR="00C937C5">
        <w:t xml:space="preserve"> </w:t>
      </w:r>
    </w:p>
    <w:p w14:paraId="06090CB0" w14:textId="77777777" w:rsidR="00C937C5" w:rsidRDefault="00C937C5" w:rsidP="00E43912">
      <w:r>
        <w:rPr>
          <w:lang w:eastAsia="en-AU"/>
        </w:rPr>
        <w:t xml:space="preserve">For the </w:t>
      </w:r>
      <w:r w:rsidR="00617515">
        <w:t>purposes of table item 17</w:t>
      </w:r>
      <w:r>
        <w:t xml:space="preserve"> of </w:t>
      </w:r>
      <w:r w:rsidR="00A17F75">
        <w:t xml:space="preserve">Clause 2, </w:t>
      </w:r>
      <w:r>
        <w:t xml:space="preserve">Part 1, Schedule 1 </w:t>
      </w:r>
      <w:r w:rsidR="00A17F75">
        <w:t xml:space="preserve">to </w:t>
      </w:r>
      <w:r w:rsidR="0062271E">
        <w:t>the IC General Rules</w:t>
      </w:r>
      <w:r>
        <w:t>:</w:t>
      </w:r>
    </w:p>
    <w:p w14:paraId="24387795" w14:textId="77777777" w:rsidR="00C937C5" w:rsidRDefault="00213B7B" w:rsidP="00E43912">
      <w:r w:rsidRPr="00A17F75">
        <w:rPr>
          <w:b/>
        </w:rPr>
        <w:t>Specific target organ toxicity after a single exposure (harmful or transient effects)</w:t>
      </w:r>
      <w:r>
        <w:t xml:space="preserve"> means that any of the following apply to the industrial chemical:</w:t>
      </w:r>
    </w:p>
    <w:p w14:paraId="25505916" w14:textId="77777777" w:rsidR="00213B7B" w:rsidRPr="00460914" w:rsidRDefault="00213B7B" w:rsidP="003E3B1D">
      <w:pPr>
        <w:pStyle w:val="ListParagraph"/>
        <w:numPr>
          <w:ilvl w:val="0"/>
          <w:numId w:val="88"/>
        </w:numPr>
      </w:pPr>
      <w:r w:rsidRPr="00460914">
        <w:t>the chemical is known or presumed to be harmful to humans or to cause transient target organ effects, as described in chapter 3.8 of the GHS, with th</w:t>
      </w:r>
      <w:r>
        <w:t xml:space="preserve">e chemical classified as </w:t>
      </w:r>
      <w:r w:rsidRPr="00460914">
        <w:t>specific target organ toxicity</w:t>
      </w:r>
      <w:r w:rsidR="004101D8">
        <w:t>-single exposure</w:t>
      </w:r>
      <w:r w:rsidRPr="00460914">
        <w:t xml:space="preserve"> (category 2 or 3)</w:t>
      </w:r>
      <w:r w:rsidR="00D22E3E">
        <w:t>,</w:t>
      </w:r>
      <w:r w:rsidRPr="00460914">
        <w:t xml:space="preserve"> or</w:t>
      </w:r>
    </w:p>
    <w:p w14:paraId="16765F2F" w14:textId="77777777" w:rsidR="00213B7B" w:rsidRPr="00460914" w:rsidRDefault="00213B7B" w:rsidP="003E3B1D">
      <w:pPr>
        <w:pStyle w:val="ListParagraph"/>
        <w:numPr>
          <w:ilvl w:val="0"/>
          <w:numId w:val="88"/>
        </w:numPr>
      </w:pPr>
      <w:r w:rsidRPr="00460914">
        <w:t>an in vivo study on the chemical:</w:t>
      </w:r>
    </w:p>
    <w:p w14:paraId="562E5EC5" w14:textId="77777777" w:rsidR="00213B7B" w:rsidRPr="00460914" w:rsidRDefault="00213B7B" w:rsidP="003E3B1D">
      <w:pPr>
        <w:pStyle w:val="ListParagraph"/>
        <w:numPr>
          <w:ilvl w:val="1"/>
          <w:numId w:val="88"/>
        </w:numPr>
      </w:pPr>
      <w:r w:rsidRPr="00460914">
        <w:t xml:space="preserve">conducted following </w:t>
      </w:r>
      <w:r w:rsidR="008A7734">
        <w:t>an acceptable test guideline for acute oral toxicity</w:t>
      </w:r>
      <w:r w:rsidRPr="00460914">
        <w:t xml:space="preserve"> results in significant toxic effects of relevance to human health, as discussed in chapter 3.8 of the GHS, at &gt;300 but ≤2,000 mg/kg bw, or</w:t>
      </w:r>
    </w:p>
    <w:p w14:paraId="4BF69D75" w14:textId="77777777" w:rsidR="00213B7B" w:rsidRPr="00460914" w:rsidRDefault="00213B7B" w:rsidP="003E3B1D">
      <w:pPr>
        <w:pStyle w:val="ListParagraph"/>
        <w:numPr>
          <w:ilvl w:val="1"/>
          <w:numId w:val="88"/>
        </w:numPr>
      </w:pPr>
      <w:r w:rsidRPr="00460914">
        <w:lastRenderedPageBreak/>
        <w:t xml:space="preserve">conducted following </w:t>
      </w:r>
      <w:r w:rsidR="008A7734">
        <w:t>an acceptable test guideline for acute dermal toxicity</w:t>
      </w:r>
      <w:r w:rsidRPr="00460914">
        <w:t xml:space="preserve"> results in significant toxic effects of relevance to human health, as discussed in chapter 3.8 of the GHS, at &gt;1,000 but ≤2,000 mg/kg bw, or</w:t>
      </w:r>
    </w:p>
    <w:p w14:paraId="4F036EF0" w14:textId="77777777" w:rsidR="00FF5F23" w:rsidRDefault="00213B7B" w:rsidP="003E3B1D">
      <w:pPr>
        <w:pStyle w:val="ListParagraph"/>
        <w:numPr>
          <w:ilvl w:val="1"/>
          <w:numId w:val="88"/>
        </w:numPr>
      </w:pPr>
      <w:r w:rsidRPr="00460914">
        <w:t xml:space="preserve">conducted following </w:t>
      </w:r>
      <w:r w:rsidR="008A7734">
        <w:t>an acceptable test guideline for acute inhalation toxicity</w:t>
      </w:r>
      <w:r w:rsidRPr="00460914">
        <w:t xml:space="preserve"> results in significant toxic effects of relevance to human health, as discussed in chapter 3.8 of the GHS, at</w:t>
      </w:r>
      <w:r w:rsidR="00FF5F23">
        <w:t>:</w:t>
      </w:r>
    </w:p>
    <w:p w14:paraId="51C3DA6F" w14:textId="77777777" w:rsidR="00FF5F23" w:rsidRDefault="00FF5F23" w:rsidP="003E3B1D">
      <w:pPr>
        <w:pStyle w:val="ListParagraph"/>
        <w:numPr>
          <w:ilvl w:val="2"/>
          <w:numId w:val="88"/>
        </w:numPr>
      </w:pPr>
      <w:r>
        <w:t xml:space="preserve">for gases - </w:t>
      </w:r>
      <w:r w:rsidR="00213B7B" w:rsidRPr="00460914">
        <w:t xml:space="preserve"> &gt;2,500 but ≤20,000 ppmV</w:t>
      </w:r>
      <w:r>
        <w:t>/4h</w:t>
      </w:r>
      <w:r w:rsidR="00D31C8A">
        <w:t>,</w:t>
      </w:r>
      <w:r w:rsidR="00213B7B" w:rsidRPr="00460914">
        <w:t xml:space="preserve"> or</w:t>
      </w:r>
    </w:p>
    <w:p w14:paraId="619FA7B8" w14:textId="77777777" w:rsidR="00FF5F23" w:rsidRDefault="00FF5F23" w:rsidP="003E3B1D">
      <w:pPr>
        <w:pStyle w:val="ListParagraph"/>
        <w:numPr>
          <w:ilvl w:val="2"/>
          <w:numId w:val="88"/>
        </w:numPr>
      </w:pPr>
      <w:r>
        <w:t xml:space="preserve">for vapours - </w:t>
      </w:r>
      <w:r w:rsidR="00213B7B" w:rsidRPr="00460914">
        <w:t xml:space="preserve"> &gt;10 but ≤20 mg/L</w:t>
      </w:r>
      <w:r>
        <w:t>/4h</w:t>
      </w:r>
      <w:r w:rsidR="00D31C8A">
        <w:t>,</w:t>
      </w:r>
      <w:r>
        <w:t xml:space="preserve"> </w:t>
      </w:r>
      <w:r w:rsidR="00213B7B" w:rsidRPr="00460914">
        <w:t>or</w:t>
      </w:r>
    </w:p>
    <w:p w14:paraId="44F21E0D" w14:textId="77777777" w:rsidR="00213B7B" w:rsidRPr="00460914" w:rsidRDefault="00FF5F23" w:rsidP="003E3B1D">
      <w:pPr>
        <w:pStyle w:val="ListParagraph"/>
        <w:numPr>
          <w:ilvl w:val="2"/>
          <w:numId w:val="88"/>
        </w:numPr>
      </w:pPr>
      <w:r>
        <w:t xml:space="preserve">for dusts/mists/fumes - </w:t>
      </w:r>
      <w:r w:rsidR="00213B7B" w:rsidRPr="00460914">
        <w:t xml:space="preserve"> &gt;1 but ≤5 mg/L</w:t>
      </w:r>
      <w:r>
        <w:t>/4h</w:t>
      </w:r>
      <w:r w:rsidR="00213B7B" w:rsidRPr="00460914">
        <w:t>.</w:t>
      </w:r>
    </w:p>
    <w:p w14:paraId="1777BB42" w14:textId="77777777" w:rsidR="00A828BA" w:rsidRDefault="00617515" w:rsidP="00E43912">
      <w:pPr>
        <w:pStyle w:val="Heading3"/>
        <w:ind w:left="709"/>
      </w:pPr>
      <w:r>
        <w:t>Section 30</w:t>
      </w:r>
      <w:r w:rsidR="00A828BA">
        <w:t xml:space="preserve"> of the </w:t>
      </w:r>
      <w:r w:rsidR="009547E9">
        <w:t>IC General Rules</w:t>
      </w:r>
      <w:r w:rsidR="00A828BA">
        <w:t xml:space="preserve"> - Information required to demonstrate the absence of hazard characteristics  </w:t>
      </w:r>
    </w:p>
    <w:p w14:paraId="675780FB" w14:textId="77777777" w:rsidR="008E41C8" w:rsidRDefault="00A828BA" w:rsidP="00E43912">
      <w:pPr>
        <w:rPr>
          <w:lang w:eastAsia="en-AU"/>
        </w:rPr>
      </w:pPr>
      <w:r>
        <w:t xml:space="preserve">For the purposes of </w:t>
      </w:r>
      <w:r w:rsidR="00D31C8A">
        <w:t xml:space="preserve">subparagraph </w:t>
      </w:r>
      <w:r w:rsidR="00617515">
        <w:t>30(2)(c)(iv) of the IC General Rules</w:t>
      </w:r>
      <w:r w:rsidR="00087A3E">
        <w:t>, t</w:t>
      </w:r>
      <w:r w:rsidR="008E41C8" w:rsidRPr="00CD04DB">
        <w:rPr>
          <w:lang w:eastAsia="en-AU"/>
        </w:rPr>
        <w:t xml:space="preserve">here are </w:t>
      </w:r>
      <w:r w:rsidR="008E41C8" w:rsidRPr="000C23B1">
        <w:rPr>
          <w:b/>
          <w:lang w:eastAsia="en-AU"/>
        </w:rPr>
        <w:t>no</w:t>
      </w:r>
      <w:r w:rsidR="008E41C8" w:rsidRPr="00CD04DB">
        <w:rPr>
          <w:lang w:eastAsia="en-AU"/>
        </w:rPr>
        <w:t xml:space="preserve"> information requirements to demonstrate the absence of the hazard characteristic</w:t>
      </w:r>
      <w:r w:rsidR="008E41C8">
        <w:rPr>
          <w:lang w:eastAsia="en-AU"/>
        </w:rPr>
        <w:t xml:space="preserve">, </w:t>
      </w:r>
      <w:r w:rsidR="008E41C8" w:rsidRPr="000D42B6">
        <w:rPr>
          <w:b/>
          <w:lang w:eastAsia="en-AU"/>
        </w:rPr>
        <w:t>specific target organ toxicity after a single exposure (harmful or transient effects)</w:t>
      </w:r>
      <w:r w:rsidR="008E41C8" w:rsidRPr="00CD04DB">
        <w:rPr>
          <w:lang w:eastAsia="en-AU"/>
        </w:rPr>
        <w:t xml:space="preserve">. If you do not have any information that </w:t>
      </w:r>
      <w:r w:rsidR="006D0D17">
        <w:rPr>
          <w:lang w:eastAsia="en-AU"/>
        </w:rPr>
        <w:t>demonstrates</w:t>
      </w:r>
      <w:r w:rsidR="008E41C8" w:rsidRPr="00CD04DB">
        <w:rPr>
          <w:lang w:eastAsia="en-AU"/>
        </w:rPr>
        <w:t xml:space="preserve"> that the chemical has this hazard characteristic</w:t>
      </w:r>
      <w:r w:rsidR="00072241">
        <w:rPr>
          <w:lang w:eastAsia="en-AU"/>
        </w:rPr>
        <w:t>,</w:t>
      </w:r>
      <w:r w:rsidR="008E41C8" w:rsidRPr="00CD04DB">
        <w:rPr>
          <w:lang w:eastAsia="en-AU"/>
        </w:rPr>
        <w:t xml:space="preserve"> then you can assume it does not for the purposes of categorisation.</w:t>
      </w:r>
    </w:p>
    <w:p w14:paraId="22FC0B41" w14:textId="77777777" w:rsidR="00633E3F" w:rsidRPr="00CD04DB" w:rsidRDefault="00633E3F" w:rsidP="00E43912">
      <w:pPr>
        <w:rPr>
          <w:lang w:eastAsia="en-AU"/>
        </w:rPr>
      </w:pPr>
    </w:p>
    <w:p w14:paraId="3A488FEF" w14:textId="77777777" w:rsidR="00A828BA" w:rsidRDefault="00A828BA" w:rsidP="00A828BA">
      <w:pPr>
        <w:pStyle w:val="Heading2"/>
      </w:pPr>
      <w:bookmarkStart w:id="36" w:name="_Toc43890221"/>
      <w:r>
        <w:t>Skin irritation – Human health hazard band A</w:t>
      </w:r>
      <w:bookmarkEnd w:id="36"/>
    </w:p>
    <w:p w14:paraId="0CC69D11" w14:textId="77777777" w:rsidR="00A828BA" w:rsidRDefault="00877BCF" w:rsidP="00E43912">
      <w:pPr>
        <w:pStyle w:val="Heading3"/>
        <w:ind w:left="709"/>
      </w:pPr>
      <w:r>
        <w:t xml:space="preserve">Clause </w:t>
      </w:r>
      <w:r w:rsidR="00A828BA">
        <w:t xml:space="preserve">2 of Part 1, Schedule 1 </w:t>
      </w:r>
      <w:r w:rsidR="00692D1B">
        <w:t xml:space="preserve">to </w:t>
      </w:r>
      <w:r w:rsidR="00A828BA">
        <w:t xml:space="preserve">the </w:t>
      </w:r>
      <w:r w:rsidR="009547E9">
        <w:t>IC General Rules</w:t>
      </w:r>
      <w:r w:rsidR="00A828BA">
        <w:t xml:space="preserve"> </w:t>
      </w:r>
    </w:p>
    <w:p w14:paraId="3A845577" w14:textId="77777777" w:rsidR="00A828BA" w:rsidRDefault="00A828BA" w:rsidP="00E43912">
      <w:r>
        <w:rPr>
          <w:lang w:eastAsia="en-AU"/>
        </w:rPr>
        <w:t xml:space="preserve">For the </w:t>
      </w:r>
      <w:r w:rsidR="00C35DBF">
        <w:t xml:space="preserve">purposes of table item </w:t>
      </w:r>
      <w:r>
        <w:t>1</w:t>
      </w:r>
      <w:r w:rsidR="00C35DBF">
        <w:t>8</w:t>
      </w:r>
      <w:r>
        <w:t xml:space="preserve"> of </w:t>
      </w:r>
      <w:r w:rsidR="00692D1B">
        <w:t xml:space="preserve">Clause 2, </w:t>
      </w:r>
      <w:r>
        <w:t>Part 1</w:t>
      </w:r>
      <w:r w:rsidR="000C23B1">
        <w:t xml:space="preserve">, </w:t>
      </w:r>
      <w:r>
        <w:t xml:space="preserve">Schedule 1 </w:t>
      </w:r>
      <w:r w:rsidR="00692D1B">
        <w:t xml:space="preserve">to </w:t>
      </w:r>
      <w:r w:rsidR="0062271E">
        <w:t>the IC General Rules</w:t>
      </w:r>
      <w:r>
        <w:t>:</w:t>
      </w:r>
    </w:p>
    <w:p w14:paraId="01CF8A3B" w14:textId="77777777" w:rsidR="00C937C5" w:rsidRDefault="000D74F2" w:rsidP="00E43912">
      <w:pPr>
        <w:rPr>
          <w:lang w:eastAsia="en-AU"/>
        </w:rPr>
      </w:pPr>
      <w:r w:rsidRPr="00692D1B">
        <w:rPr>
          <w:b/>
        </w:rPr>
        <w:t>Skin irritation</w:t>
      </w:r>
      <w:r>
        <w:t xml:space="preserve"> </w:t>
      </w:r>
      <w:r>
        <w:rPr>
          <w:lang w:eastAsia="en-AU"/>
        </w:rPr>
        <w:t>means that any of the following apply to the industrial chemical:</w:t>
      </w:r>
    </w:p>
    <w:p w14:paraId="11F69E4D" w14:textId="77777777" w:rsidR="000D74F2" w:rsidRPr="00460914" w:rsidRDefault="000D74F2" w:rsidP="003E3B1D">
      <w:pPr>
        <w:pStyle w:val="ListParagraph"/>
        <w:numPr>
          <w:ilvl w:val="0"/>
          <w:numId w:val="89"/>
        </w:numPr>
      </w:pPr>
      <w:r w:rsidRPr="00460914">
        <w:t>the chemical is known to produce reversible damage to the skin, as described in chapter 3.2 of the GHS, with the</w:t>
      </w:r>
      <w:r>
        <w:t xml:space="preserve"> chemical classified as </w:t>
      </w:r>
      <w:r w:rsidRPr="00460914">
        <w:t>skin irritation (category 2)</w:t>
      </w:r>
      <w:r w:rsidR="000C23B1">
        <w:t>,</w:t>
      </w:r>
      <w:r w:rsidRPr="00460914">
        <w:t xml:space="preserve"> or</w:t>
      </w:r>
    </w:p>
    <w:p w14:paraId="3D23B18A" w14:textId="77777777" w:rsidR="000D74F2" w:rsidRDefault="00F33075" w:rsidP="003E3B1D">
      <w:pPr>
        <w:pStyle w:val="ListParagraph"/>
        <w:numPr>
          <w:ilvl w:val="0"/>
          <w:numId w:val="89"/>
        </w:numPr>
      </w:pPr>
      <w:r>
        <w:t xml:space="preserve">an </w:t>
      </w:r>
      <w:r w:rsidR="000D74F2" w:rsidRPr="00460914">
        <w:t xml:space="preserve">in vitro </w:t>
      </w:r>
      <w:r w:rsidRPr="00460914">
        <w:t>stud</w:t>
      </w:r>
      <w:r>
        <w:t>y</w:t>
      </w:r>
      <w:r w:rsidRPr="00460914">
        <w:t xml:space="preserve"> </w:t>
      </w:r>
      <w:r w:rsidR="000D74F2" w:rsidRPr="00460914">
        <w:t>on the chemical</w:t>
      </w:r>
      <w:r>
        <w:t xml:space="preserve"> </w:t>
      </w:r>
      <w:r w:rsidR="000D74F2" w:rsidRPr="00460914">
        <w:t xml:space="preserve">conducted following </w:t>
      </w:r>
      <w:r w:rsidR="008A7734">
        <w:t>an acceptable test guideline for skin irritation</w:t>
      </w:r>
      <w:r w:rsidR="000D74F2" w:rsidRPr="00460914">
        <w:t xml:space="preserve"> results in the prediction of skin irritation effects, </w:t>
      </w:r>
      <w:r w:rsidR="000D74F2">
        <w:t>or</w:t>
      </w:r>
    </w:p>
    <w:p w14:paraId="1D5EC324" w14:textId="77777777" w:rsidR="000D74F2" w:rsidRPr="00460914" w:rsidRDefault="000D74F2" w:rsidP="003E3B1D">
      <w:pPr>
        <w:pStyle w:val="ListParagraph"/>
        <w:numPr>
          <w:ilvl w:val="0"/>
          <w:numId w:val="89"/>
        </w:numPr>
      </w:pPr>
      <w:r w:rsidRPr="00460914">
        <w:t>a</w:t>
      </w:r>
      <w:r>
        <w:t xml:space="preserve">n in vivo study on the chemical </w:t>
      </w:r>
      <w:r w:rsidRPr="00460914">
        <w:t xml:space="preserve">conducted following </w:t>
      </w:r>
      <w:r w:rsidR="008A7734">
        <w:t>an acceptable test guideline</w:t>
      </w:r>
      <w:r w:rsidRPr="00460914">
        <w:t xml:space="preserve"> </w:t>
      </w:r>
      <w:r w:rsidR="00B32F15">
        <w:t xml:space="preserve">for skin </w:t>
      </w:r>
      <w:r w:rsidR="00DF58FD">
        <w:t>irritation</w:t>
      </w:r>
      <w:r w:rsidR="00B32F15">
        <w:t xml:space="preserve"> </w:t>
      </w:r>
      <w:r w:rsidRPr="00460914">
        <w:t xml:space="preserve">results in skin reactions, as described for skin irritation (category </w:t>
      </w:r>
      <w:r>
        <w:t>2) in chapter 3.2 of the GHS.</w:t>
      </w:r>
    </w:p>
    <w:p w14:paraId="577104E8" w14:textId="77777777" w:rsidR="000D74F2" w:rsidRDefault="000D74F2" w:rsidP="000D74F2">
      <w:pPr>
        <w:spacing w:before="160" w:after="120" w:line="360" w:lineRule="atLeast"/>
      </w:pPr>
    </w:p>
    <w:p w14:paraId="25D62767" w14:textId="77777777" w:rsidR="00C937C5" w:rsidRDefault="00C35DBF" w:rsidP="00765912">
      <w:pPr>
        <w:pStyle w:val="Heading3"/>
        <w:ind w:left="709"/>
      </w:pPr>
      <w:r>
        <w:t>Section 30</w:t>
      </w:r>
      <w:r w:rsidR="00C937C5">
        <w:t xml:space="preserve"> of the </w:t>
      </w:r>
      <w:r w:rsidR="009547E9">
        <w:t>IC General Rules</w:t>
      </w:r>
      <w:r w:rsidR="00C937C5">
        <w:t xml:space="preserve"> - Information required to demonstrate the absence of hazard characteristics  </w:t>
      </w:r>
    </w:p>
    <w:p w14:paraId="23B25C35" w14:textId="77777777" w:rsidR="00C937C5" w:rsidRDefault="00C937C5" w:rsidP="00A0235A">
      <w:r>
        <w:t xml:space="preserve">For the purposes of </w:t>
      </w:r>
      <w:r w:rsidR="006451CA">
        <w:t xml:space="preserve">subparagraph </w:t>
      </w:r>
      <w:r w:rsidR="00C35DBF">
        <w:t>30(2)(c)(iv) of the IC General Rules</w:t>
      </w:r>
      <w:r w:rsidR="00087A3E">
        <w:t>,</w:t>
      </w:r>
      <w:r w:rsidR="00C35DBF">
        <w:t xml:space="preserve"> </w:t>
      </w:r>
      <w:r w:rsidR="008A7734">
        <w:t xml:space="preserve">the information required to </w:t>
      </w:r>
      <w:r w:rsidR="006D0D17">
        <w:t>demonstrate</w:t>
      </w:r>
      <w:r w:rsidR="008A7734">
        <w:t xml:space="preserve"> that a chemical does not have the hazard characteristic, </w:t>
      </w:r>
      <w:r w:rsidR="008A7734" w:rsidRPr="006451CA">
        <w:rPr>
          <w:b/>
        </w:rPr>
        <w:t>skin irritation</w:t>
      </w:r>
      <w:r w:rsidR="008A7734">
        <w:t>, is at least one of</w:t>
      </w:r>
      <w:r w:rsidR="00072DB5">
        <w:t xml:space="preserve"> the following</w:t>
      </w:r>
      <w:r w:rsidR="008A7734">
        <w:t>:</w:t>
      </w:r>
    </w:p>
    <w:p w14:paraId="0C88232A" w14:textId="77777777" w:rsidR="00466DC8" w:rsidRDefault="001B06F0" w:rsidP="003E3B1D">
      <w:pPr>
        <w:pStyle w:val="ListParagraph"/>
        <w:numPr>
          <w:ilvl w:val="0"/>
          <w:numId w:val="90"/>
        </w:numPr>
      </w:pPr>
      <w:r>
        <w:lastRenderedPageBreak/>
        <w:t>i</w:t>
      </w:r>
      <w:r w:rsidR="00A60F9E">
        <w:t xml:space="preserve">f the human health exposure band for the introduction is 3 </w:t>
      </w:r>
      <w:r w:rsidR="008A7734">
        <w:t>- a suitable in silico prediction indicating that the chemical is not irritating to the skin</w:t>
      </w:r>
      <w:r w:rsidR="00A60F9E">
        <w:t xml:space="preserve">, </w:t>
      </w:r>
      <w:r w:rsidR="00CB5CAF">
        <w:t>or</w:t>
      </w:r>
    </w:p>
    <w:p w14:paraId="5DB9C7CA" w14:textId="77777777" w:rsidR="00466DC8" w:rsidRDefault="001B06F0" w:rsidP="003E3B1D">
      <w:pPr>
        <w:pStyle w:val="ListParagraph"/>
        <w:numPr>
          <w:ilvl w:val="0"/>
          <w:numId w:val="90"/>
        </w:numPr>
      </w:pPr>
      <w:r>
        <w:t>t</w:t>
      </w:r>
      <w:r w:rsidR="00466DC8">
        <w:t xml:space="preserve">est results from an in vitro study on the chemical or from suitable read across information, conducted </w:t>
      </w:r>
      <w:r w:rsidR="00CB5CAF">
        <w:t xml:space="preserve">following </w:t>
      </w:r>
      <w:r w:rsidR="0097180F">
        <w:t>an acceptable test guideline</w:t>
      </w:r>
      <w:r w:rsidR="00CB5CAF" w:rsidRPr="00CB5CAF">
        <w:t xml:space="preserve"> </w:t>
      </w:r>
      <w:r w:rsidR="00CB5CAF">
        <w:t>for skin irritation</w:t>
      </w:r>
      <w:r w:rsidR="00466DC8">
        <w:t>, with a non-irritant prediction, or</w:t>
      </w:r>
    </w:p>
    <w:p w14:paraId="3B327FCD" w14:textId="77777777" w:rsidR="00466DC8" w:rsidRDefault="00C5331B" w:rsidP="003E3B1D">
      <w:pPr>
        <w:pStyle w:val="ListParagraph"/>
        <w:numPr>
          <w:ilvl w:val="0"/>
          <w:numId w:val="90"/>
        </w:numPr>
      </w:pPr>
      <w:r>
        <w:t>t</w:t>
      </w:r>
      <w:r w:rsidR="00466DC8">
        <w:t xml:space="preserve">est results from an in vivo study on the chemical or from suitable read across information, conducted following </w:t>
      </w:r>
      <w:r w:rsidR="0097180F">
        <w:t>an acceptable test guideline</w:t>
      </w:r>
      <w:r w:rsidR="00466DC8">
        <w:t xml:space="preserve"> </w:t>
      </w:r>
      <w:r w:rsidR="00CB5CAF">
        <w:t xml:space="preserve">for skin irritation, </w:t>
      </w:r>
      <w:r w:rsidR="00466DC8">
        <w:t xml:space="preserve">which does not </w:t>
      </w:r>
      <w:r w:rsidR="0097180F">
        <w:t>result in</w:t>
      </w:r>
      <w:r w:rsidR="00CB5CAF">
        <w:t xml:space="preserve"> </w:t>
      </w:r>
      <w:r w:rsidR="00466DC8">
        <w:t>skin reaction</w:t>
      </w:r>
      <w:r w:rsidR="0097180F">
        <w:t>s</w:t>
      </w:r>
      <w:r w:rsidR="00466DC8">
        <w:t>, as described for skin irritation in chapter 3.2 of the GHS</w:t>
      </w:r>
      <w:r w:rsidR="00CB5CAF">
        <w:t>, or</w:t>
      </w:r>
    </w:p>
    <w:p w14:paraId="1B5DB923" w14:textId="77777777" w:rsidR="008A7734" w:rsidRDefault="00C5331B" w:rsidP="003E3B1D">
      <w:pPr>
        <w:pStyle w:val="ListParagraph"/>
        <w:numPr>
          <w:ilvl w:val="0"/>
          <w:numId w:val="90"/>
        </w:numPr>
      </w:pPr>
      <w:r>
        <w:t>t</w:t>
      </w:r>
      <w:r w:rsidR="008A7734">
        <w:t xml:space="preserve">est results from an in vivo study on the chemical or from suitable read across information conducted following </w:t>
      </w:r>
      <w:r w:rsidR="0097180F">
        <w:t>an acceptable test guideline for acute dermal toxicity</w:t>
      </w:r>
      <w:r w:rsidR="008A7734">
        <w:t xml:space="preserve">, </w:t>
      </w:r>
      <w:r>
        <w:t xml:space="preserve">that </w:t>
      </w:r>
      <w:r w:rsidR="008A7734">
        <w:t>when tested at 2,000 mg/kg bw/day is not irritating to the skin</w:t>
      </w:r>
      <w:r w:rsidR="00C013FE">
        <w:t>.</w:t>
      </w:r>
    </w:p>
    <w:p w14:paraId="75942923" w14:textId="6D1B941E" w:rsidR="001E72F3" w:rsidRDefault="00466DC8" w:rsidP="00A0235A">
      <w:r>
        <w:t>In addition,</w:t>
      </w:r>
      <w:r w:rsidR="67DA5A7A">
        <w:t xml:space="preserve"> if the chemical is introduced for an end use in a tattoo ink,</w:t>
      </w:r>
      <w:r>
        <w:t xml:space="preserve"> </w:t>
      </w:r>
      <w:r w:rsidR="001E72F3">
        <w:t xml:space="preserve">information is required to justify why </w:t>
      </w:r>
      <w:r w:rsidR="00087A3E">
        <w:t xml:space="preserve">the </w:t>
      </w:r>
      <w:r w:rsidR="001E72F3">
        <w:t>chemical would not cause skin irritation mediated by UV light</w:t>
      </w:r>
      <w:r w:rsidR="39117462">
        <w:t>. This may include one or more</w:t>
      </w:r>
      <w:r w:rsidR="00A75822">
        <w:t xml:space="preserve"> of the following</w:t>
      </w:r>
      <w:r w:rsidR="001E72F3">
        <w:t>:</w:t>
      </w:r>
    </w:p>
    <w:p w14:paraId="727887E6" w14:textId="4C9738A8" w:rsidR="001E72F3" w:rsidRDefault="001E72F3" w:rsidP="003E3B1D">
      <w:pPr>
        <w:pStyle w:val="ListParagraph"/>
        <w:numPr>
          <w:ilvl w:val="0"/>
          <w:numId w:val="91"/>
        </w:numPr>
      </w:pPr>
      <w:r>
        <w:t xml:space="preserve">the </w:t>
      </w:r>
      <w:r w:rsidR="00466DC8">
        <w:t xml:space="preserve">chemical has a molar extinction coefficient/absorption coefficient of </w:t>
      </w:r>
      <w:r w:rsidR="00FF5C7D">
        <w:t xml:space="preserve">less </w:t>
      </w:r>
      <w:r w:rsidR="00466DC8">
        <w:t>than 1,000Lmol</w:t>
      </w:r>
      <w:r w:rsidR="00466DC8" w:rsidRPr="2F7D7CB0">
        <w:rPr>
          <w:vertAlign w:val="superscript"/>
        </w:rPr>
        <w:t>-1</w:t>
      </w:r>
      <w:r w:rsidR="00466DC8">
        <w:t>cm</w:t>
      </w:r>
      <w:r w:rsidR="00466DC8" w:rsidRPr="2F7D7CB0">
        <w:rPr>
          <w:vertAlign w:val="superscript"/>
        </w:rPr>
        <w:t>-1</w:t>
      </w:r>
      <w:r w:rsidR="00466DC8">
        <w:t xml:space="preserve"> at wavelengths between 290 and 700nm (based on the results of a study foll</w:t>
      </w:r>
      <w:r w:rsidR="00C35DBF">
        <w:t>owing OECD test guideline 101)</w:t>
      </w:r>
      <w:r w:rsidR="714FB00F">
        <w:t>, or</w:t>
      </w:r>
    </w:p>
    <w:p w14:paraId="6A5B928E" w14:textId="2F10EA0F" w:rsidR="001E72F3" w:rsidRPr="00A75822" w:rsidRDefault="714FB00F" w:rsidP="2F7D7CB0">
      <w:pPr>
        <w:pStyle w:val="ListParagraph"/>
        <w:numPr>
          <w:ilvl w:val="0"/>
          <w:numId w:val="91"/>
        </w:numPr>
      </w:pPr>
      <w:r w:rsidRPr="00A75822">
        <w:t xml:space="preserve">results from in vitro phototoxicity studies, or </w:t>
      </w:r>
    </w:p>
    <w:p w14:paraId="18663035" w14:textId="0C17FC71" w:rsidR="001E72F3" w:rsidRPr="00A75822" w:rsidRDefault="714FB00F" w:rsidP="00A75822">
      <w:pPr>
        <w:pStyle w:val="ListParagraph"/>
        <w:numPr>
          <w:ilvl w:val="0"/>
          <w:numId w:val="91"/>
        </w:numPr>
      </w:pPr>
      <w:r w:rsidRPr="00A75822">
        <w:t>results from in vitro or in vivo irritation studies where the methods have been modified to include photoactivation.</w:t>
      </w:r>
    </w:p>
    <w:p w14:paraId="7D02E471" w14:textId="77777777" w:rsidR="00C013FE" w:rsidRDefault="00C013FE" w:rsidP="00AF6BDB">
      <w:pPr>
        <w:ind w:left="360"/>
      </w:pPr>
    </w:p>
    <w:p w14:paraId="7302C4AD" w14:textId="77777777" w:rsidR="00A828BA" w:rsidRDefault="00A828BA" w:rsidP="00A828BA">
      <w:pPr>
        <w:pStyle w:val="Heading2"/>
      </w:pPr>
      <w:bookmarkStart w:id="37" w:name="_Toc43890222"/>
      <w:r>
        <w:t>Eye irritation – Human health hazard band A</w:t>
      </w:r>
      <w:bookmarkEnd w:id="37"/>
    </w:p>
    <w:p w14:paraId="4C4003FA" w14:textId="77777777" w:rsidR="00A828BA" w:rsidRDefault="00877BCF" w:rsidP="00A0235A">
      <w:pPr>
        <w:pStyle w:val="Heading3"/>
        <w:ind w:left="709"/>
      </w:pPr>
      <w:r>
        <w:t xml:space="preserve">Clause </w:t>
      </w:r>
      <w:r w:rsidR="00A828BA">
        <w:t xml:space="preserve">2 of Part 1, Schedule 1 </w:t>
      </w:r>
      <w:r w:rsidR="00C53FA1">
        <w:t xml:space="preserve">to </w:t>
      </w:r>
      <w:r w:rsidR="00A828BA">
        <w:t xml:space="preserve">the </w:t>
      </w:r>
      <w:r w:rsidR="009547E9">
        <w:t>IC General Rules</w:t>
      </w:r>
      <w:r w:rsidR="00A828BA">
        <w:t xml:space="preserve"> </w:t>
      </w:r>
    </w:p>
    <w:p w14:paraId="4EE573A6" w14:textId="77777777" w:rsidR="00A828BA" w:rsidRDefault="00A828BA" w:rsidP="00A0235A">
      <w:r>
        <w:rPr>
          <w:lang w:eastAsia="en-AU"/>
        </w:rPr>
        <w:t xml:space="preserve">For the </w:t>
      </w:r>
      <w:r w:rsidR="00C35DBF">
        <w:t>purposes of table item 19</w:t>
      </w:r>
      <w:r>
        <w:t xml:space="preserve"> of </w:t>
      </w:r>
      <w:r w:rsidR="00C53FA1">
        <w:t xml:space="preserve">Clause 2, </w:t>
      </w:r>
      <w:r>
        <w:t xml:space="preserve">Part 1, Schedule 1 </w:t>
      </w:r>
      <w:r w:rsidR="00B675D9">
        <w:t xml:space="preserve">to </w:t>
      </w:r>
      <w:r w:rsidR="0062271E">
        <w:t>the IC General Rules</w:t>
      </w:r>
      <w:r>
        <w:t>:</w:t>
      </w:r>
    </w:p>
    <w:p w14:paraId="53927B60" w14:textId="77777777" w:rsidR="00A828BA" w:rsidRDefault="00B9607E" w:rsidP="00A0235A">
      <w:r w:rsidRPr="00B675D9">
        <w:rPr>
          <w:b/>
        </w:rPr>
        <w:t>Eye irritation</w:t>
      </w:r>
      <w:r>
        <w:t xml:space="preserve"> means that any of the following</w:t>
      </w:r>
      <w:bookmarkStart w:id="38" w:name="_GoBack"/>
      <w:bookmarkEnd w:id="38"/>
      <w:r>
        <w:t xml:space="preserve"> a</w:t>
      </w:r>
      <w:r w:rsidR="00210A7A">
        <w:t>pply to the industrial chemical:</w:t>
      </w:r>
    </w:p>
    <w:p w14:paraId="3593E413" w14:textId="77777777" w:rsidR="00B9607E" w:rsidRPr="009F73AE" w:rsidRDefault="00B9607E" w:rsidP="003E3B1D">
      <w:pPr>
        <w:pStyle w:val="ListParagraph"/>
        <w:numPr>
          <w:ilvl w:val="0"/>
          <w:numId w:val="92"/>
        </w:numPr>
      </w:pPr>
      <w:r w:rsidRPr="009F73AE">
        <w:t>the chemical is known to produce changes in the eye, as described in chapter 3.3 of the GHS, with the chemical c</w:t>
      </w:r>
      <w:r>
        <w:t xml:space="preserve">lassified as </w:t>
      </w:r>
      <w:r w:rsidR="0049651C">
        <w:t>eye irritation (category 2</w:t>
      </w:r>
      <w:r w:rsidRPr="009F73AE">
        <w:t>)</w:t>
      </w:r>
      <w:r w:rsidR="003A7E51">
        <w:t>, or</w:t>
      </w:r>
    </w:p>
    <w:p w14:paraId="05A16A59" w14:textId="77777777" w:rsidR="00B9607E" w:rsidRDefault="005904EF" w:rsidP="003E3B1D">
      <w:pPr>
        <w:pStyle w:val="ListParagraph"/>
        <w:numPr>
          <w:ilvl w:val="0"/>
          <w:numId w:val="92"/>
        </w:numPr>
      </w:pPr>
      <w:r>
        <w:t xml:space="preserve">an </w:t>
      </w:r>
      <w:r w:rsidR="00B9607E" w:rsidRPr="009F73AE">
        <w:t xml:space="preserve">in vitro </w:t>
      </w:r>
      <w:r w:rsidRPr="009F73AE">
        <w:t>stud</w:t>
      </w:r>
      <w:r>
        <w:t>y</w:t>
      </w:r>
      <w:r w:rsidRPr="009F73AE">
        <w:t xml:space="preserve"> </w:t>
      </w:r>
      <w:r w:rsidR="00B9607E" w:rsidRPr="009F73AE">
        <w:t>on the chemical</w:t>
      </w:r>
      <w:r>
        <w:t xml:space="preserve"> </w:t>
      </w:r>
      <w:r w:rsidR="00B9607E" w:rsidRPr="009F73AE">
        <w:t xml:space="preserve">conducted following </w:t>
      </w:r>
      <w:r w:rsidR="00A30068">
        <w:t>an acceptable test guideline for eye irritation</w:t>
      </w:r>
      <w:r w:rsidR="00B9607E" w:rsidRPr="009F73AE">
        <w:t xml:space="preserve"> results in the prediction of eye irritation effects</w:t>
      </w:r>
      <w:r w:rsidR="003A7E51">
        <w:t>, or</w:t>
      </w:r>
    </w:p>
    <w:p w14:paraId="1C7989B6" w14:textId="77777777" w:rsidR="00B9607E" w:rsidRPr="009F73AE" w:rsidRDefault="00B9607E" w:rsidP="003E3B1D">
      <w:pPr>
        <w:pStyle w:val="ListParagraph"/>
        <w:numPr>
          <w:ilvl w:val="0"/>
          <w:numId w:val="92"/>
        </w:numPr>
      </w:pPr>
      <w:r w:rsidRPr="009F73AE">
        <w:t>an in vivo study on the chemical</w:t>
      </w:r>
      <w:r w:rsidR="005904EF">
        <w:t xml:space="preserve"> </w:t>
      </w:r>
      <w:r w:rsidRPr="009F73AE">
        <w:t xml:space="preserve">conducted following </w:t>
      </w:r>
      <w:r w:rsidR="00A30068">
        <w:t>an acceptable test guideline</w:t>
      </w:r>
      <w:r w:rsidRPr="009F73AE">
        <w:t xml:space="preserve"> </w:t>
      </w:r>
      <w:r w:rsidR="00B32F15">
        <w:t xml:space="preserve">for eye </w:t>
      </w:r>
      <w:r w:rsidR="005904EF">
        <w:t>irritation</w:t>
      </w:r>
      <w:r w:rsidR="00B32F15">
        <w:t xml:space="preserve"> </w:t>
      </w:r>
      <w:r w:rsidRPr="009F73AE">
        <w:t>results in changes in the eye, as described for eye irritation in chapter 3.3 of the GHS</w:t>
      </w:r>
      <w:r w:rsidR="00F40925">
        <w:t>.</w:t>
      </w:r>
    </w:p>
    <w:p w14:paraId="7DA4D97D" w14:textId="77777777" w:rsidR="00A828BA" w:rsidRDefault="00C35DBF" w:rsidP="00A0235A">
      <w:pPr>
        <w:pStyle w:val="Heading3"/>
        <w:ind w:left="709"/>
      </w:pPr>
      <w:r>
        <w:t>Section 30</w:t>
      </w:r>
      <w:r w:rsidR="00A828BA">
        <w:t xml:space="preserve"> of the </w:t>
      </w:r>
      <w:r w:rsidR="009547E9">
        <w:t>IC General Rules</w:t>
      </w:r>
      <w:r w:rsidR="00A828BA">
        <w:t xml:space="preserve"> - Information required to demonstrate the absence of hazard characteristics  </w:t>
      </w:r>
    </w:p>
    <w:p w14:paraId="38389077" w14:textId="77777777" w:rsidR="00A828BA" w:rsidRDefault="00A828BA" w:rsidP="00A0235A">
      <w:r>
        <w:t xml:space="preserve">For the purposes of </w:t>
      </w:r>
      <w:r w:rsidR="00DE1A92">
        <w:t xml:space="preserve">subparagraph </w:t>
      </w:r>
      <w:r w:rsidR="00C35DBF">
        <w:t xml:space="preserve">30(2)(c)(iv) of the IC General Rules, </w:t>
      </w:r>
      <w:r w:rsidR="00A30068">
        <w:t xml:space="preserve">the information required to </w:t>
      </w:r>
      <w:r w:rsidR="006D0D17">
        <w:t>demonstrate</w:t>
      </w:r>
      <w:r w:rsidR="00A30068">
        <w:t xml:space="preserve"> that a chemical does not have the hazard characteristic, </w:t>
      </w:r>
      <w:r w:rsidR="00A30068" w:rsidRPr="00DE1A92">
        <w:rPr>
          <w:b/>
        </w:rPr>
        <w:t>eye irritation</w:t>
      </w:r>
      <w:r w:rsidR="00A30068">
        <w:t>, is at least one of</w:t>
      </w:r>
      <w:r w:rsidR="00C013FE">
        <w:t xml:space="preserve"> the followi</w:t>
      </w:r>
      <w:r w:rsidR="00072241">
        <w:t>n</w:t>
      </w:r>
      <w:r w:rsidR="00C013FE">
        <w:t>g</w:t>
      </w:r>
      <w:r w:rsidR="00A30068">
        <w:t>:</w:t>
      </w:r>
    </w:p>
    <w:p w14:paraId="6D0AE90A" w14:textId="77777777" w:rsidR="00B9607E" w:rsidRDefault="00E607A6" w:rsidP="003E3B1D">
      <w:pPr>
        <w:pStyle w:val="ListParagraph"/>
        <w:numPr>
          <w:ilvl w:val="0"/>
          <w:numId w:val="93"/>
        </w:numPr>
      </w:pPr>
      <w:r>
        <w:lastRenderedPageBreak/>
        <w:t>i</w:t>
      </w:r>
      <w:r w:rsidR="00B9607E">
        <w:t>f the human health exposure band for the introduction is 3</w:t>
      </w:r>
      <w:r w:rsidR="00FC4BCF">
        <w:t xml:space="preserve"> - a </w:t>
      </w:r>
      <w:r w:rsidR="00B9607E">
        <w:t xml:space="preserve">suitable </w:t>
      </w:r>
      <w:r w:rsidR="001C60EF">
        <w:t>in silico</w:t>
      </w:r>
      <w:r w:rsidR="00F53C39">
        <w:t xml:space="preserve"> </w:t>
      </w:r>
      <w:r w:rsidR="00B9607E">
        <w:t>prediction indicating that the chemical is not irritating to the eyes</w:t>
      </w:r>
      <w:r w:rsidR="00FC4BCF">
        <w:t>, or</w:t>
      </w:r>
    </w:p>
    <w:p w14:paraId="569B0D3B" w14:textId="77777777" w:rsidR="007C52CF" w:rsidRDefault="00E607A6" w:rsidP="003E3B1D">
      <w:pPr>
        <w:pStyle w:val="ListParagraph"/>
        <w:numPr>
          <w:ilvl w:val="0"/>
          <w:numId w:val="93"/>
        </w:numPr>
      </w:pPr>
      <w:r>
        <w:t>t</w:t>
      </w:r>
      <w:r w:rsidR="007C52CF">
        <w:t>est results</w:t>
      </w:r>
      <w:r w:rsidR="0049651C">
        <w:t xml:space="preserve"> from an in vitr</w:t>
      </w:r>
      <w:r w:rsidR="007C52CF">
        <w:t>o</w:t>
      </w:r>
      <w:r w:rsidR="0049651C">
        <w:t xml:space="preserve"> study o</w:t>
      </w:r>
      <w:r w:rsidR="007C52CF">
        <w:t xml:space="preserve">n the chemical or from suitable read across information, conducted following </w:t>
      </w:r>
      <w:r w:rsidR="0023441D">
        <w:t>an acceptable test guideline for eye damage or eye irritation</w:t>
      </w:r>
      <w:r w:rsidR="007C52CF">
        <w:t xml:space="preserve"> with a non-irritant prediction, or</w:t>
      </w:r>
    </w:p>
    <w:p w14:paraId="15578028" w14:textId="77777777" w:rsidR="007C52CF" w:rsidRDefault="00E607A6" w:rsidP="003E3B1D">
      <w:pPr>
        <w:pStyle w:val="ListParagraph"/>
        <w:numPr>
          <w:ilvl w:val="0"/>
          <w:numId w:val="93"/>
        </w:numPr>
      </w:pPr>
      <w:r>
        <w:t>t</w:t>
      </w:r>
      <w:r w:rsidR="007C52CF">
        <w:t xml:space="preserve">est results from an in vivo study on the chemical or from suitable read across information, conducted following </w:t>
      </w:r>
      <w:r w:rsidR="00B77CCD">
        <w:t>an acceptable test guideline for eye irritation</w:t>
      </w:r>
      <w:r w:rsidR="00210A7A">
        <w:t xml:space="preserve">, which </w:t>
      </w:r>
      <w:r w:rsidR="007C52CF">
        <w:t xml:space="preserve">does not </w:t>
      </w:r>
      <w:r w:rsidR="00B77CCD">
        <w:t xml:space="preserve">result in </w:t>
      </w:r>
      <w:r w:rsidR="007C52CF">
        <w:t>changes in the eyes, as described for eye irritation (category 2</w:t>
      </w:r>
      <w:r w:rsidR="0049651C">
        <w:t>)</w:t>
      </w:r>
      <w:r w:rsidR="007C52CF">
        <w:t xml:space="preserve"> in chapter 3.3 of the GHS. </w:t>
      </w:r>
    </w:p>
    <w:p w14:paraId="58DC2B56" w14:textId="77777777" w:rsidR="00C013FE" w:rsidRDefault="00C013FE" w:rsidP="00C013FE">
      <w:pPr>
        <w:pStyle w:val="ListParagraph"/>
        <w:numPr>
          <w:ilvl w:val="0"/>
          <w:numId w:val="0"/>
        </w:numPr>
        <w:ind w:left="720"/>
      </w:pPr>
    </w:p>
    <w:p w14:paraId="117773E9" w14:textId="77777777" w:rsidR="00A828BA" w:rsidRDefault="00A828BA" w:rsidP="00A828BA">
      <w:pPr>
        <w:pStyle w:val="Heading2"/>
      </w:pPr>
      <w:bookmarkStart w:id="39" w:name="_Toc43890223"/>
      <w:r>
        <w:t>Acute toxicity (harmful) – Human health hazard band A</w:t>
      </w:r>
      <w:bookmarkEnd w:id="39"/>
    </w:p>
    <w:p w14:paraId="2EA67A2D" w14:textId="77777777" w:rsidR="00A828BA" w:rsidRDefault="00877BCF" w:rsidP="00A0235A">
      <w:pPr>
        <w:pStyle w:val="Heading3"/>
        <w:ind w:left="709"/>
      </w:pPr>
      <w:r>
        <w:t xml:space="preserve">Clause </w:t>
      </w:r>
      <w:r w:rsidR="00A828BA">
        <w:t xml:space="preserve">2 of Part 1, Schedule 1 </w:t>
      </w:r>
      <w:r w:rsidR="00F833F5">
        <w:t xml:space="preserve">to </w:t>
      </w:r>
      <w:r w:rsidR="00A828BA">
        <w:t xml:space="preserve">the </w:t>
      </w:r>
      <w:r w:rsidR="009547E9">
        <w:t>IC General Rules</w:t>
      </w:r>
      <w:r w:rsidR="00A828BA">
        <w:t xml:space="preserve"> </w:t>
      </w:r>
    </w:p>
    <w:p w14:paraId="43A9E398" w14:textId="77777777" w:rsidR="00A828BA" w:rsidRDefault="00A828BA" w:rsidP="00A0235A">
      <w:r>
        <w:rPr>
          <w:lang w:eastAsia="en-AU"/>
        </w:rPr>
        <w:t xml:space="preserve">For the </w:t>
      </w:r>
      <w:r>
        <w:t>purposes of table item 2</w:t>
      </w:r>
      <w:r w:rsidR="00C35DBF">
        <w:t>0</w:t>
      </w:r>
      <w:r>
        <w:t xml:space="preserve"> of </w:t>
      </w:r>
      <w:r w:rsidR="00F833F5">
        <w:t xml:space="preserve">Clause 2, </w:t>
      </w:r>
      <w:r>
        <w:t xml:space="preserve">Part 1, Schedule 1 </w:t>
      </w:r>
      <w:r w:rsidR="00F833F5">
        <w:t xml:space="preserve">to </w:t>
      </w:r>
      <w:r w:rsidR="0062271E">
        <w:t>the IC General Rules</w:t>
      </w:r>
      <w:r>
        <w:t>:</w:t>
      </w:r>
    </w:p>
    <w:p w14:paraId="678D107D" w14:textId="77777777" w:rsidR="00A828BA" w:rsidRDefault="005A0B08" w:rsidP="00A0235A">
      <w:r w:rsidRPr="00F833F5">
        <w:rPr>
          <w:b/>
        </w:rPr>
        <w:t xml:space="preserve">Acute </w:t>
      </w:r>
      <w:r w:rsidRPr="00E80252">
        <w:rPr>
          <w:b/>
        </w:rPr>
        <w:t>toxicity (harmful)</w:t>
      </w:r>
      <w:r>
        <w:t xml:space="preserve"> means that any of the following apply to the industrial chemical:</w:t>
      </w:r>
    </w:p>
    <w:p w14:paraId="29BE762F" w14:textId="77777777" w:rsidR="005A0B08" w:rsidRPr="00460914" w:rsidRDefault="005A0B08" w:rsidP="003E3B1D">
      <w:pPr>
        <w:pStyle w:val="ListParagraph"/>
        <w:numPr>
          <w:ilvl w:val="0"/>
          <w:numId w:val="94"/>
        </w:numPr>
      </w:pPr>
      <w:r w:rsidRPr="00460914">
        <w:t>the chemical is known to exhibit acute toxicity effects, as described in chapter 3.1 of the GHS, with the chemical classified</w:t>
      </w:r>
      <w:r>
        <w:t xml:space="preserve"> as </w:t>
      </w:r>
      <w:r w:rsidRPr="00460914">
        <w:t>acute toxicity (category 4)</w:t>
      </w:r>
      <w:r>
        <w:t>,</w:t>
      </w:r>
      <w:r w:rsidRPr="00460914">
        <w:t xml:space="preserve"> or</w:t>
      </w:r>
    </w:p>
    <w:p w14:paraId="0AC8BCB3" w14:textId="77777777" w:rsidR="005A0B08" w:rsidRPr="00460914" w:rsidRDefault="005A0B08" w:rsidP="003E3B1D">
      <w:pPr>
        <w:pStyle w:val="ListParagraph"/>
        <w:numPr>
          <w:ilvl w:val="0"/>
          <w:numId w:val="94"/>
        </w:numPr>
      </w:pPr>
      <w:r w:rsidRPr="00460914">
        <w:t>an in vitro study on the chemical:</w:t>
      </w:r>
    </w:p>
    <w:p w14:paraId="51FBC76A" w14:textId="77777777" w:rsidR="005A0B08" w:rsidRDefault="005A0B08" w:rsidP="003E3B1D">
      <w:pPr>
        <w:pStyle w:val="ListParagraph"/>
        <w:numPr>
          <w:ilvl w:val="1"/>
          <w:numId w:val="94"/>
        </w:numPr>
      </w:pPr>
      <w:r w:rsidRPr="00460914">
        <w:t xml:space="preserve">conducted following </w:t>
      </w:r>
      <w:r w:rsidR="008D012B">
        <w:t>an acceptable test guideline</w:t>
      </w:r>
      <w:r w:rsidR="00B53DD0">
        <w:t xml:space="preserve"> for acute oral toxicity</w:t>
      </w:r>
      <w:r w:rsidRPr="00460914">
        <w:t>, results in a predicted acute toxicity LD50 value of &gt;300 but ≤2,000 mg/kg bw, and</w:t>
      </w:r>
    </w:p>
    <w:p w14:paraId="431E03AD" w14:textId="77777777" w:rsidR="005A0B08" w:rsidRDefault="005A0B08" w:rsidP="003E3B1D">
      <w:pPr>
        <w:pStyle w:val="ListParagraph"/>
        <w:numPr>
          <w:ilvl w:val="1"/>
          <w:numId w:val="94"/>
        </w:numPr>
      </w:pPr>
      <w:r w:rsidRPr="00460914">
        <w:t xml:space="preserve">the results of the study have not been negated </w:t>
      </w:r>
      <w:r w:rsidR="00876871">
        <w:t xml:space="preserve">by </w:t>
      </w:r>
      <w:r w:rsidR="006E1459">
        <w:t xml:space="preserve">in vivo </w:t>
      </w:r>
      <w:r w:rsidRPr="00460914">
        <w:t>studies conducted on the chemical for acute toxicity</w:t>
      </w:r>
      <w:r>
        <w:t>, or</w:t>
      </w:r>
    </w:p>
    <w:p w14:paraId="717FD957" w14:textId="77777777" w:rsidR="005A0B08" w:rsidRPr="00460914" w:rsidRDefault="005A0B08" w:rsidP="003E3B1D">
      <w:pPr>
        <w:pStyle w:val="ListParagraph"/>
        <w:numPr>
          <w:ilvl w:val="0"/>
          <w:numId w:val="94"/>
        </w:numPr>
      </w:pPr>
      <w:r w:rsidRPr="00460914">
        <w:t>an in vivo study on the chemical:</w:t>
      </w:r>
    </w:p>
    <w:p w14:paraId="50C1C21C" w14:textId="77777777" w:rsidR="005A0B08" w:rsidRPr="00460914" w:rsidRDefault="005A0B08" w:rsidP="003E3B1D">
      <w:pPr>
        <w:pStyle w:val="ListParagraph"/>
        <w:numPr>
          <w:ilvl w:val="1"/>
          <w:numId w:val="94"/>
        </w:numPr>
      </w:pPr>
      <w:r w:rsidRPr="00460914">
        <w:t xml:space="preserve">conducted following </w:t>
      </w:r>
      <w:r w:rsidR="00790831">
        <w:t>an acceptable test guideline for acute oral toxicity</w:t>
      </w:r>
      <w:r w:rsidRPr="00460914">
        <w:t xml:space="preserve"> results in an acute oral LD50 value of &gt;300 but ≤2,000 mg/kg bw, or</w:t>
      </w:r>
    </w:p>
    <w:p w14:paraId="34408E67" w14:textId="77777777" w:rsidR="005A0B08" w:rsidRPr="00460914" w:rsidRDefault="005A0B08" w:rsidP="003E3B1D">
      <w:pPr>
        <w:pStyle w:val="ListParagraph"/>
        <w:numPr>
          <w:ilvl w:val="1"/>
          <w:numId w:val="94"/>
        </w:numPr>
      </w:pPr>
      <w:r w:rsidRPr="00460914">
        <w:t xml:space="preserve">conducted following </w:t>
      </w:r>
      <w:r w:rsidR="00790831">
        <w:t>an acceptable test guideline for acute dermal toxicity</w:t>
      </w:r>
      <w:r w:rsidRPr="00460914">
        <w:t xml:space="preserve"> results in an acute dermal LD50 value of &gt;1,000 but ≤2,000 mg/kg bw, or</w:t>
      </w:r>
    </w:p>
    <w:p w14:paraId="2BA3E447" w14:textId="77777777" w:rsidR="00C47128" w:rsidRDefault="005A0B08" w:rsidP="003E3B1D">
      <w:pPr>
        <w:pStyle w:val="ListParagraph"/>
        <w:numPr>
          <w:ilvl w:val="1"/>
          <w:numId w:val="94"/>
        </w:numPr>
      </w:pPr>
      <w:r w:rsidRPr="00460914">
        <w:t xml:space="preserve">conducted following </w:t>
      </w:r>
      <w:r w:rsidR="00790831">
        <w:t>an acceptable test guideline for acute inhalation toxicity</w:t>
      </w:r>
      <w:r w:rsidRPr="00460914">
        <w:t xml:space="preserve"> results in an acute inhalation LC50 value of</w:t>
      </w:r>
      <w:r w:rsidR="00C47128">
        <w:t>:</w:t>
      </w:r>
    </w:p>
    <w:p w14:paraId="49794FFC" w14:textId="77777777" w:rsidR="00C47128" w:rsidRDefault="00C47128" w:rsidP="003E3B1D">
      <w:pPr>
        <w:pStyle w:val="ListParagraph"/>
        <w:numPr>
          <w:ilvl w:val="2"/>
          <w:numId w:val="94"/>
        </w:numPr>
      </w:pPr>
      <w:r>
        <w:t xml:space="preserve">for gases - </w:t>
      </w:r>
      <w:r w:rsidR="005A0B08" w:rsidRPr="00460914">
        <w:t xml:space="preserve"> &gt;2500 but ≤20,000 ppmV</w:t>
      </w:r>
      <w:r>
        <w:t>/4h</w:t>
      </w:r>
      <w:r w:rsidR="00E80252">
        <w:t>,</w:t>
      </w:r>
      <w:r w:rsidR="005A0B08" w:rsidRPr="00460914">
        <w:t xml:space="preserve"> or</w:t>
      </w:r>
    </w:p>
    <w:p w14:paraId="4DFE485E" w14:textId="77777777" w:rsidR="00A0235A" w:rsidRDefault="00C47128" w:rsidP="003E3B1D">
      <w:pPr>
        <w:pStyle w:val="ListParagraph"/>
        <w:numPr>
          <w:ilvl w:val="2"/>
          <w:numId w:val="94"/>
        </w:numPr>
      </w:pPr>
      <w:r>
        <w:t xml:space="preserve">for </w:t>
      </w:r>
      <w:r w:rsidRPr="00460914">
        <w:t xml:space="preserve">vapours </w:t>
      </w:r>
      <w:r>
        <w:t xml:space="preserve">- </w:t>
      </w:r>
      <w:r w:rsidR="005A0B08" w:rsidRPr="00460914">
        <w:t>&gt;10 but ≤20 mg/L</w:t>
      </w:r>
      <w:r>
        <w:t>/4h</w:t>
      </w:r>
      <w:r w:rsidR="00E80252">
        <w:t>,</w:t>
      </w:r>
      <w:r w:rsidR="005A0B08" w:rsidRPr="00460914">
        <w:t xml:space="preserve"> or</w:t>
      </w:r>
    </w:p>
    <w:p w14:paraId="2F2B257A" w14:textId="77777777" w:rsidR="005A0B08" w:rsidRPr="00460914" w:rsidRDefault="00C47128" w:rsidP="003E3B1D">
      <w:pPr>
        <w:pStyle w:val="ListParagraph"/>
        <w:numPr>
          <w:ilvl w:val="2"/>
          <w:numId w:val="94"/>
        </w:numPr>
      </w:pPr>
      <w:r>
        <w:t>for dusts/mists/fumes</w:t>
      </w:r>
      <w:r w:rsidR="005A0B08" w:rsidRPr="00460914">
        <w:t xml:space="preserve"> </w:t>
      </w:r>
      <w:r>
        <w:t xml:space="preserve">- </w:t>
      </w:r>
      <w:r w:rsidR="005A0B08" w:rsidRPr="00460914">
        <w:t>&gt;1 but ≤</w:t>
      </w:r>
      <w:r w:rsidR="005A0B08">
        <w:t>5 mg/L</w:t>
      </w:r>
      <w:r>
        <w:t>/4h</w:t>
      </w:r>
      <w:r w:rsidR="0023160C">
        <w:t>.</w:t>
      </w:r>
    </w:p>
    <w:p w14:paraId="25497F4E" w14:textId="77777777" w:rsidR="00A828BA" w:rsidRDefault="00C35DBF" w:rsidP="00A0235A">
      <w:pPr>
        <w:pStyle w:val="Heading3"/>
        <w:ind w:left="709"/>
      </w:pPr>
      <w:r>
        <w:t>Section 30</w:t>
      </w:r>
      <w:r w:rsidR="00A828BA">
        <w:t xml:space="preserve"> of the </w:t>
      </w:r>
      <w:r w:rsidR="009547E9">
        <w:t>IC General Rules</w:t>
      </w:r>
      <w:r w:rsidR="00A828BA">
        <w:t xml:space="preserve"> - Information required to demonstrate the absence of hazard characteristics  </w:t>
      </w:r>
    </w:p>
    <w:p w14:paraId="0FA59FD7" w14:textId="77777777" w:rsidR="00853C62" w:rsidRDefault="00A828BA" w:rsidP="00A0235A">
      <w:r>
        <w:t xml:space="preserve">For the purposes of </w:t>
      </w:r>
      <w:r w:rsidR="00E80252">
        <w:t xml:space="preserve">subparagraph </w:t>
      </w:r>
      <w:r w:rsidR="00C35DBF">
        <w:t>30(2)(c)(iv) of the IC General Rules</w:t>
      </w:r>
      <w:r w:rsidR="00853C62">
        <w:t>:</w:t>
      </w:r>
    </w:p>
    <w:p w14:paraId="5FF1C00A" w14:textId="77777777" w:rsidR="00670C0D" w:rsidRDefault="002F149D" w:rsidP="003E3B1D">
      <w:pPr>
        <w:pStyle w:val="ListParagraph"/>
        <w:numPr>
          <w:ilvl w:val="0"/>
          <w:numId w:val="95"/>
        </w:numPr>
      </w:pPr>
      <w:r>
        <w:t>i</w:t>
      </w:r>
      <w:r w:rsidR="00853C62">
        <w:t xml:space="preserve">f the chemical is for end use in a personal vaporiser - </w:t>
      </w:r>
      <w:r w:rsidR="00853C62" w:rsidRPr="003C724E">
        <w:t>the information req</w:t>
      </w:r>
      <w:r w:rsidR="00853C62">
        <w:t xml:space="preserve">uired to </w:t>
      </w:r>
      <w:r w:rsidR="006D0D17">
        <w:t>demonstrate</w:t>
      </w:r>
      <w:r w:rsidR="00853C62">
        <w:t xml:space="preserve"> that the</w:t>
      </w:r>
      <w:r w:rsidR="00853C62" w:rsidRPr="003C724E">
        <w:t xml:space="preserve"> chemical does not have the hazard characteristic</w:t>
      </w:r>
      <w:r w:rsidR="00853C62">
        <w:t xml:space="preserve">, </w:t>
      </w:r>
      <w:r w:rsidR="00853C62" w:rsidRPr="002F149D">
        <w:rPr>
          <w:b/>
        </w:rPr>
        <w:t>acute toxicity (</w:t>
      </w:r>
      <w:r w:rsidR="00C47128" w:rsidRPr="002F149D">
        <w:rPr>
          <w:b/>
        </w:rPr>
        <w:t>harmful</w:t>
      </w:r>
      <w:r w:rsidR="00853C62" w:rsidRPr="002F149D">
        <w:rPr>
          <w:b/>
        </w:rPr>
        <w:t>)</w:t>
      </w:r>
      <w:r w:rsidR="00853C62">
        <w:t>, is a test result from at</w:t>
      </w:r>
      <w:r w:rsidR="00853C62" w:rsidRPr="003C724E">
        <w:t xml:space="preserve"> least one</w:t>
      </w:r>
      <w:r w:rsidR="00853C62">
        <w:t xml:space="preserve"> </w:t>
      </w:r>
      <w:r w:rsidR="00853C62" w:rsidRPr="00460914">
        <w:t xml:space="preserve">in vivo </w:t>
      </w:r>
      <w:r w:rsidR="00853C62">
        <w:t>study</w:t>
      </w:r>
      <w:r w:rsidR="00853C62" w:rsidRPr="00460914">
        <w:t xml:space="preserve"> on the chemical or </w:t>
      </w:r>
      <w:r w:rsidR="00853C62" w:rsidRPr="00460914">
        <w:lastRenderedPageBreak/>
        <w:t xml:space="preserve">from suitable read-across information, conducted following </w:t>
      </w:r>
      <w:r w:rsidR="00853C62">
        <w:t xml:space="preserve">an acceptable test guideline for acute inhalation toxicity with an LC50 </w:t>
      </w:r>
      <w:r w:rsidR="00853C62" w:rsidRPr="00460914">
        <w:t>of</w:t>
      </w:r>
      <w:r w:rsidR="00670C0D">
        <w:t>:</w:t>
      </w:r>
    </w:p>
    <w:p w14:paraId="58611DAB" w14:textId="77777777" w:rsidR="00670C0D" w:rsidRDefault="00670C0D" w:rsidP="003E3B1D">
      <w:pPr>
        <w:pStyle w:val="ListParagraph"/>
        <w:numPr>
          <w:ilvl w:val="1"/>
          <w:numId w:val="95"/>
        </w:numPr>
      </w:pPr>
      <w:r>
        <w:t>for gases</w:t>
      </w:r>
      <w:r w:rsidR="00853C62" w:rsidRPr="00460914">
        <w:t xml:space="preserve"> </w:t>
      </w:r>
      <w:r>
        <w:t xml:space="preserve">- </w:t>
      </w:r>
      <w:r w:rsidR="00853C62" w:rsidRPr="00460914">
        <w:t>&gt;2</w:t>
      </w:r>
      <w:r w:rsidR="00853C62">
        <w:t>0</w:t>
      </w:r>
      <w:r w:rsidR="00853C62" w:rsidRPr="00460914">
        <w:t>,</w:t>
      </w:r>
      <w:r w:rsidR="00853C62">
        <w:t>000 ppmV</w:t>
      </w:r>
      <w:r>
        <w:t>/4h</w:t>
      </w:r>
      <w:r w:rsidR="00BA3F40">
        <w:t>,</w:t>
      </w:r>
      <w:r w:rsidR="00853C62">
        <w:t xml:space="preserve"> or </w:t>
      </w:r>
    </w:p>
    <w:p w14:paraId="20BC0164" w14:textId="77777777" w:rsidR="00670C0D" w:rsidRDefault="00670C0D" w:rsidP="003E3B1D">
      <w:pPr>
        <w:pStyle w:val="ListParagraph"/>
        <w:numPr>
          <w:ilvl w:val="1"/>
          <w:numId w:val="95"/>
        </w:numPr>
      </w:pPr>
      <w:r>
        <w:t xml:space="preserve">for vapours - </w:t>
      </w:r>
      <w:r w:rsidR="00853C62">
        <w:t>&gt;20 mg/L</w:t>
      </w:r>
      <w:r>
        <w:t>/4h</w:t>
      </w:r>
      <w:r w:rsidR="00BA3F40">
        <w:t>,</w:t>
      </w:r>
      <w:r w:rsidR="00853C62">
        <w:t xml:space="preserve"> or </w:t>
      </w:r>
    </w:p>
    <w:p w14:paraId="678E0BC1" w14:textId="77777777" w:rsidR="00853C62" w:rsidRDefault="00670C0D" w:rsidP="003E3B1D">
      <w:pPr>
        <w:pStyle w:val="ListParagraph"/>
        <w:numPr>
          <w:ilvl w:val="1"/>
          <w:numId w:val="95"/>
        </w:numPr>
      </w:pPr>
      <w:r w:rsidRPr="00460914">
        <w:t>for dusts/mists/fumes</w:t>
      </w:r>
      <w:r>
        <w:t xml:space="preserve"> - </w:t>
      </w:r>
      <w:r w:rsidR="00853C62">
        <w:t>&gt;5</w:t>
      </w:r>
      <w:r w:rsidR="00853C62" w:rsidRPr="00460914">
        <w:t xml:space="preserve"> mg/L</w:t>
      </w:r>
      <w:r>
        <w:t>/4h</w:t>
      </w:r>
      <w:r w:rsidR="00633E3F">
        <w:t>, or</w:t>
      </w:r>
    </w:p>
    <w:p w14:paraId="4F65CE51" w14:textId="77777777" w:rsidR="00A828BA" w:rsidRDefault="00BA3F40" w:rsidP="003E3B1D">
      <w:pPr>
        <w:pStyle w:val="ListParagraph"/>
        <w:numPr>
          <w:ilvl w:val="0"/>
          <w:numId w:val="95"/>
        </w:numPr>
      </w:pPr>
      <w:r>
        <w:t>o</w:t>
      </w:r>
      <w:r w:rsidR="00853C62">
        <w:t>therwise</w:t>
      </w:r>
      <w:r w:rsidR="00AF6BDB">
        <w:t>,</w:t>
      </w:r>
      <w:r w:rsidR="00790831" w:rsidRPr="00790831">
        <w:t xml:space="preserve"> </w:t>
      </w:r>
      <w:r w:rsidR="00790831">
        <w:t xml:space="preserve">the information required to </w:t>
      </w:r>
      <w:r w:rsidR="006D0D17">
        <w:t>demonstrate</w:t>
      </w:r>
      <w:r w:rsidR="00790831">
        <w:t xml:space="preserve"> that a chemical does not have the hazard characteristic, </w:t>
      </w:r>
      <w:r w:rsidR="00790831" w:rsidRPr="00BA3F40">
        <w:rPr>
          <w:b/>
        </w:rPr>
        <w:t>acute toxicity (harmful)</w:t>
      </w:r>
      <w:r w:rsidR="00790831">
        <w:t>, is at least one of the following</w:t>
      </w:r>
      <w:r w:rsidR="00974845">
        <w:t>:</w:t>
      </w:r>
    </w:p>
    <w:p w14:paraId="0FA8E626" w14:textId="77777777" w:rsidR="00853C62" w:rsidRDefault="00974845" w:rsidP="003E3B1D">
      <w:pPr>
        <w:pStyle w:val="ListParagraph"/>
        <w:numPr>
          <w:ilvl w:val="1"/>
          <w:numId w:val="95"/>
        </w:numPr>
      </w:pPr>
      <w:r>
        <w:t>i</w:t>
      </w:r>
      <w:r w:rsidR="005A0B08">
        <w:t>f the human health exposure band for the introduction is 3</w:t>
      </w:r>
      <w:r w:rsidR="00790831">
        <w:t xml:space="preserve"> - </w:t>
      </w:r>
      <w:r w:rsidR="005A0B08">
        <w:t xml:space="preserve"> </w:t>
      </w:r>
      <w:r w:rsidR="00853C62">
        <w:t>both of the following:</w:t>
      </w:r>
    </w:p>
    <w:p w14:paraId="5D9208C9" w14:textId="77777777" w:rsidR="00853C62" w:rsidRDefault="00974845" w:rsidP="003E3B1D">
      <w:pPr>
        <w:pStyle w:val="ListParagraph"/>
        <w:numPr>
          <w:ilvl w:val="2"/>
          <w:numId w:val="95"/>
        </w:numPr>
      </w:pPr>
      <w:r>
        <w:t>a</w:t>
      </w:r>
      <w:r w:rsidR="00853C62">
        <w:t xml:space="preserve"> suitable in silico prediction for acute toxicity (LD50) of the chemical of &gt;2,000 mg/kg bw/day</w:t>
      </w:r>
      <w:r w:rsidR="00045E3D">
        <w:t>,</w:t>
      </w:r>
      <w:r w:rsidR="00853C62">
        <w:t xml:space="preserve"> and</w:t>
      </w:r>
    </w:p>
    <w:p w14:paraId="4667DDB6" w14:textId="77777777" w:rsidR="00853C62" w:rsidRDefault="00974845" w:rsidP="003E3B1D">
      <w:pPr>
        <w:pStyle w:val="ListParagraph"/>
        <w:numPr>
          <w:ilvl w:val="2"/>
          <w:numId w:val="95"/>
        </w:numPr>
      </w:pPr>
      <w:r>
        <w:t>t</w:t>
      </w:r>
      <w:r w:rsidR="00853C62">
        <w:t>est results from an in vitro study on the chemical or from suitable read across information, conducted following an acceptable test guideline</w:t>
      </w:r>
      <w:r w:rsidR="00B53DD0">
        <w:t xml:space="preserve"> for acute oral toxicity</w:t>
      </w:r>
      <w:r w:rsidR="00853C62">
        <w:t xml:space="preserve">, </w:t>
      </w:r>
      <w:r w:rsidR="0023160C">
        <w:t xml:space="preserve">with a predicted LD50 </w:t>
      </w:r>
      <w:r w:rsidR="00853C62">
        <w:t>of &gt; 2,000 mg/kg bw,</w:t>
      </w:r>
      <w:r w:rsidR="0023160C">
        <w:t xml:space="preserve"> </w:t>
      </w:r>
      <w:r w:rsidR="00853C62">
        <w:t>or</w:t>
      </w:r>
    </w:p>
    <w:p w14:paraId="19B16F07" w14:textId="77777777" w:rsidR="005A0B08" w:rsidRDefault="00974845" w:rsidP="003E3B1D">
      <w:pPr>
        <w:pStyle w:val="ListParagraph"/>
        <w:numPr>
          <w:ilvl w:val="1"/>
          <w:numId w:val="95"/>
        </w:numPr>
      </w:pPr>
      <w:r>
        <w:t>i</w:t>
      </w:r>
      <w:r w:rsidR="005A0B08">
        <w:t xml:space="preserve">nformation that </w:t>
      </w:r>
      <w:r w:rsidR="006D0D17">
        <w:t>demonstrates</w:t>
      </w:r>
      <w:r w:rsidR="005A0B08">
        <w:t xml:space="preserve"> that the chemical is a high molecular weight polymer that has:</w:t>
      </w:r>
    </w:p>
    <w:p w14:paraId="46FD2633" w14:textId="77777777" w:rsidR="005A0B08" w:rsidRDefault="005A0B08" w:rsidP="003E3B1D">
      <w:pPr>
        <w:pStyle w:val="ListParagraph"/>
        <w:numPr>
          <w:ilvl w:val="2"/>
          <w:numId w:val="95"/>
        </w:numPr>
      </w:pPr>
      <w:r>
        <w:t>&lt; 5% by mass of molecules with molecular weight &lt; 1,000 g/mol, and</w:t>
      </w:r>
    </w:p>
    <w:p w14:paraId="78AF5761" w14:textId="77777777" w:rsidR="005A0B08" w:rsidRDefault="005A0B08" w:rsidP="003E3B1D">
      <w:pPr>
        <w:pStyle w:val="ListParagraph"/>
        <w:numPr>
          <w:ilvl w:val="2"/>
          <w:numId w:val="95"/>
        </w:numPr>
      </w:pPr>
      <w:r>
        <w:t xml:space="preserve">&lt; 2% by mass of molecules with molecular weight &lt; 500 g/mol </w:t>
      </w:r>
    </w:p>
    <w:p w14:paraId="79B810CE" w14:textId="77777777" w:rsidR="00552E04" w:rsidRDefault="00974845" w:rsidP="003E3B1D">
      <w:pPr>
        <w:pStyle w:val="ListParagraph"/>
        <w:numPr>
          <w:ilvl w:val="1"/>
          <w:numId w:val="95"/>
        </w:numPr>
      </w:pPr>
      <w:r>
        <w:t>i</w:t>
      </w:r>
      <w:r w:rsidR="00552E04" w:rsidRPr="00332C64">
        <w:t xml:space="preserve">nclusion of the chemical in the </w:t>
      </w:r>
      <w:r w:rsidR="00552E04">
        <w:t xml:space="preserve">Select Committee on </w:t>
      </w:r>
      <w:r w:rsidR="00552E04" w:rsidRPr="00332C64">
        <w:t xml:space="preserve">GRAS </w:t>
      </w:r>
      <w:r w:rsidR="00552E04">
        <w:t xml:space="preserve">Substances (SCOGS) Database </w:t>
      </w:r>
      <w:r w:rsidR="00552E04" w:rsidRPr="00332C64">
        <w:t xml:space="preserve">as a Type 1 conclusion, </w:t>
      </w:r>
      <w:r w:rsidR="00552E04">
        <w:t xml:space="preserve">as long as the human health exposure expected from the industrial use of the chemical is no higher than the human health exposure expected from food use, </w:t>
      </w:r>
      <w:r w:rsidR="00552E04" w:rsidRPr="00332C64">
        <w:t>or</w:t>
      </w:r>
    </w:p>
    <w:p w14:paraId="2569B6AF" w14:textId="77777777" w:rsidR="00552E04" w:rsidRDefault="00974845" w:rsidP="003E3B1D">
      <w:pPr>
        <w:pStyle w:val="ListParagraph"/>
        <w:numPr>
          <w:ilvl w:val="1"/>
          <w:numId w:val="95"/>
        </w:numPr>
      </w:pPr>
      <w:r>
        <w:t>t</w:t>
      </w:r>
      <w:r w:rsidR="00552E04">
        <w:t>he chemical has been notified to the US FDA GRAS notification program and FDA had no questions about the notifier’s conclusion of GRAS status, as long as the human health exposure expected from the industrial use of the chemical is no higher than the human health exposure expected from food use, or</w:t>
      </w:r>
    </w:p>
    <w:p w14:paraId="63921730" w14:textId="77777777" w:rsidR="00E018AC" w:rsidRPr="00332C64" w:rsidRDefault="00974845" w:rsidP="003E3B1D">
      <w:pPr>
        <w:pStyle w:val="ListParagraph"/>
        <w:numPr>
          <w:ilvl w:val="1"/>
          <w:numId w:val="95"/>
        </w:numPr>
      </w:pPr>
      <w:r>
        <w:t>t</w:t>
      </w:r>
      <w:r w:rsidR="00210A7A">
        <w:t xml:space="preserve">he chemical is permitted to be used as a food additive according to Schedule 15 of the </w:t>
      </w:r>
      <w:r w:rsidR="00210A7A" w:rsidRPr="00A0235A">
        <w:rPr>
          <w:i/>
        </w:rPr>
        <w:t>Australia New Zealand Food Standards Code - Standard 1.3.1 - Food Additives</w:t>
      </w:r>
      <w:r w:rsidR="00E018AC">
        <w:t>,</w:t>
      </w:r>
      <w:r w:rsidR="00E018AC" w:rsidRPr="00E018AC">
        <w:t xml:space="preserve"> </w:t>
      </w:r>
      <w:r w:rsidR="00E018AC">
        <w:t>as long as the human health exposure expected from the industrial use of the chemical is no higher than the human health exposure expected from food use, or</w:t>
      </w:r>
    </w:p>
    <w:p w14:paraId="76906E71" w14:textId="77777777" w:rsidR="00B50DAF" w:rsidRDefault="00974845" w:rsidP="003E3B1D">
      <w:pPr>
        <w:pStyle w:val="ListParagraph"/>
        <w:numPr>
          <w:ilvl w:val="1"/>
          <w:numId w:val="95"/>
        </w:numPr>
      </w:pPr>
      <w:r>
        <w:t>i</w:t>
      </w:r>
      <w:r w:rsidR="00B50DAF">
        <w:t xml:space="preserve">nformation that </w:t>
      </w:r>
      <w:r w:rsidR="006D0D17">
        <w:t>demonstrates</w:t>
      </w:r>
      <w:r w:rsidR="00B50DAF">
        <w:t xml:space="preserve"> that the chemical is a substance covered by Entry 9 of Annex V </w:t>
      </w:r>
      <w:r w:rsidR="0023160C">
        <w:t xml:space="preserve">of </w:t>
      </w:r>
      <w:r w:rsidR="003356CA">
        <w:t>the REACH</w:t>
      </w:r>
      <w:r w:rsidR="005E3028">
        <w:t xml:space="preserve"> Regulation</w:t>
      </w:r>
      <w:r w:rsidR="00210A7A">
        <w:t>, or</w:t>
      </w:r>
    </w:p>
    <w:p w14:paraId="1DE9D55F" w14:textId="77777777" w:rsidR="003E7508" w:rsidRDefault="00974845" w:rsidP="003E3B1D">
      <w:pPr>
        <w:pStyle w:val="ListParagraph"/>
        <w:numPr>
          <w:ilvl w:val="1"/>
          <w:numId w:val="95"/>
        </w:numPr>
      </w:pPr>
      <w:r>
        <w:t>a</w:t>
      </w:r>
      <w:r w:rsidR="003E7508">
        <w:t xml:space="preserve"> test result from at least one in vivo study on the chemical or from suitable read across information</w:t>
      </w:r>
      <w:r w:rsidR="003E7508" w:rsidRPr="004F090A">
        <w:t xml:space="preserve">, </w:t>
      </w:r>
      <w:r w:rsidR="003E7508">
        <w:t xml:space="preserve">as detailed below, </w:t>
      </w:r>
      <w:r w:rsidR="003E7508" w:rsidRPr="004F090A">
        <w:t>with the administration route dependent on the most relevant route of exposure (or the oral route if information on the most relevant route is not available)</w:t>
      </w:r>
      <w:r w:rsidR="0023160C">
        <w:t>:</w:t>
      </w:r>
    </w:p>
    <w:p w14:paraId="2EAB5BC7" w14:textId="77777777" w:rsidR="005A0B08" w:rsidRPr="00460914" w:rsidRDefault="005A0B08" w:rsidP="003E3B1D">
      <w:pPr>
        <w:pStyle w:val="ListParagraph"/>
        <w:numPr>
          <w:ilvl w:val="2"/>
          <w:numId w:val="95"/>
        </w:numPr>
      </w:pPr>
      <w:r w:rsidRPr="00460914">
        <w:t xml:space="preserve">conducted following </w:t>
      </w:r>
      <w:r w:rsidR="00790831">
        <w:t>an acceptable test guideline for acute oral toxicity with an LD50</w:t>
      </w:r>
      <w:r w:rsidR="00A929A1">
        <w:t xml:space="preserve">  &gt;2,0</w:t>
      </w:r>
      <w:r w:rsidRPr="00460914">
        <w:t>00 mg/kg bw, or</w:t>
      </w:r>
    </w:p>
    <w:p w14:paraId="7EECB8F5" w14:textId="77777777" w:rsidR="005A0B08" w:rsidRDefault="005A0B08" w:rsidP="003E3B1D">
      <w:pPr>
        <w:pStyle w:val="ListParagraph"/>
        <w:numPr>
          <w:ilvl w:val="2"/>
          <w:numId w:val="95"/>
        </w:numPr>
      </w:pPr>
      <w:r w:rsidRPr="00460914">
        <w:t xml:space="preserve">conducted following </w:t>
      </w:r>
      <w:r w:rsidR="00790831">
        <w:t>an acceptable test guideline for acute dermal toxicity with an LD50</w:t>
      </w:r>
      <w:r w:rsidR="00A929A1">
        <w:t xml:space="preserve">  &gt;2</w:t>
      </w:r>
      <w:r w:rsidRPr="00460914">
        <w:t>,000 mg/kg bw, or</w:t>
      </w:r>
    </w:p>
    <w:p w14:paraId="5A807CC6" w14:textId="77777777" w:rsidR="00CC3450" w:rsidRDefault="005A0B08" w:rsidP="003E3B1D">
      <w:pPr>
        <w:pStyle w:val="ListParagraph"/>
        <w:numPr>
          <w:ilvl w:val="2"/>
          <w:numId w:val="95"/>
        </w:numPr>
      </w:pPr>
      <w:r w:rsidRPr="00460914">
        <w:t xml:space="preserve">conducted following </w:t>
      </w:r>
      <w:r w:rsidR="00790831">
        <w:t xml:space="preserve">an acceptable test guideline </w:t>
      </w:r>
      <w:r w:rsidR="00853C62">
        <w:t xml:space="preserve">for acute inhalation toxicity </w:t>
      </w:r>
      <w:r w:rsidR="00790831">
        <w:t>with an LC50</w:t>
      </w:r>
      <w:r w:rsidR="00CC3450">
        <w:t>:</w:t>
      </w:r>
    </w:p>
    <w:p w14:paraId="0E3F95D1" w14:textId="77777777" w:rsidR="00CC3450" w:rsidRDefault="00CC3450" w:rsidP="003E3B1D">
      <w:pPr>
        <w:pStyle w:val="ListParagraph"/>
        <w:numPr>
          <w:ilvl w:val="3"/>
          <w:numId w:val="95"/>
        </w:numPr>
      </w:pPr>
      <w:r>
        <w:t>for gases</w:t>
      </w:r>
      <w:r w:rsidRPr="00460914">
        <w:t xml:space="preserve"> </w:t>
      </w:r>
      <w:r>
        <w:t xml:space="preserve">- </w:t>
      </w:r>
      <w:r w:rsidRPr="00460914">
        <w:t>&gt;2</w:t>
      </w:r>
      <w:r>
        <w:t>0</w:t>
      </w:r>
      <w:r w:rsidRPr="00460914">
        <w:t>,</w:t>
      </w:r>
      <w:r>
        <w:t>000 ppmV/4h</w:t>
      </w:r>
      <w:r w:rsidR="00974845">
        <w:t>,</w:t>
      </w:r>
      <w:r>
        <w:t xml:space="preserve"> or </w:t>
      </w:r>
    </w:p>
    <w:p w14:paraId="38633D41" w14:textId="77777777" w:rsidR="00CC3450" w:rsidRDefault="00CC3450" w:rsidP="003E3B1D">
      <w:pPr>
        <w:pStyle w:val="ListParagraph"/>
        <w:numPr>
          <w:ilvl w:val="3"/>
          <w:numId w:val="95"/>
        </w:numPr>
      </w:pPr>
      <w:r>
        <w:t>for vapours - &gt;20 mg/L/4h</w:t>
      </w:r>
      <w:r w:rsidR="00974845">
        <w:t>,</w:t>
      </w:r>
      <w:r>
        <w:t xml:space="preserve"> or </w:t>
      </w:r>
    </w:p>
    <w:p w14:paraId="5231C7A5" w14:textId="77777777" w:rsidR="00E259E2" w:rsidRDefault="00CC3450" w:rsidP="003E3B1D">
      <w:pPr>
        <w:pStyle w:val="ListParagraph"/>
        <w:numPr>
          <w:ilvl w:val="3"/>
          <w:numId w:val="95"/>
        </w:numPr>
      </w:pPr>
      <w:r w:rsidRPr="00460914">
        <w:lastRenderedPageBreak/>
        <w:t>for dusts/mists/fumes</w:t>
      </w:r>
      <w:r>
        <w:t xml:space="preserve"> - &gt;5</w:t>
      </w:r>
      <w:r w:rsidRPr="00460914">
        <w:t xml:space="preserve"> mg/L</w:t>
      </w:r>
      <w:r>
        <w:t>/4h</w:t>
      </w:r>
      <w:r w:rsidR="00045E3D">
        <w:t>, or</w:t>
      </w:r>
    </w:p>
    <w:p w14:paraId="5AC4E765" w14:textId="77777777" w:rsidR="005A0B08" w:rsidRDefault="00974845" w:rsidP="003E3B1D">
      <w:pPr>
        <w:pStyle w:val="ListParagraph"/>
        <w:numPr>
          <w:ilvl w:val="1"/>
          <w:numId w:val="95"/>
        </w:numPr>
      </w:pPr>
      <w:r>
        <w:t>t</w:t>
      </w:r>
      <w:r w:rsidR="00790831">
        <w:t xml:space="preserve">est results from an in vivo study on the chemical or from suitable read across information, conducted following an acceptable test guideline for subacute oral toxicity, with a NOAEL </w:t>
      </w:r>
      <w:r w:rsidR="00790831" w:rsidRPr="00A0235A">
        <w:rPr>
          <w:rFonts w:cs="Segoe UI"/>
        </w:rPr>
        <w:t>≥</w:t>
      </w:r>
      <w:r w:rsidR="00790831">
        <w:t xml:space="preserve"> 1,000 mg/kg bw/day</w:t>
      </w:r>
      <w:r w:rsidR="00AF6BDB">
        <w:t>.</w:t>
      </w:r>
    </w:p>
    <w:p w14:paraId="4EEE0174" w14:textId="77777777" w:rsidR="00432D25" w:rsidRPr="00EE3FF0" w:rsidRDefault="00432D25" w:rsidP="00432D25">
      <w:pPr>
        <w:rPr>
          <w:lang w:eastAsia="en-AU"/>
        </w:rPr>
      </w:pPr>
    </w:p>
    <w:p w14:paraId="1BBAB155" w14:textId="77777777" w:rsidR="00D52C32" w:rsidRDefault="00A31150" w:rsidP="00336A73">
      <w:pPr>
        <w:pStyle w:val="Heading2"/>
      </w:pPr>
      <w:bookmarkStart w:id="40" w:name="_Toc43890224"/>
      <w:r>
        <w:t>Ozone depleting chemical</w:t>
      </w:r>
      <w:r w:rsidR="00D52C32">
        <w:t xml:space="preserve"> – Environment hazard band D</w:t>
      </w:r>
      <w:bookmarkEnd w:id="40"/>
    </w:p>
    <w:p w14:paraId="6431DCD3" w14:textId="77777777" w:rsidR="00D52C32" w:rsidRDefault="00877BCF" w:rsidP="00FA0F32">
      <w:pPr>
        <w:pStyle w:val="Heading3"/>
        <w:ind w:left="709"/>
      </w:pPr>
      <w:r>
        <w:t xml:space="preserve">Clause </w:t>
      </w:r>
      <w:r w:rsidR="00D52C32">
        <w:t xml:space="preserve">4 of Part 2, Schedule 1 </w:t>
      </w:r>
      <w:r w:rsidR="00A252F1">
        <w:t xml:space="preserve">to </w:t>
      </w:r>
      <w:r w:rsidR="00D52C32">
        <w:t xml:space="preserve">the </w:t>
      </w:r>
      <w:r w:rsidR="009547E9">
        <w:t>IC General Rules</w:t>
      </w:r>
      <w:r w:rsidR="00D52C32">
        <w:t xml:space="preserve"> </w:t>
      </w:r>
    </w:p>
    <w:p w14:paraId="67F16769" w14:textId="77777777" w:rsidR="00367104" w:rsidRDefault="005364A6" w:rsidP="00FA0F32">
      <w:pPr>
        <w:rPr>
          <w:rStyle w:val="normaltextrun"/>
          <w:color w:val="000000"/>
          <w:shd w:val="clear" w:color="auto" w:fill="FFFFFF"/>
        </w:rPr>
      </w:pPr>
      <w:r>
        <w:rPr>
          <w:rStyle w:val="normaltextrun"/>
          <w:color w:val="000000"/>
          <w:shd w:val="clear" w:color="auto" w:fill="FFFFFF"/>
        </w:rPr>
        <w:t xml:space="preserve">For the purposes of table item 2 of </w:t>
      </w:r>
      <w:r w:rsidR="008C7CA6">
        <w:rPr>
          <w:rStyle w:val="normaltextrun"/>
          <w:color w:val="000000"/>
          <w:shd w:val="clear" w:color="auto" w:fill="FFFFFF"/>
        </w:rPr>
        <w:t xml:space="preserve">Clause 4, </w:t>
      </w:r>
      <w:r>
        <w:rPr>
          <w:rStyle w:val="normaltextrun"/>
          <w:color w:val="000000"/>
          <w:shd w:val="clear" w:color="auto" w:fill="FFFFFF"/>
        </w:rPr>
        <w:t xml:space="preserve">Part 2, Schedule 1 </w:t>
      </w:r>
      <w:r w:rsidR="008C7CA6">
        <w:rPr>
          <w:rStyle w:val="normaltextrun"/>
          <w:color w:val="000000"/>
          <w:shd w:val="clear" w:color="auto" w:fill="FFFFFF"/>
        </w:rPr>
        <w:t xml:space="preserve">to </w:t>
      </w:r>
      <w:r w:rsidR="0062271E">
        <w:rPr>
          <w:rStyle w:val="normaltextrun"/>
          <w:color w:val="000000"/>
          <w:shd w:val="clear" w:color="auto" w:fill="FFFFFF"/>
        </w:rPr>
        <w:t>the IC General Rules</w:t>
      </w:r>
      <w:r w:rsidR="00367104">
        <w:rPr>
          <w:rStyle w:val="normaltextrun"/>
          <w:color w:val="000000"/>
          <w:shd w:val="clear" w:color="auto" w:fill="FFFFFF"/>
        </w:rPr>
        <w:t>:</w:t>
      </w:r>
    </w:p>
    <w:p w14:paraId="33192267" w14:textId="77777777" w:rsidR="00D52C32" w:rsidRDefault="0000452D" w:rsidP="00FA0F32">
      <w:pPr>
        <w:rPr>
          <w:rStyle w:val="eop"/>
          <w:color w:val="000000"/>
          <w:shd w:val="clear" w:color="auto" w:fill="FFFFFF"/>
        </w:rPr>
      </w:pPr>
      <w:r w:rsidRPr="008C7CA6">
        <w:rPr>
          <w:rStyle w:val="normaltextrun"/>
          <w:b/>
          <w:color w:val="000000"/>
          <w:shd w:val="clear" w:color="auto" w:fill="FFFFFF"/>
        </w:rPr>
        <w:t>Ozone depleting chemical</w:t>
      </w:r>
      <w:r>
        <w:rPr>
          <w:rStyle w:val="normaltextrun"/>
          <w:color w:val="000000"/>
          <w:shd w:val="clear" w:color="auto" w:fill="FFFFFF"/>
        </w:rPr>
        <w:t xml:space="preserve"> means that any of the</w:t>
      </w:r>
      <w:r w:rsidR="00F645F9">
        <w:rPr>
          <w:rStyle w:val="normaltextrun"/>
          <w:color w:val="000000"/>
          <w:shd w:val="clear" w:color="auto" w:fill="FFFFFF"/>
        </w:rPr>
        <w:t xml:space="preserve"> following apply to the</w:t>
      </w:r>
      <w:r w:rsidR="005364A6">
        <w:rPr>
          <w:rStyle w:val="normaltextrun"/>
          <w:color w:val="000000"/>
          <w:shd w:val="clear" w:color="auto" w:fill="FFFFFF"/>
        </w:rPr>
        <w:t xml:space="preserve"> industrial chemical:</w:t>
      </w:r>
      <w:r w:rsidR="005364A6">
        <w:rPr>
          <w:rStyle w:val="eop"/>
          <w:color w:val="000000"/>
          <w:shd w:val="clear" w:color="auto" w:fill="FFFFFF"/>
        </w:rPr>
        <w:t> </w:t>
      </w:r>
    </w:p>
    <w:p w14:paraId="66499B8A" w14:textId="77777777" w:rsidR="00723963" w:rsidRPr="00E96B3E" w:rsidRDefault="00792FF0" w:rsidP="003E3B1D">
      <w:pPr>
        <w:pStyle w:val="ListParagraph"/>
        <w:numPr>
          <w:ilvl w:val="0"/>
          <w:numId w:val="96"/>
        </w:numPr>
        <w:rPr>
          <w:rFonts w:cs="Segoe UI"/>
        </w:rPr>
      </w:pPr>
      <w:r w:rsidRPr="00FA0F32">
        <w:rPr>
          <w:rStyle w:val="eop"/>
          <w:color w:val="000000"/>
          <w:shd w:val="clear" w:color="auto" w:fill="FFFFFF"/>
        </w:rPr>
        <w:t xml:space="preserve">the chemical is </w:t>
      </w:r>
      <w:r w:rsidR="00E96B3E">
        <w:rPr>
          <w:rStyle w:val="eop"/>
          <w:color w:val="000000"/>
          <w:shd w:val="clear" w:color="auto" w:fill="FFFFFF"/>
        </w:rPr>
        <w:t>controlled under</w:t>
      </w:r>
      <w:r w:rsidR="00723963" w:rsidRPr="00FA0F32">
        <w:rPr>
          <w:rFonts w:ascii="Arial" w:hAnsi="Arial" w:cs="Arial"/>
        </w:rPr>
        <w:t xml:space="preserve"> </w:t>
      </w:r>
      <w:r w:rsidR="00723963" w:rsidRPr="00E96B3E">
        <w:rPr>
          <w:rFonts w:cs="Segoe UI"/>
        </w:rPr>
        <w:t xml:space="preserve">the </w:t>
      </w:r>
      <w:r w:rsidR="00FA0F32" w:rsidRPr="00E96B3E">
        <w:rPr>
          <w:rFonts w:cs="Segoe UI"/>
          <w:i/>
        </w:rPr>
        <w:t xml:space="preserve">Ozone </w:t>
      </w:r>
      <w:r w:rsidR="00723963" w:rsidRPr="00E96B3E">
        <w:rPr>
          <w:rFonts w:cs="Segoe UI"/>
          <w:i/>
        </w:rPr>
        <w:t>Protection and Synthetic Greenhouse Gas Management Act 1989</w:t>
      </w:r>
      <w:r w:rsidR="00554AAA" w:rsidRPr="00E96B3E">
        <w:rPr>
          <w:rFonts w:cs="Segoe UI"/>
        </w:rPr>
        <w:t>, or</w:t>
      </w:r>
    </w:p>
    <w:p w14:paraId="30E0D9F8" w14:textId="77777777" w:rsidR="00322108" w:rsidRDefault="002B41FB" w:rsidP="003E3B1D">
      <w:pPr>
        <w:pStyle w:val="ListParagraph"/>
        <w:numPr>
          <w:ilvl w:val="0"/>
          <w:numId w:val="96"/>
        </w:numPr>
        <w:rPr>
          <w:rStyle w:val="eop"/>
          <w:color w:val="000000"/>
          <w:shd w:val="clear" w:color="auto" w:fill="FFFFFF"/>
        </w:rPr>
      </w:pPr>
      <w:r w:rsidRPr="00FA0F32">
        <w:rPr>
          <w:rStyle w:val="eop"/>
          <w:color w:val="000000"/>
          <w:shd w:val="clear" w:color="auto" w:fill="FFFFFF"/>
        </w:rPr>
        <w:t>the chemical is</w:t>
      </w:r>
      <w:r w:rsidR="00E96B3E">
        <w:rPr>
          <w:rStyle w:val="eop"/>
          <w:color w:val="000000"/>
          <w:shd w:val="clear" w:color="auto" w:fill="FFFFFF"/>
        </w:rPr>
        <w:t xml:space="preserve"> controlled under</w:t>
      </w:r>
      <w:r w:rsidRPr="00FA0F32">
        <w:rPr>
          <w:rStyle w:val="eop"/>
          <w:color w:val="000000"/>
          <w:shd w:val="clear" w:color="auto" w:fill="FFFFFF"/>
        </w:rPr>
        <w:t xml:space="preserve"> the </w:t>
      </w:r>
      <w:r w:rsidRPr="00FA0F32">
        <w:rPr>
          <w:rStyle w:val="eop"/>
          <w:i/>
          <w:color w:val="000000"/>
          <w:shd w:val="clear" w:color="auto" w:fill="FFFFFF"/>
        </w:rPr>
        <w:t>Montreal Protocol on Substances that Deplete the Ozone Layer</w:t>
      </w:r>
      <w:r w:rsidR="00D11D79" w:rsidRPr="00FA0F32">
        <w:rPr>
          <w:rStyle w:val="eop"/>
          <w:color w:val="000000"/>
          <w:shd w:val="clear" w:color="auto" w:fill="FFFFFF"/>
        </w:rPr>
        <w:t>.</w:t>
      </w:r>
    </w:p>
    <w:p w14:paraId="3D16DAF5" w14:textId="77777777" w:rsidR="00555B5B" w:rsidRPr="00FA0F32" w:rsidRDefault="00555B5B" w:rsidP="00555B5B">
      <w:pPr>
        <w:pStyle w:val="ListParagraph"/>
        <w:numPr>
          <w:ilvl w:val="0"/>
          <w:numId w:val="0"/>
        </w:numPr>
        <w:ind w:left="720"/>
        <w:rPr>
          <w:rStyle w:val="eop"/>
          <w:color w:val="000000"/>
          <w:shd w:val="clear" w:color="auto" w:fill="FFFFFF"/>
        </w:rPr>
      </w:pPr>
    </w:p>
    <w:p w14:paraId="30DAB701" w14:textId="77777777" w:rsidR="002C6D50" w:rsidRDefault="002C6D50" w:rsidP="002C6D50">
      <w:pPr>
        <w:pStyle w:val="Heading2"/>
      </w:pPr>
      <w:bookmarkStart w:id="41" w:name="_Toc43890225"/>
      <w:r>
        <w:t>Synthetic greenhouse gas – Environment hazard band D</w:t>
      </w:r>
      <w:bookmarkEnd w:id="41"/>
    </w:p>
    <w:p w14:paraId="51AB7E93" w14:textId="77777777" w:rsidR="002C6D50" w:rsidRDefault="00877BCF" w:rsidP="00FA0F32">
      <w:pPr>
        <w:pStyle w:val="Heading3"/>
        <w:ind w:left="709"/>
      </w:pPr>
      <w:r>
        <w:t xml:space="preserve">Clause </w:t>
      </w:r>
      <w:r w:rsidR="002C6D50">
        <w:t xml:space="preserve">4 of Part 2, Schedule 1 </w:t>
      </w:r>
      <w:r w:rsidR="00627359">
        <w:t xml:space="preserve">to </w:t>
      </w:r>
      <w:r w:rsidR="002C6D50">
        <w:t xml:space="preserve">the </w:t>
      </w:r>
      <w:r w:rsidR="009547E9">
        <w:t>IC General Rules</w:t>
      </w:r>
      <w:r w:rsidR="002C6D50">
        <w:t xml:space="preserve"> </w:t>
      </w:r>
    </w:p>
    <w:p w14:paraId="3B23A5BE" w14:textId="77777777" w:rsidR="002C6D50" w:rsidRDefault="002C6D50" w:rsidP="00FA0F32">
      <w:pPr>
        <w:rPr>
          <w:rStyle w:val="normaltextrun"/>
          <w:color w:val="000000"/>
          <w:shd w:val="clear" w:color="auto" w:fill="FFFFFF"/>
        </w:rPr>
      </w:pPr>
      <w:r>
        <w:rPr>
          <w:rStyle w:val="normaltextrun"/>
          <w:color w:val="000000"/>
          <w:shd w:val="clear" w:color="auto" w:fill="FFFFFF"/>
        </w:rPr>
        <w:t xml:space="preserve">For the purposes of table item 3 of </w:t>
      </w:r>
      <w:r w:rsidR="00627359">
        <w:rPr>
          <w:rStyle w:val="normaltextrun"/>
          <w:color w:val="000000"/>
          <w:shd w:val="clear" w:color="auto" w:fill="FFFFFF"/>
        </w:rPr>
        <w:t xml:space="preserve">Clause 4, </w:t>
      </w:r>
      <w:r>
        <w:rPr>
          <w:rStyle w:val="normaltextrun"/>
          <w:color w:val="000000"/>
          <w:shd w:val="clear" w:color="auto" w:fill="FFFFFF"/>
        </w:rPr>
        <w:t xml:space="preserve">Part 2, Schedule 1 </w:t>
      </w:r>
      <w:r w:rsidR="00627359">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619A49C8" w14:textId="77777777" w:rsidR="00FA0F32" w:rsidRDefault="002C6D50" w:rsidP="00FA0F32">
      <w:pPr>
        <w:rPr>
          <w:rStyle w:val="eop"/>
          <w:color w:val="000000"/>
          <w:shd w:val="clear" w:color="auto" w:fill="FFFFFF"/>
        </w:rPr>
      </w:pPr>
      <w:r w:rsidRPr="00627359">
        <w:rPr>
          <w:rStyle w:val="normaltextrun"/>
          <w:b/>
          <w:color w:val="000000"/>
          <w:shd w:val="clear" w:color="auto" w:fill="FFFFFF"/>
        </w:rPr>
        <w:t>Synthetic greenhouse gas</w:t>
      </w:r>
      <w:r>
        <w:rPr>
          <w:rStyle w:val="normaltextrun"/>
          <w:color w:val="000000"/>
          <w:shd w:val="clear" w:color="auto" w:fill="FFFFFF"/>
        </w:rPr>
        <w:t xml:space="preserve"> means that any of the following apply to the industrial chemical:</w:t>
      </w:r>
      <w:r>
        <w:rPr>
          <w:rStyle w:val="eop"/>
          <w:color w:val="000000"/>
          <w:shd w:val="clear" w:color="auto" w:fill="FFFFFF"/>
        </w:rPr>
        <w:t> </w:t>
      </w:r>
    </w:p>
    <w:p w14:paraId="770D5CBD" w14:textId="77777777" w:rsidR="002C6D50" w:rsidRPr="00FA0F32" w:rsidRDefault="002C6D50" w:rsidP="003E3B1D">
      <w:pPr>
        <w:pStyle w:val="ListParagraph"/>
        <w:numPr>
          <w:ilvl w:val="0"/>
          <w:numId w:val="97"/>
        </w:numPr>
        <w:rPr>
          <w:rStyle w:val="eop"/>
          <w:color w:val="000000"/>
          <w:shd w:val="clear" w:color="auto" w:fill="FFFFFF"/>
        </w:rPr>
      </w:pPr>
      <w:r w:rsidRPr="00FA0F32">
        <w:rPr>
          <w:rStyle w:val="eop"/>
          <w:color w:val="000000"/>
          <w:shd w:val="clear" w:color="auto" w:fill="FFFFFF"/>
        </w:rPr>
        <w:t>the chemical is</w:t>
      </w:r>
      <w:r w:rsidR="00E96B3E">
        <w:rPr>
          <w:rStyle w:val="eop"/>
          <w:color w:val="000000"/>
          <w:shd w:val="clear" w:color="auto" w:fill="FFFFFF"/>
        </w:rPr>
        <w:t xml:space="preserve"> controlled under</w:t>
      </w:r>
      <w:r w:rsidRPr="00FA0F32">
        <w:rPr>
          <w:rStyle w:val="eop"/>
          <w:color w:val="000000"/>
          <w:shd w:val="clear" w:color="auto" w:fill="FFFFFF"/>
        </w:rPr>
        <w:t xml:space="preserve"> the </w:t>
      </w:r>
      <w:r w:rsidRPr="00FA0F32">
        <w:rPr>
          <w:rStyle w:val="eop"/>
          <w:i/>
          <w:color w:val="000000"/>
          <w:shd w:val="clear" w:color="auto" w:fill="FFFFFF"/>
        </w:rPr>
        <w:t>Ozone Protection and Synthetic Greenhouse Gas Management Act 1989</w:t>
      </w:r>
      <w:r w:rsidR="00E96B3E">
        <w:rPr>
          <w:rStyle w:val="eop"/>
          <w:i/>
          <w:color w:val="000000"/>
          <w:shd w:val="clear" w:color="auto" w:fill="FFFFFF"/>
        </w:rPr>
        <w:t>,</w:t>
      </w:r>
      <w:r w:rsidR="00565CC5" w:rsidRPr="00FA0F32">
        <w:rPr>
          <w:rStyle w:val="eop"/>
          <w:color w:val="000000"/>
          <w:shd w:val="clear" w:color="auto" w:fill="FFFFFF"/>
        </w:rPr>
        <w:t xml:space="preserve"> or</w:t>
      </w:r>
    </w:p>
    <w:p w14:paraId="56ABABC1" w14:textId="77777777" w:rsidR="002C6D50" w:rsidRDefault="002C6D50" w:rsidP="003E3B1D">
      <w:pPr>
        <w:pStyle w:val="ListParagraph"/>
        <w:numPr>
          <w:ilvl w:val="0"/>
          <w:numId w:val="97"/>
        </w:numPr>
        <w:rPr>
          <w:rStyle w:val="eop"/>
          <w:color w:val="000000"/>
          <w:shd w:val="clear" w:color="auto" w:fill="FFFFFF"/>
        </w:rPr>
      </w:pPr>
      <w:r w:rsidRPr="00FA0F32">
        <w:rPr>
          <w:rStyle w:val="eop"/>
          <w:color w:val="000000"/>
          <w:shd w:val="clear" w:color="auto" w:fill="FFFFFF"/>
        </w:rPr>
        <w:t xml:space="preserve">the chemical is listed on the </w:t>
      </w:r>
      <w:r w:rsidRPr="00FA0F32">
        <w:rPr>
          <w:rStyle w:val="eop"/>
          <w:i/>
          <w:color w:val="000000"/>
          <w:shd w:val="clear" w:color="auto" w:fill="FFFFFF"/>
        </w:rPr>
        <w:t xml:space="preserve">Kyoto Protocol, Synthetic Greenhouse Gases </w:t>
      </w:r>
      <w:r w:rsidRPr="00FA0F32">
        <w:rPr>
          <w:rStyle w:val="eop"/>
          <w:color w:val="000000"/>
          <w:shd w:val="clear" w:color="auto" w:fill="FFFFFF"/>
        </w:rPr>
        <w:t>under Annex A</w:t>
      </w:r>
      <w:r w:rsidR="00FD260C">
        <w:rPr>
          <w:rStyle w:val="eop"/>
          <w:color w:val="000000"/>
          <w:shd w:val="clear" w:color="auto" w:fill="FFFFFF"/>
        </w:rPr>
        <w:t>, or</w:t>
      </w:r>
    </w:p>
    <w:p w14:paraId="12E8F6F0" w14:textId="77777777" w:rsidR="00006037" w:rsidRPr="00555B5B" w:rsidRDefault="00006037" w:rsidP="003E3B1D">
      <w:pPr>
        <w:pStyle w:val="ListParagraph"/>
        <w:numPr>
          <w:ilvl w:val="0"/>
          <w:numId w:val="97"/>
        </w:numPr>
        <w:rPr>
          <w:rStyle w:val="eop"/>
          <w:color w:val="000000"/>
          <w:shd w:val="clear" w:color="auto" w:fill="FFFFFF"/>
        </w:rPr>
      </w:pPr>
      <w:r>
        <w:rPr>
          <w:rStyle w:val="eop"/>
          <w:color w:val="000000"/>
          <w:shd w:val="clear" w:color="auto" w:fill="FFFFFF"/>
        </w:rPr>
        <w:t xml:space="preserve">the chemical is controlled under the </w:t>
      </w:r>
      <w:r>
        <w:rPr>
          <w:rStyle w:val="eop"/>
          <w:i/>
          <w:color w:val="000000"/>
          <w:shd w:val="clear" w:color="auto" w:fill="FFFFFF"/>
        </w:rPr>
        <w:t>Montreal Protocol on Substances that Deplete the Ozone Layer</w:t>
      </w:r>
      <w:r w:rsidR="00FD260C">
        <w:rPr>
          <w:rStyle w:val="eop"/>
          <w:i/>
          <w:color w:val="000000"/>
          <w:shd w:val="clear" w:color="auto" w:fill="FFFFFF"/>
        </w:rPr>
        <w:t>.</w:t>
      </w:r>
    </w:p>
    <w:p w14:paraId="0E561747" w14:textId="77777777" w:rsidR="00555B5B" w:rsidRPr="00FA0F32" w:rsidRDefault="00555B5B" w:rsidP="00555B5B">
      <w:pPr>
        <w:pStyle w:val="ListParagraph"/>
        <w:numPr>
          <w:ilvl w:val="0"/>
          <w:numId w:val="0"/>
        </w:numPr>
        <w:ind w:left="720"/>
        <w:rPr>
          <w:rStyle w:val="eop"/>
          <w:color w:val="000000"/>
          <w:shd w:val="clear" w:color="auto" w:fill="FFFFFF"/>
        </w:rPr>
      </w:pPr>
    </w:p>
    <w:p w14:paraId="17C7BA37" w14:textId="77777777" w:rsidR="00EE3FF0" w:rsidRDefault="00EE3FF0" w:rsidP="00EE3FF0">
      <w:pPr>
        <w:pStyle w:val="Heading2"/>
      </w:pPr>
      <w:bookmarkStart w:id="42" w:name="_Toc43890226"/>
      <w:r>
        <w:t xml:space="preserve">Adverse effects mediated by an endocrine mode of action – Environment hazard band </w:t>
      </w:r>
      <w:r w:rsidR="002E7331">
        <w:t>D</w:t>
      </w:r>
      <w:bookmarkEnd w:id="42"/>
    </w:p>
    <w:p w14:paraId="643F8507" w14:textId="77777777" w:rsidR="00EE3FF0" w:rsidRDefault="00877BCF" w:rsidP="00FA0F32">
      <w:pPr>
        <w:pStyle w:val="Heading3"/>
        <w:ind w:left="709"/>
      </w:pPr>
      <w:r>
        <w:t xml:space="preserve">Clause </w:t>
      </w:r>
      <w:r w:rsidR="00EE3FF0">
        <w:t xml:space="preserve">4 of Part 2, Schedule 1 </w:t>
      </w:r>
      <w:r w:rsidR="00F554B5">
        <w:t xml:space="preserve">to </w:t>
      </w:r>
      <w:r w:rsidR="00EE3FF0">
        <w:t xml:space="preserve">the </w:t>
      </w:r>
      <w:r w:rsidR="009547E9">
        <w:t>IC General Rules</w:t>
      </w:r>
      <w:r w:rsidR="00EE3FF0">
        <w:t xml:space="preserve"> </w:t>
      </w:r>
    </w:p>
    <w:p w14:paraId="73DF4E75" w14:textId="77777777" w:rsidR="0049004C" w:rsidRDefault="0049004C" w:rsidP="00FA0F32">
      <w:r>
        <w:t xml:space="preserve">For the purposes of table item 4 of </w:t>
      </w:r>
      <w:r w:rsidR="00F554B5">
        <w:t xml:space="preserve">Clause 4, </w:t>
      </w:r>
      <w:r>
        <w:t xml:space="preserve">Part 2, Schedule 1 </w:t>
      </w:r>
      <w:r w:rsidR="00F554B5">
        <w:t xml:space="preserve">to </w:t>
      </w:r>
      <w:r>
        <w:t>the IC General Rules:</w:t>
      </w:r>
    </w:p>
    <w:p w14:paraId="58D1D471" w14:textId="77777777" w:rsidR="0049004C" w:rsidRDefault="0049004C" w:rsidP="00FA0F32">
      <w:r w:rsidRPr="00F554B5">
        <w:rPr>
          <w:b/>
        </w:rPr>
        <w:t>Adverse effects mediated by an endocrine mode of action</w:t>
      </w:r>
      <w:r>
        <w:t xml:space="preserve"> means that any of the following apply to the industrial chemical:</w:t>
      </w:r>
    </w:p>
    <w:p w14:paraId="04CFC94C" w14:textId="77777777" w:rsidR="0049004C" w:rsidRPr="00045961" w:rsidRDefault="00E132FA" w:rsidP="003E3B1D">
      <w:pPr>
        <w:pStyle w:val="ListParagraph"/>
        <w:numPr>
          <w:ilvl w:val="0"/>
          <w:numId w:val="98"/>
        </w:numPr>
      </w:pPr>
      <w:r>
        <w:lastRenderedPageBreak/>
        <w:t>t</w:t>
      </w:r>
      <w:r w:rsidR="0049004C" w:rsidRPr="00045961">
        <w:t>he chemical meets all of the following:</w:t>
      </w:r>
    </w:p>
    <w:p w14:paraId="326A1EB5" w14:textId="77777777" w:rsidR="0049004C" w:rsidRPr="00045961" w:rsidRDefault="001C39F8" w:rsidP="003E3B1D">
      <w:pPr>
        <w:pStyle w:val="ListParagraph"/>
        <w:numPr>
          <w:ilvl w:val="1"/>
          <w:numId w:val="98"/>
        </w:numPr>
      </w:pPr>
      <w:r>
        <w:t>i</w:t>
      </w:r>
      <w:r w:rsidR="0049004C" w:rsidRPr="00045961">
        <w:t>t shows an adverse effect in an intact organism or its progeny, which is a change in the morphology, physiology, growth, development, reproduction or lifespan of an organism, system or (sub)population that results in an impairment of functional capacity, an impairment of the capacity to compensate for additional stress or an increase in the susceptibilit</w:t>
      </w:r>
      <w:r w:rsidR="0049004C">
        <w:t>y to other influences, and</w:t>
      </w:r>
    </w:p>
    <w:p w14:paraId="2C28E524" w14:textId="77777777" w:rsidR="0049004C" w:rsidRPr="00045961" w:rsidRDefault="001C39F8" w:rsidP="003E3B1D">
      <w:pPr>
        <w:pStyle w:val="ListParagraph"/>
        <w:numPr>
          <w:ilvl w:val="1"/>
          <w:numId w:val="98"/>
        </w:numPr>
      </w:pPr>
      <w:r>
        <w:t>i</w:t>
      </w:r>
      <w:r w:rsidR="0049004C" w:rsidRPr="00045961">
        <w:t>t has an endocrine activity, which is the capacity to alter the func</w:t>
      </w:r>
      <w:r w:rsidR="0049004C">
        <w:t>tion(s) of the endocrine system, and</w:t>
      </w:r>
    </w:p>
    <w:p w14:paraId="37EB5252" w14:textId="77777777" w:rsidR="0049004C" w:rsidRPr="00045961" w:rsidRDefault="00E132FA" w:rsidP="003E3B1D">
      <w:pPr>
        <w:pStyle w:val="ListParagraph"/>
        <w:numPr>
          <w:ilvl w:val="1"/>
          <w:numId w:val="98"/>
        </w:numPr>
      </w:pPr>
      <w:r>
        <w:t>t</w:t>
      </w:r>
      <w:r w:rsidR="0049004C" w:rsidRPr="00045961">
        <w:t>he adverse effect is a conseq</w:t>
      </w:r>
      <w:r w:rsidR="00555B5B">
        <w:t>uence of the endocrine activity</w:t>
      </w:r>
    </w:p>
    <w:p w14:paraId="59C1EF20" w14:textId="77777777" w:rsidR="0049004C" w:rsidRPr="00045961" w:rsidRDefault="0049004C" w:rsidP="001C39F8">
      <w:pPr>
        <w:pStyle w:val="ListParagraph"/>
        <w:numPr>
          <w:ilvl w:val="0"/>
          <w:numId w:val="0"/>
        </w:numPr>
        <w:ind w:left="720"/>
      </w:pPr>
      <w:r w:rsidRPr="00045961">
        <w:t>or</w:t>
      </w:r>
    </w:p>
    <w:p w14:paraId="7FFF8892" w14:textId="77777777" w:rsidR="0049004C" w:rsidRDefault="00E132FA" w:rsidP="003E3B1D">
      <w:pPr>
        <w:pStyle w:val="ListParagraph"/>
        <w:numPr>
          <w:ilvl w:val="0"/>
          <w:numId w:val="98"/>
        </w:numPr>
      </w:pPr>
      <w:r>
        <w:t>t</w:t>
      </w:r>
      <w:r w:rsidR="0049004C" w:rsidRPr="00045961">
        <w:t xml:space="preserve">he chemical (or the chemical of which it is an ester or salt) is on the </w:t>
      </w:r>
      <w:r w:rsidR="0049004C" w:rsidRPr="00555B5B">
        <w:rPr>
          <w:b/>
        </w:rPr>
        <w:t>list of chemicals with high hazards for categorisation</w:t>
      </w:r>
      <w:r w:rsidR="0049004C">
        <w:t xml:space="preserve">, </w:t>
      </w:r>
      <w:r w:rsidR="0049004C" w:rsidRPr="00045961">
        <w:t>based on its adverse effects mediated by an endocrine mode of action</w:t>
      </w:r>
    </w:p>
    <w:p w14:paraId="0927431A" w14:textId="77777777" w:rsidR="0049004C" w:rsidRDefault="0049004C" w:rsidP="001235F6">
      <w:pPr>
        <w:pStyle w:val="ListParagraph"/>
        <w:numPr>
          <w:ilvl w:val="0"/>
          <w:numId w:val="0"/>
        </w:numPr>
        <w:ind w:left="720"/>
      </w:pPr>
      <w:r>
        <w:t>or</w:t>
      </w:r>
    </w:p>
    <w:p w14:paraId="4245EBE0" w14:textId="77777777" w:rsidR="0049004C" w:rsidRDefault="001235F6" w:rsidP="003E3B1D">
      <w:pPr>
        <w:pStyle w:val="ListParagraph"/>
        <w:numPr>
          <w:ilvl w:val="0"/>
          <w:numId w:val="98"/>
        </w:numPr>
      </w:pPr>
      <w:r>
        <w:t>t</w:t>
      </w:r>
      <w:r w:rsidR="0049004C">
        <w:t>he chemical meets all of the following:</w:t>
      </w:r>
    </w:p>
    <w:p w14:paraId="0F76C965" w14:textId="77777777" w:rsidR="0049004C" w:rsidRDefault="004337DB" w:rsidP="003E3B1D">
      <w:pPr>
        <w:pStyle w:val="ListParagraph"/>
        <w:numPr>
          <w:ilvl w:val="1"/>
          <w:numId w:val="98"/>
        </w:numPr>
      </w:pPr>
      <w:r>
        <w:t>i</w:t>
      </w:r>
      <w:r w:rsidR="0049004C">
        <w:t xml:space="preserve">nformation is available that is relevant to determining </w:t>
      </w:r>
      <w:r>
        <w:t xml:space="preserve">whether </w:t>
      </w:r>
      <w:r w:rsidR="0049004C">
        <w:t xml:space="preserve">the chemical has the hazard characteristic, </w:t>
      </w:r>
      <w:r w:rsidR="0049004C" w:rsidRPr="004337DB">
        <w:rPr>
          <w:b/>
        </w:rPr>
        <w:t>adverse effects mediated by an endocrine mode of action</w:t>
      </w:r>
      <w:r w:rsidR="0049004C">
        <w:t xml:space="preserve">, and </w:t>
      </w:r>
    </w:p>
    <w:p w14:paraId="5B18D313" w14:textId="77777777" w:rsidR="0049004C" w:rsidRDefault="003E6C4F" w:rsidP="003E3B1D">
      <w:pPr>
        <w:pStyle w:val="ListParagraph"/>
        <w:numPr>
          <w:ilvl w:val="1"/>
          <w:numId w:val="98"/>
        </w:numPr>
      </w:pPr>
      <w:r>
        <w:t>t</w:t>
      </w:r>
      <w:r w:rsidR="0049004C">
        <w:t xml:space="preserve">he information has been considered in a weight of evidence analysis based on the </w:t>
      </w:r>
      <w:r>
        <w:t xml:space="preserve">following </w:t>
      </w:r>
      <w:r w:rsidR="0049004C">
        <w:t>guidance documents:</w:t>
      </w:r>
    </w:p>
    <w:p w14:paraId="62666042" w14:textId="77777777" w:rsidR="0049004C" w:rsidRDefault="003E6C4F" w:rsidP="003E3B1D">
      <w:pPr>
        <w:pStyle w:val="ListParagraph"/>
        <w:numPr>
          <w:ilvl w:val="3"/>
          <w:numId w:val="122"/>
        </w:numPr>
      </w:pPr>
      <w:r>
        <w:t>t</w:t>
      </w:r>
      <w:r w:rsidR="0049004C">
        <w:t>he EU guidance for identifying endocrine disruptors</w:t>
      </w:r>
      <w:r w:rsidR="0049004C">
        <w:rPr>
          <w:rStyle w:val="FootnoteReference"/>
        </w:rPr>
        <w:footnoteReference w:id="8"/>
      </w:r>
      <w:r w:rsidR="0049004C">
        <w:t>, and</w:t>
      </w:r>
    </w:p>
    <w:p w14:paraId="0C87B473" w14:textId="77777777" w:rsidR="0049004C" w:rsidRDefault="003E6C4F" w:rsidP="003E3B1D">
      <w:pPr>
        <w:pStyle w:val="ListParagraph"/>
        <w:numPr>
          <w:ilvl w:val="3"/>
          <w:numId w:val="122"/>
        </w:numPr>
      </w:pPr>
      <w:r>
        <w:t>t</w:t>
      </w:r>
      <w:r w:rsidR="0049004C">
        <w:t>he guidance provided in OECD GD 150</w:t>
      </w:r>
      <w:r w:rsidR="0049004C">
        <w:rPr>
          <w:rStyle w:val="FootnoteReference"/>
        </w:rPr>
        <w:footnoteReference w:id="9"/>
      </w:r>
      <w:r w:rsidR="001235F6">
        <w:t>;</w:t>
      </w:r>
      <w:r w:rsidR="0049004C">
        <w:t xml:space="preserve"> and</w:t>
      </w:r>
    </w:p>
    <w:p w14:paraId="4D22458A" w14:textId="77777777" w:rsidR="0049004C" w:rsidRPr="00045961" w:rsidRDefault="003E6C4F" w:rsidP="003E3B1D">
      <w:pPr>
        <w:pStyle w:val="ListParagraph"/>
        <w:numPr>
          <w:ilvl w:val="1"/>
          <w:numId w:val="98"/>
        </w:numPr>
      </w:pPr>
      <w:r>
        <w:t>t</w:t>
      </w:r>
      <w:r w:rsidR="0049004C">
        <w:t>he weight of evidence analysis concludes that the chemical has the hazard characteristic, adverse effects mediated by an endocrine mode of action</w:t>
      </w:r>
      <w:r w:rsidR="001235F6">
        <w:t>.</w:t>
      </w:r>
      <w:r w:rsidR="0049004C">
        <w:t xml:space="preserve"> </w:t>
      </w:r>
    </w:p>
    <w:p w14:paraId="36D2ADF4" w14:textId="77777777" w:rsidR="0049004C" w:rsidRDefault="00C35DBF" w:rsidP="0049004C">
      <w:pPr>
        <w:pStyle w:val="Heading3"/>
        <w:ind w:left="737" w:hanging="737"/>
      </w:pPr>
      <w:r>
        <w:t xml:space="preserve">Section </w:t>
      </w:r>
      <w:r w:rsidR="0049004C">
        <w:t>3</w:t>
      </w:r>
      <w:r>
        <w:t>0</w:t>
      </w:r>
      <w:r w:rsidR="0049004C">
        <w:t xml:space="preserve"> of the IC General Rules - Information required to demonstrate the absence of hazard characteristics  </w:t>
      </w:r>
    </w:p>
    <w:p w14:paraId="4B6835EB" w14:textId="77777777" w:rsidR="0049004C" w:rsidRDefault="0049004C" w:rsidP="00FA0F32">
      <w:r>
        <w:t xml:space="preserve">For the purposes of </w:t>
      </w:r>
      <w:r w:rsidR="00141756">
        <w:t xml:space="preserve">paragraph </w:t>
      </w:r>
      <w:r w:rsidR="00C35DBF">
        <w:t xml:space="preserve">30(2)(b) and </w:t>
      </w:r>
      <w:r w:rsidR="00141756">
        <w:t>subparagraph</w:t>
      </w:r>
      <w:r w:rsidR="00C35DBF">
        <w:t>30(2)(c)(iv) of the IC General Rules</w:t>
      </w:r>
      <w:r>
        <w:t>:</w:t>
      </w:r>
    </w:p>
    <w:p w14:paraId="77E94EC3" w14:textId="77777777" w:rsidR="0049004C" w:rsidRDefault="00286F1E" w:rsidP="003E3B1D">
      <w:pPr>
        <w:pStyle w:val="ListParagraph"/>
        <w:numPr>
          <w:ilvl w:val="0"/>
          <w:numId w:val="99"/>
        </w:numPr>
      </w:pPr>
      <w:r>
        <w:t>i</w:t>
      </w:r>
      <w:r w:rsidR="0049004C">
        <w:t xml:space="preserve">f the chemical has existing information relevant to determining whether it has the hazard characteristic, </w:t>
      </w:r>
      <w:r w:rsidR="0049004C" w:rsidRPr="00286F1E">
        <w:rPr>
          <w:b/>
        </w:rPr>
        <w:t>adverse effects mediated by an endocrine mode of action</w:t>
      </w:r>
      <w:r w:rsidR="0049004C">
        <w:t xml:space="preserve">, information is required to </w:t>
      </w:r>
      <w:r w:rsidR="006D0D17">
        <w:t>demonstrate</w:t>
      </w:r>
      <w:r w:rsidR="0049004C">
        <w:t xml:space="preserve"> that the chemical does not have this hazard characteristic</w:t>
      </w:r>
      <w:r w:rsidR="001235F6">
        <w:t>:</w:t>
      </w:r>
    </w:p>
    <w:p w14:paraId="4C7F793D" w14:textId="77777777" w:rsidR="0049004C" w:rsidRDefault="0049004C" w:rsidP="003E3B1D">
      <w:pPr>
        <w:pStyle w:val="ListParagraph"/>
        <w:numPr>
          <w:ilvl w:val="1"/>
          <w:numId w:val="99"/>
        </w:numPr>
      </w:pPr>
      <w:r>
        <w:t>This must involve a documented weight of evidence analysis based on the EU guidance for identifying endocrine disruptors</w:t>
      </w:r>
      <w:r w:rsidRPr="00FA0F32">
        <w:rPr>
          <w:vertAlign w:val="superscript"/>
        </w:rPr>
        <w:t>2</w:t>
      </w:r>
      <w:r>
        <w:t xml:space="preserve"> and the guidance in OECD GD 150</w:t>
      </w:r>
      <w:r w:rsidRPr="00FA0F32">
        <w:rPr>
          <w:vertAlign w:val="superscript"/>
        </w:rPr>
        <w:t>3</w:t>
      </w:r>
      <w:r w:rsidR="00CC3F23">
        <w:t>, and</w:t>
      </w:r>
    </w:p>
    <w:p w14:paraId="515AF04D" w14:textId="77777777" w:rsidR="0049004C" w:rsidRDefault="0049004C" w:rsidP="003E3B1D">
      <w:pPr>
        <w:pStyle w:val="ListParagraph"/>
        <w:numPr>
          <w:ilvl w:val="1"/>
          <w:numId w:val="99"/>
        </w:numPr>
      </w:pPr>
      <w:r>
        <w:t xml:space="preserve">The analysis must conclude that the chemical does not have the hazard characteristic, </w:t>
      </w:r>
      <w:r w:rsidRPr="009B1EF8">
        <w:rPr>
          <w:b/>
        </w:rPr>
        <w:t>adverse effects mediated by an endocrine mode of action</w:t>
      </w:r>
      <w:r>
        <w:t>.</w:t>
      </w:r>
    </w:p>
    <w:p w14:paraId="28C19D54" w14:textId="77777777" w:rsidR="0049004C" w:rsidRDefault="0049004C" w:rsidP="003E3B1D">
      <w:pPr>
        <w:pStyle w:val="ListParagraph"/>
        <w:numPr>
          <w:ilvl w:val="0"/>
          <w:numId w:val="99"/>
        </w:numPr>
      </w:pPr>
      <w:r>
        <w:lastRenderedPageBreak/>
        <w:t>Otherwise</w:t>
      </w:r>
      <w:r w:rsidR="003320C7">
        <w:t>,</w:t>
      </w:r>
      <w:r>
        <w:t xml:space="preserve"> the information required to </w:t>
      </w:r>
      <w:r w:rsidR="006D0D17">
        <w:t>demonstrate</w:t>
      </w:r>
      <w:r>
        <w:t xml:space="preserve"> that a chemical does not have the hazard characteristic, </w:t>
      </w:r>
      <w:r w:rsidRPr="00A26E97">
        <w:rPr>
          <w:b/>
        </w:rPr>
        <w:t>adverse effects mediated by an endocrine mode of action</w:t>
      </w:r>
      <w:r>
        <w:t xml:space="preserve">, is confirmation that the chemical (or the chemical of which it is an ester or salt) is not on the </w:t>
      </w:r>
      <w:r w:rsidRPr="00555B5B">
        <w:rPr>
          <w:b/>
        </w:rPr>
        <w:t>list of chemicals with high hazards for categorisation</w:t>
      </w:r>
      <w:r>
        <w:t>, based on its adverse effects mediated by an endocrine mode of action.</w:t>
      </w:r>
    </w:p>
    <w:p w14:paraId="26BD73D0" w14:textId="77777777" w:rsidR="00555B5B" w:rsidRDefault="00555B5B" w:rsidP="00555B5B">
      <w:pPr>
        <w:pStyle w:val="ListParagraph"/>
        <w:numPr>
          <w:ilvl w:val="0"/>
          <w:numId w:val="0"/>
        </w:numPr>
        <w:ind w:left="720"/>
      </w:pPr>
    </w:p>
    <w:p w14:paraId="4D10B34D" w14:textId="77777777" w:rsidR="005364A6" w:rsidRDefault="005364A6" w:rsidP="003320C7">
      <w:pPr>
        <w:pStyle w:val="Heading2"/>
        <w:spacing w:before="120"/>
      </w:pPr>
      <w:bookmarkStart w:id="43" w:name="_Toc43890227"/>
      <w:r>
        <w:t>Persistent, bioaccumulative and toxic – Environment hazard band D</w:t>
      </w:r>
      <w:bookmarkEnd w:id="43"/>
    </w:p>
    <w:p w14:paraId="14BB686B" w14:textId="77777777" w:rsidR="005364A6" w:rsidRDefault="00877BCF" w:rsidP="00FA0F32">
      <w:pPr>
        <w:pStyle w:val="Heading3"/>
        <w:ind w:left="709"/>
      </w:pPr>
      <w:r>
        <w:t xml:space="preserve">Clause </w:t>
      </w:r>
      <w:r w:rsidR="005364A6">
        <w:t xml:space="preserve">4 of Part 2, Schedule 1 </w:t>
      </w:r>
      <w:r w:rsidR="00A26E97">
        <w:t xml:space="preserve">to </w:t>
      </w:r>
      <w:r w:rsidR="005364A6">
        <w:t xml:space="preserve">the </w:t>
      </w:r>
      <w:r w:rsidR="009547E9">
        <w:t>IC General Rules</w:t>
      </w:r>
      <w:r w:rsidR="005364A6">
        <w:t xml:space="preserve"> </w:t>
      </w:r>
    </w:p>
    <w:p w14:paraId="74A1835F" w14:textId="77777777" w:rsidR="002E7331" w:rsidRDefault="005364A6" w:rsidP="00FA0F32">
      <w:pPr>
        <w:rPr>
          <w:rStyle w:val="normaltextrun"/>
          <w:color w:val="000000"/>
          <w:shd w:val="clear" w:color="auto" w:fill="FFFFFF"/>
        </w:rPr>
      </w:pPr>
      <w:r>
        <w:rPr>
          <w:rStyle w:val="normaltextrun"/>
          <w:color w:val="000000"/>
          <w:shd w:val="clear" w:color="auto" w:fill="FFFFFF"/>
        </w:rPr>
        <w:t xml:space="preserve">For the purposes of table item 5 of </w:t>
      </w:r>
      <w:r w:rsidR="00A26E97">
        <w:rPr>
          <w:rStyle w:val="normaltextrun"/>
          <w:color w:val="000000"/>
          <w:shd w:val="clear" w:color="auto" w:fill="FFFFFF"/>
        </w:rPr>
        <w:t xml:space="preserve">Clause 4, </w:t>
      </w:r>
      <w:r>
        <w:rPr>
          <w:rStyle w:val="normaltextrun"/>
          <w:color w:val="000000"/>
          <w:shd w:val="clear" w:color="auto" w:fill="FFFFFF"/>
        </w:rPr>
        <w:t xml:space="preserve">Part 2, Schedule 1 </w:t>
      </w:r>
      <w:r w:rsidR="00A26E97">
        <w:rPr>
          <w:rStyle w:val="normaltextrun"/>
          <w:color w:val="000000"/>
          <w:shd w:val="clear" w:color="auto" w:fill="FFFFFF"/>
        </w:rPr>
        <w:t xml:space="preserve">to </w:t>
      </w:r>
      <w:r w:rsidR="0062271E">
        <w:rPr>
          <w:rStyle w:val="normaltextrun"/>
          <w:color w:val="000000"/>
          <w:shd w:val="clear" w:color="auto" w:fill="FFFFFF"/>
        </w:rPr>
        <w:t>the IC General Rules</w:t>
      </w:r>
      <w:r w:rsidR="002E7331">
        <w:rPr>
          <w:rStyle w:val="normaltextrun"/>
          <w:color w:val="000000"/>
          <w:shd w:val="clear" w:color="auto" w:fill="FFFFFF"/>
        </w:rPr>
        <w:t>:</w:t>
      </w:r>
    </w:p>
    <w:p w14:paraId="7339BDAF" w14:textId="77777777" w:rsidR="005364A6" w:rsidRDefault="002E7331" w:rsidP="00FA0F32">
      <w:pPr>
        <w:rPr>
          <w:rStyle w:val="eop"/>
          <w:color w:val="000000"/>
          <w:shd w:val="clear" w:color="auto" w:fill="FFFFFF"/>
        </w:rPr>
      </w:pPr>
      <w:r w:rsidRPr="00A26E97">
        <w:rPr>
          <w:rStyle w:val="normaltextrun"/>
          <w:b/>
          <w:color w:val="000000"/>
          <w:shd w:val="clear" w:color="auto" w:fill="FFFFFF"/>
        </w:rPr>
        <w:t>Persistent, bioaccumulative and toxic</w:t>
      </w:r>
      <w:r>
        <w:rPr>
          <w:rStyle w:val="normaltextrun"/>
          <w:color w:val="000000"/>
          <w:shd w:val="clear" w:color="auto" w:fill="FFFFFF"/>
        </w:rPr>
        <w:t xml:space="preserve"> means that any of the following apply to</w:t>
      </w:r>
      <w:r w:rsidR="005364A6">
        <w:rPr>
          <w:rStyle w:val="normaltextrun"/>
          <w:color w:val="000000"/>
          <w:shd w:val="clear" w:color="auto" w:fill="FFFFFF"/>
        </w:rPr>
        <w:t xml:space="preserve"> the industrial chemical:</w:t>
      </w:r>
      <w:r>
        <w:rPr>
          <w:rStyle w:val="eop"/>
          <w:color w:val="000000"/>
          <w:shd w:val="clear" w:color="auto" w:fill="FFFFFF"/>
        </w:rPr>
        <w:t> </w:t>
      </w:r>
    </w:p>
    <w:p w14:paraId="092ECB41" w14:textId="77777777" w:rsidR="00FA0F32" w:rsidRDefault="002E7331" w:rsidP="000D0955">
      <w:pPr>
        <w:pStyle w:val="ListParagraph"/>
        <w:numPr>
          <w:ilvl w:val="0"/>
          <w:numId w:val="14"/>
        </w:numPr>
        <w:rPr>
          <w:rStyle w:val="eop"/>
          <w:color w:val="000000"/>
          <w:shd w:val="clear" w:color="auto" w:fill="FFFFFF"/>
        </w:rPr>
      </w:pPr>
      <w:r>
        <w:rPr>
          <w:rStyle w:val="eop"/>
          <w:color w:val="000000"/>
          <w:shd w:val="clear" w:color="auto" w:fill="FFFFFF"/>
        </w:rPr>
        <w:t xml:space="preserve">the chemical (or the chemical of which it is an ester or salt) is on the </w:t>
      </w:r>
      <w:r w:rsidRPr="009F7B97">
        <w:rPr>
          <w:rStyle w:val="eop"/>
          <w:b/>
          <w:color w:val="000000"/>
          <w:shd w:val="clear" w:color="auto" w:fill="FFFFFF"/>
        </w:rPr>
        <w:t>list of chemicals with high hazards for categorisation</w:t>
      </w:r>
      <w:r>
        <w:rPr>
          <w:rStyle w:val="eop"/>
          <w:color w:val="000000"/>
          <w:shd w:val="clear" w:color="auto" w:fill="FFFFFF"/>
        </w:rPr>
        <w:t>, based on it being persistent, bioaccumulative and toxic, or</w:t>
      </w:r>
    </w:p>
    <w:p w14:paraId="633826A5" w14:textId="77777777" w:rsidR="00325720" w:rsidRPr="00FA0F32" w:rsidRDefault="00325720" w:rsidP="000D0955">
      <w:pPr>
        <w:pStyle w:val="ListParagraph"/>
        <w:numPr>
          <w:ilvl w:val="0"/>
          <w:numId w:val="14"/>
        </w:numPr>
        <w:rPr>
          <w:rStyle w:val="eop"/>
          <w:color w:val="000000"/>
          <w:shd w:val="clear" w:color="auto" w:fill="FFFFFF"/>
        </w:rPr>
      </w:pPr>
      <w:r w:rsidRPr="00FA0F32">
        <w:rPr>
          <w:rStyle w:val="eop"/>
          <w:color w:val="000000"/>
          <w:shd w:val="clear" w:color="auto" w:fill="FFFFFF"/>
        </w:rPr>
        <w:t>all of the following apply:</w:t>
      </w:r>
    </w:p>
    <w:p w14:paraId="7C2F8452" w14:textId="77777777" w:rsidR="00325720" w:rsidRPr="00D11D79" w:rsidRDefault="00325720" w:rsidP="000D0955">
      <w:pPr>
        <w:pStyle w:val="ListParagraph"/>
        <w:numPr>
          <w:ilvl w:val="1"/>
          <w:numId w:val="14"/>
        </w:numPr>
        <w:rPr>
          <w:rStyle w:val="eop"/>
          <w:color w:val="000000"/>
          <w:shd w:val="clear" w:color="auto" w:fill="FFFFFF"/>
        </w:rPr>
      </w:pPr>
      <w:r w:rsidRPr="00D11D79">
        <w:rPr>
          <w:rStyle w:val="eop"/>
          <w:color w:val="000000"/>
          <w:shd w:val="clear" w:color="auto" w:fill="FFFFFF"/>
        </w:rPr>
        <w:t>the chemical is persistent</w:t>
      </w:r>
      <w:r w:rsidR="00A344E8" w:rsidRPr="00D11D79">
        <w:rPr>
          <w:rStyle w:val="eop"/>
          <w:color w:val="000000"/>
          <w:shd w:val="clear" w:color="auto" w:fill="FFFFFF"/>
        </w:rPr>
        <w:t xml:space="preserve"> (see </w:t>
      </w:r>
      <w:r w:rsidR="00912DE5">
        <w:rPr>
          <w:rStyle w:val="eop"/>
          <w:color w:val="000000"/>
          <w:shd w:val="clear" w:color="auto" w:fill="FFFFFF"/>
        </w:rPr>
        <w:t>part</w:t>
      </w:r>
      <w:r w:rsidR="00A344E8" w:rsidRPr="00D11D79">
        <w:rPr>
          <w:rStyle w:val="eop"/>
          <w:color w:val="000000"/>
          <w:shd w:val="clear" w:color="auto" w:fill="FFFFFF"/>
        </w:rPr>
        <w:t xml:space="preserve"> 2.1.</w:t>
      </w:r>
      <w:r w:rsidR="00506192">
        <w:rPr>
          <w:rStyle w:val="eop"/>
          <w:color w:val="000000"/>
          <w:shd w:val="clear" w:color="auto" w:fill="FFFFFF"/>
        </w:rPr>
        <w:t>6</w:t>
      </w:r>
      <w:r w:rsidR="00A344E8" w:rsidRPr="00D11D79">
        <w:rPr>
          <w:rStyle w:val="eop"/>
          <w:color w:val="000000"/>
          <w:shd w:val="clear" w:color="auto" w:fill="FFFFFF"/>
        </w:rPr>
        <w:t xml:space="preserve"> </w:t>
      </w:r>
      <w:r w:rsidR="00912DE5">
        <w:rPr>
          <w:rStyle w:val="eop"/>
          <w:color w:val="000000"/>
          <w:shd w:val="clear" w:color="auto" w:fill="FFFFFF"/>
        </w:rPr>
        <w:t xml:space="preserve">of these Guidelines </w:t>
      </w:r>
      <w:r w:rsidR="00A344E8" w:rsidRPr="00D11D79">
        <w:rPr>
          <w:rStyle w:val="eop"/>
          <w:color w:val="000000"/>
          <w:shd w:val="clear" w:color="auto" w:fill="FFFFFF"/>
        </w:rPr>
        <w:t xml:space="preserve">for </w:t>
      </w:r>
      <w:r w:rsidR="00E25F7C">
        <w:rPr>
          <w:rStyle w:val="eop"/>
          <w:color w:val="000000"/>
          <w:shd w:val="clear" w:color="auto" w:fill="FFFFFF"/>
        </w:rPr>
        <w:t>the meaning</w:t>
      </w:r>
      <w:r w:rsidR="00A344E8" w:rsidRPr="00D11D79">
        <w:rPr>
          <w:rStyle w:val="eop"/>
          <w:color w:val="000000"/>
          <w:shd w:val="clear" w:color="auto" w:fill="FFFFFF"/>
        </w:rPr>
        <w:t>)</w:t>
      </w:r>
      <w:r w:rsidR="00912DE5">
        <w:rPr>
          <w:rStyle w:val="eop"/>
          <w:color w:val="000000"/>
          <w:shd w:val="clear" w:color="auto" w:fill="FFFFFF"/>
        </w:rPr>
        <w:t>,</w:t>
      </w:r>
      <w:r w:rsidRPr="00D11D79">
        <w:rPr>
          <w:rStyle w:val="eop"/>
          <w:color w:val="000000"/>
          <w:shd w:val="clear" w:color="auto" w:fill="FFFFFF"/>
        </w:rPr>
        <w:t xml:space="preserve"> and</w:t>
      </w:r>
    </w:p>
    <w:p w14:paraId="45F42BB5" w14:textId="77777777" w:rsidR="00325720" w:rsidRPr="00D11D79" w:rsidRDefault="00325720" w:rsidP="000D0955">
      <w:pPr>
        <w:pStyle w:val="ListParagraph"/>
        <w:numPr>
          <w:ilvl w:val="1"/>
          <w:numId w:val="14"/>
        </w:numPr>
        <w:rPr>
          <w:rStyle w:val="eop"/>
          <w:color w:val="000000"/>
          <w:shd w:val="clear" w:color="auto" w:fill="FFFFFF"/>
        </w:rPr>
      </w:pPr>
      <w:r w:rsidRPr="00D11D79">
        <w:rPr>
          <w:rStyle w:val="eop"/>
          <w:color w:val="000000"/>
          <w:shd w:val="clear" w:color="auto" w:fill="FFFFFF"/>
        </w:rPr>
        <w:t>the chemical is bioaccumulative</w:t>
      </w:r>
      <w:r w:rsidR="00912DE5">
        <w:rPr>
          <w:rStyle w:val="eop"/>
          <w:color w:val="000000"/>
          <w:shd w:val="clear" w:color="auto" w:fill="FFFFFF"/>
        </w:rPr>
        <w:t>,</w:t>
      </w:r>
      <w:r w:rsidRPr="00D11D79">
        <w:rPr>
          <w:rStyle w:val="eop"/>
          <w:color w:val="000000"/>
          <w:shd w:val="clear" w:color="auto" w:fill="FFFFFF"/>
        </w:rPr>
        <w:t xml:space="preserve"> and</w:t>
      </w:r>
    </w:p>
    <w:p w14:paraId="433DAA93" w14:textId="77777777" w:rsidR="00325720" w:rsidRPr="00D11D79" w:rsidRDefault="00325720" w:rsidP="000D0955">
      <w:pPr>
        <w:pStyle w:val="ListParagraph"/>
        <w:numPr>
          <w:ilvl w:val="1"/>
          <w:numId w:val="14"/>
        </w:numPr>
        <w:rPr>
          <w:rStyle w:val="eop"/>
          <w:color w:val="000000"/>
          <w:shd w:val="clear" w:color="auto" w:fill="FFFFFF"/>
        </w:rPr>
      </w:pPr>
      <w:r w:rsidRPr="00D11D79">
        <w:rPr>
          <w:rStyle w:val="eop"/>
          <w:color w:val="000000"/>
          <w:shd w:val="clear" w:color="auto" w:fill="FFFFFF"/>
        </w:rPr>
        <w:t>the chemical</w:t>
      </w:r>
      <w:r w:rsidR="00912DE5">
        <w:rPr>
          <w:rStyle w:val="eop"/>
          <w:color w:val="000000"/>
          <w:shd w:val="clear" w:color="auto" w:fill="FFFFFF"/>
        </w:rPr>
        <w:t xml:space="preserve"> has the hazard characteristic, </w:t>
      </w:r>
      <w:r w:rsidRPr="00D11D79">
        <w:rPr>
          <w:rStyle w:val="eop"/>
          <w:color w:val="000000"/>
          <w:shd w:val="clear" w:color="auto" w:fill="FFFFFF"/>
        </w:rPr>
        <w:t>very toxic to any aquatic life</w:t>
      </w:r>
      <w:r w:rsidR="00912DE5">
        <w:rPr>
          <w:rStyle w:val="eop"/>
          <w:color w:val="000000"/>
          <w:shd w:val="clear" w:color="auto" w:fill="FFFFFF"/>
        </w:rPr>
        <w:t xml:space="preserve"> (see part 6.27.1 of these Guidelines</w:t>
      </w:r>
      <w:r w:rsidR="00E25F7C">
        <w:rPr>
          <w:rStyle w:val="eop"/>
          <w:color w:val="000000"/>
          <w:shd w:val="clear" w:color="auto" w:fill="FFFFFF"/>
        </w:rPr>
        <w:t xml:space="preserve"> for the meaning</w:t>
      </w:r>
      <w:r w:rsidR="00912DE5">
        <w:rPr>
          <w:rStyle w:val="eop"/>
          <w:color w:val="000000"/>
          <w:shd w:val="clear" w:color="auto" w:fill="FFFFFF"/>
        </w:rPr>
        <w:t>).</w:t>
      </w:r>
    </w:p>
    <w:p w14:paraId="2FC5B1DB" w14:textId="77777777" w:rsidR="00325720" w:rsidRPr="00D11D79" w:rsidRDefault="00325720" w:rsidP="00FA0F32">
      <w:pPr>
        <w:rPr>
          <w:rStyle w:val="eop"/>
          <w:color w:val="000000"/>
          <w:shd w:val="clear" w:color="auto" w:fill="FFFFFF"/>
        </w:rPr>
      </w:pPr>
      <w:r w:rsidRPr="00D11D79">
        <w:rPr>
          <w:rStyle w:val="eop"/>
          <w:color w:val="000000"/>
          <w:shd w:val="clear" w:color="auto" w:fill="FFFFFF"/>
        </w:rPr>
        <w:t>For the purposes of this hazard characteristic, bioaccumulative means</w:t>
      </w:r>
      <w:r w:rsidR="00A11F60" w:rsidRPr="00D11D79">
        <w:rPr>
          <w:rStyle w:val="eop"/>
          <w:color w:val="000000"/>
          <w:shd w:val="clear" w:color="auto" w:fill="FFFFFF"/>
        </w:rPr>
        <w:t xml:space="preserve"> </w:t>
      </w:r>
      <w:r w:rsidRPr="00D11D79">
        <w:rPr>
          <w:rStyle w:val="eop"/>
          <w:color w:val="000000"/>
          <w:shd w:val="clear" w:color="auto" w:fill="FFFFFF"/>
        </w:rPr>
        <w:t>any of the following apply</w:t>
      </w:r>
      <w:r w:rsidR="00A11F60" w:rsidRPr="00D11D79">
        <w:rPr>
          <w:rStyle w:val="eop"/>
          <w:color w:val="000000"/>
          <w:shd w:val="clear" w:color="auto" w:fill="FFFFFF"/>
        </w:rPr>
        <w:t xml:space="preserve"> to the chemical</w:t>
      </w:r>
      <w:r w:rsidRPr="00D11D79">
        <w:rPr>
          <w:rStyle w:val="eop"/>
          <w:color w:val="000000"/>
          <w:shd w:val="clear" w:color="auto" w:fill="FFFFFF"/>
        </w:rPr>
        <w:t>:</w:t>
      </w:r>
    </w:p>
    <w:p w14:paraId="4E44D9FA" w14:textId="77777777" w:rsidR="00325720" w:rsidRPr="00D11D79" w:rsidRDefault="00325720" w:rsidP="000D0955">
      <w:pPr>
        <w:pStyle w:val="ListParagraph"/>
        <w:numPr>
          <w:ilvl w:val="0"/>
          <w:numId w:val="14"/>
        </w:numPr>
        <w:rPr>
          <w:color w:val="000000"/>
          <w:shd w:val="clear" w:color="auto" w:fill="FFFFFF"/>
        </w:rPr>
      </w:pPr>
      <w:r w:rsidRPr="00D11D79">
        <w:rPr>
          <w:rStyle w:val="eop"/>
          <w:color w:val="000000"/>
          <w:shd w:val="clear" w:color="auto" w:fill="FFFFFF"/>
        </w:rPr>
        <w:t xml:space="preserve">it has a bioaccumulation factor (BAF) </w:t>
      </w:r>
      <w:r w:rsidRPr="00D11D79">
        <w:t>≥ 2000 for the aquatic compartment, or</w:t>
      </w:r>
    </w:p>
    <w:p w14:paraId="426B273C" w14:textId="77777777" w:rsidR="00325720" w:rsidRPr="00D11D79" w:rsidRDefault="00325720" w:rsidP="000D0955">
      <w:pPr>
        <w:pStyle w:val="ListParagraph"/>
        <w:numPr>
          <w:ilvl w:val="0"/>
          <w:numId w:val="14"/>
        </w:numPr>
        <w:rPr>
          <w:color w:val="000000"/>
          <w:shd w:val="clear" w:color="auto" w:fill="FFFFFF"/>
        </w:rPr>
      </w:pPr>
      <w:r w:rsidRPr="00D11D79">
        <w:t>it has a bioconcentration factor (BCF) ≥ 2000 for the aquatic compartment, or</w:t>
      </w:r>
    </w:p>
    <w:p w14:paraId="23CCF35A" w14:textId="77777777" w:rsidR="00325720" w:rsidRPr="00D11D79" w:rsidRDefault="00325720" w:rsidP="000D0955">
      <w:pPr>
        <w:pStyle w:val="ListParagraph"/>
        <w:numPr>
          <w:ilvl w:val="0"/>
          <w:numId w:val="14"/>
        </w:numPr>
        <w:rPr>
          <w:color w:val="000000"/>
          <w:shd w:val="clear" w:color="auto" w:fill="FFFFFF"/>
        </w:rPr>
      </w:pPr>
      <w:r w:rsidRPr="00D11D79">
        <w:t>it has a</w:t>
      </w:r>
      <w:r w:rsidR="00FF7708" w:rsidRPr="00D11D79">
        <w:t xml:space="preserve"> measured </w:t>
      </w:r>
      <w:r w:rsidRPr="00D11D79">
        <w:t>log Kow ≥ 4.2 for the aquatic compartment (</w:t>
      </w:r>
      <w:r w:rsidR="00753AFA">
        <w:t xml:space="preserve">unless a measured </w:t>
      </w:r>
      <w:r w:rsidR="00F27B7F">
        <w:t>BA</w:t>
      </w:r>
      <w:r w:rsidRPr="00D11D79">
        <w:t>F or B</w:t>
      </w:r>
      <w:r w:rsidR="00F27B7F">
        <w:t>C</w:t>
      </w:r>
      <w:r w:rsidRPr="00D11D79">
        <w:t>F</w:t>
      </w:r>
      <w:r w:rsidR="00753AFA">
        <w:t xml:space="preserve"> is &lt;2000</w:t>
      </w:r>
      <w:r w:rsidRPr="00D11D79">
        <w:t>), or</w:t>
      </w:r>
    </w:p>
    <w:p w14:paraId="08A09346" w14:textId="77777777" w:rsidR="00325720" w:rsidRPr="00D11D79" w:rsidRDefault="00325720" w:rsidP="000D0955">
      <w:pPr>
        <w:pStyle w:val="ListParagraph"/>
        <w:numPr>
          <w:ilvl w:val="0"/>
          <w:numId w:val="14"/>
        </w:numPr>
        <w:rPr>
          <w:color w:val="000000"/>
          <w:shd w:val="clear" w:color="auto" w:fill="FFFFFF"/>
        </w:rPr>
      </w:pPr>
      <w:r w:rsidRPr="00D11D79">
        <w:t>it has a log Koa &gt; 6 and log Kow ≥ 2 for the terrestrial compartment, or</w:t>
      </w:r>
    </w:p>
    <w:p w14:paraId="133E9429" w14:textId="77777777" w:rsidR="00325720" w:rsidRPr="00D11D79" w:rsidRDefault="00325720" w:rsidP="000D0955">
      <w:pPr>
        <w:pStyle w:val="ListParagraph"/>
        <w:numPr>
          <w:ilvl w:val="0"/>
          <w:numId w:val="14"/>
        </w:numPr>
        <w:rPr>
          <w:rStyle w:val="eop"/>
          <w:color w:val="000000"/>
          <w:shd w:val="clear" w:color="auto" w:fill="FFFFFF"/>
        </w:rPr>
      </w:pPr>
      <w:r w:rsidRPr="00D11D79">
        <w:t>it has a biomagnification factor (BMF) &gt; 1</w:t>
      </w:r>
      <w:r w:rsidR="00DE0C1D">
        <w:t>.</w:t>
      </w:r>
    </w:p>
    <w:p w14:paraId="62C6B76B" w14:textId="77777777" w:rsidR="005364A6" w:rsidRDefault="00C35DBF" w:rsidP="00FA0F32">
      <w:pPr>
        <w:pStyle w:val="Heading3"/>
        <w:ind w:left="709"/>
      </w:pPr>
      <w:r>
        <w:t>Section 30</w:t>
      </w:r>
      <w:r w:rsidR="00831575">
        <w:t xml:space="preserve"> of the </w:t>
      </w:r>
      <w:r w:rsidR="009547E9">
        <w:t>IC General Rules</w:t>
      </w:r>
      <w:r w:rsidR="00831575">
        <w:t xml:space="preserve"> - </w:t>
      </w:r>
      <w:r w:rsidR="005364A6">
        <w:t xml:space="preserve">Information required to demonstrate the absence of hazard characteristics  </w:t>
      </w:r>
    </w:p>
    <w:p w14:paraId="7C776B7E" w14:textId="77777777" w:rsidR="00D40629" w:rsidRPr="00D11D79" w:rsidRDefault="00D40629" w:rsidP="00FA0F32">
      <w:pPr>
        <w:rPr>
          <w:lang w:eastAsia="en-AU"/>
        </w:rPr>
      </w:pPr>
      <w:r w:rsidRPr="00D11D79">
        <w:rPr>
          <w:lang w:eastAsia="en-AU"/>
        </w:rPr>
        <w:t xml:space="preserve">For the purposes of </w:t>
      </w:r>
      <w:r w:rsidR="000F6C09">
        <w:t xml:space="preserve">paragraph </w:t>
      </w:r>
      <w:r w:rsidR="00C35DBF">
        <w:t>30(2)(b) and</w:t>
      </w:r>
      <w:r w:rsidR="000F6C09">
        <w:t xml:space="preserve"> subparagraph</w:t>
      </w:r>
      <w:r w:rsidR="00C35DBF">
        <w:t xml:space="preserve"> 30(2)(c)(iv) of the IC General Rules, </w:t>
      </w:r>
      <w:r w:rsidRPr="00D11D79">
        <w:rPr>
          <w:lang w:eastAsia="en-AU"/>
        </w:rPr>
        <w:t xml:space="preserve">the information required to demonstrate that a chemical does not have the hazard characteristic, </w:t>
      </w:r>
      <w:r w:rsidRPr="00D02CB1">
        <w:rPr>
          <w:b/>
          <w:lang w:eastAsia="en-AU"/>
        </w:rPr>
        <w:t>persistent, bioaccumulative and toxic</w:t>
      </w:r>
      <w:r w:rsidRPr="00D11D79">
        <w:rPr>
          <w:lang w:eastAsia="en-AU"/>
        </w:rPr>
        <w:t xml:space="preserve">, is confirmation that the chemical (or the chemical of which it is an ester or salt) is not on the </w:t>
      </w:r>
      <w:r w:rsidRPr="009F7B97">
        <w:rPr>
          <w:b/>
          <w:lang w:eastAsia="en-AU"/>
        </w:rPr>
        <w:t>list of chemicals with high hazards for categorisation</w:t>
      </w:r>
      <w:r w:rsidRPr="00D11D79">
        <w:rPr>
          <w:lang w:eastAsia="en-AU"/>
        </w:rPr>
        <w:t xml:space="preserve"> based on it being persistent, bioaccumulative and toxic</w:t>
      </w:r>
      <w:r w:rsidR="00B42C9F">
        <w:rPr>
          <w:lang w:eastAsia="en-AU"/>
        </w:rPr>
        <w:t>.</w:t>
      </w:r>
    </w:p>
    <w:p w14:paraId="0C63C8FF" w14:textId="77777777" w:rsidR="00D40629" w:rsidRPr="00D11D79" w:rsidRDefault="00D40629" w:rsidP="00FA0F32">
      <w:pPr>
        <w:rPr>
          <w:lang w:eastAsia="en-AU"/>
        </w:rPr>
      </w:pPr>
      <w:r w:rsidRPr="00D11D79">
        <w:rPr>
          <w:lang w:eastAsia="en-AU"/>
        </w:rPr>
        <w:t>I</w:t>
      </w:r>
      <w:r w:rsidR="00B42C9F">
        <w:rPr>
          <w:lang w:eastAsia="en-AU"/>
        </w:rPr>
        <w:t xml:space="preserve">n addition, </w:t>
      </w:r>
      <w:r w:rsidR="00F73B81">
        <w:rPr>
          <w:lang w:eastAsia="en-AU"/>
        </w:rPr>
        <w:t>i</w:t>
      </w:r>
      <w:r w:rsidRPr="00D11D79">
        <w:rPr>
          <w:lang w:eastAsia="en-AU"/>
        </w:rPr>
        <w:t xml:space="preserve">f the environment exposure band for the introduction is 2 (and you are seeking to demonstrate that </w:t>
      </w:r>
      <w:r w:rsidR="00FE2F5A">
        <w:rPr>
          <w:lang w:eastAsia="en-AU"/>
        </w:rPr>
        <w:t>the</w:t>
      </w:r>
      <w:r w:rsidRPr="00D11D79">
        <w:rPr>
          <w:lang w:eastAsia="en-AU"/>
        </w:rPr>
        <w:t xml:space="preserve"> introduction meets the criteria for very low r</w:t>
      </w:r>
      <w:r w:rsidR="00C35DBF">
        <w:rPr>
          <w:lang w:eastAsia="en-AU"/>
        </w:rPr>
        <w:t xml:space="preserve">isk </w:t>
      </w:r>
      <w:r w:rsidR="00F73B81">
        <w:rPr>
          <w:lang w:eastAsia="en-AU"/>
        </w:rPr>
        <w:t>in accordance with</w:t>
      </w:r>
      <w:r w:rsidR="00C35DBF">
        <w:rPr>
          <w:lang w:eastAsia="en-AU"/>
        </w:rPr>
        <w:t xml:space="preserve"> table item 16, </w:t>
      </w:r>
      <w:r w:rsidR="00F73B81">
        <w:rPr>
          <w:lang w:eastAsia="en-AU"/>
        </w:rPr>
        <w:t>s</w:t>
      </w:r>
      <w:r w:rsidR="00C35DBF">
        <w:rPr>
          <w:lang w:eastAsia="en-AU"/>
        </w:rPr>
        <w:t>ection 29</w:t>
      </w:r>
      <w:r w:rsidRPr="00D11D79">
        <w:rPr>
          <w:lang w:eastAsia="en-AU"/>
        </w:rPr>
        <w:t xml:space="preserve"> of the IC </w:t>
      </w:r>
      <w:r w:rsidR="00661C1A">
        <w:rPr>
          <w:lang w:eastAsia="en-AU"/>
        </w:rPr>
        <w:t xml:space="preserve">General </w:t>
      </w:r>
      <w:r w:rsidRPr="00D11D79">
        <w:rPr>
          <w:lang w:eastAsia="en-AU"/>
        </w:rPr>
        <w:t>Rules), or 3, or 4,</w:t>
      </w:r>
      <w:r w:rsidR="00753AFA">
        <w:rPr>
          <w:lang w:eastAsia="en-AU"/>
        </w:rPr>
        <w:t xml:space="preserve"> the information required to </w:t>
      </w:r>
      <w:r w:rsidR="00753AFA">
        <w:rPr>
          <w:lang w:eastAsia="en-AU"/>
        </w:rPr>
        <w:lastRenderedPageBreak/>
        <w:t xml:space="preserve">demonstrate that a chemical does not have the hazard characteristic, </w:t>
      </w:r>
      <w:r w:rsidR="00753AFA" w:rsidRPr="00A145D4">
        <w:rPr>
          <w:b/>
          <w:lang w:eastAsia="en-AU"/>
        </w:rPr>
        <w:t>persistent, bioaccumulative and toxic</w:t>
      </w:r>
      <w:r w:rsidR="00753AFA">
        <w:rPr>
          <w:lang w:eastAsia="en-AU"/>
        </w:rPr>
        <w:t xml:space="preserve">, is </w:t>
      </w:r>
      <w:r w:rsidRPr="00D11D79">
        <w:rPr>
          <w:lang w:eastAsia="en-AU"/>
        </w:rPr>
        <w:t>at least one of the following:</w:t>
      </w:r>
    </w:p>
    <w:p w14:paraId="6B229ACD" w14:textId="77777777" w:rsidR="00D40629" w:rsidRPr="00D11D79" w:rsidRDefault="009F171E" w:rsidP="000D0955">
      <w:pPr>
        <w:pStyle w:val="ListParagraph"/>
        <w:numPr>
          <w:ilvl w:val="0"/>
          <w:numId w:val="16"/>
        </w:numPr>
      </w:pPr>
      <w:r>
        <w:t>i</w:t>
      </w:r>
      <w:r w:rsidR="00D40629" w:rsidRPr="00D11D79">
        <w:t xml:space="preserve">nformation that </w:t>
      </w:r>
      <w:r w:rsidR="006D0D17">
        <w:t>demonstrates</w:t>
      </w:r>
      <w:r w:rsidR="00D40629" w:rsidRPr="00D11D79">
        <w:t xml:space="preserve"> that the chemical is an inorganic chemical</w:t>
      </w:r>
      <w:r w:rsidR="00D11D79">
        <w:t>, or</w:t>
      </w:r>
    </w:p>
    <w:p w14:paraId="2999A535" w14:textId="77777777" w:rsidR="00D40629" w:rsidRPr="00D11D79" w:rsidRDefault="009F171E" w:rsidP="000D0955">
      <w:pPr>
        <w:pStyle w:val="ListParagraph"/>
        <w:numPr>
          <w:ilvl w:val="0"/>
          <w:numId w:val="16"/>
        </w:numPr>
      </w:pPr>
      <w:r>
        <w:t>i</w:t>
      </w:r>
      <w:r w:rsidR="00D40629" w:rsidRPr="00D11D79">
        <w:t xml:space="preserve">nformation to </w:t>
      </w:r>
      <w:r w:rsidR="006D0D17">
        <w:t>demonstrate</w:t>
      </w:r>
      <w:r w:rsidR="00D40629" w:rsidRPr="00D11D79">
        <w:t xml:space="preserve"> that</w:t>
      </w:r>
      <w:r w:rsidR="00CE669E" w:rsidRPr="00D11D79">
        <w:t xml:space="preserve"> the chemical</w:t>
      </w:r>
      <w:r w:rsidR="00D40629" w:rsidRPr="00D11D79">
        <w:t xml:space="preserve"> is a biological chemical</w:t>
      </w:r>
      <w:r w:rsidR="00D11D79">
        <w:t>, or</w:t>
      </w:r>
    </w:p>
    <w:p w14:paraId="0663AA1D" w14:textId="77777777" w:rsidR="00D40629" w:rsidRPr="00D11D79" w:rsidRDefault="009F171E" w:rsidP="000D0955">
      <w:pPr>
        <w:pStyle w:val="ListParagraph"/>
        <w:numPr>
          <w:ilvl w:val="0"/>
          <w:numId w:val="16"/>
        </w:numPr>
      </w:pPr>
      <w:r>
        <w:t>i</w:t>
      </w:r>
      <w:r w:rsidR="00D40629" w:rsidRPr="00D11D79">
        <w:t xml:space="preserve">nformation that </w:t>
      </w:r>
      <w:r w:rsidR="006D0D17">
        <w:t>demonstrates</w:t>
      </w:r>
      <w:r w:rsidR="00D40629" w:rsidRPr="00D11D79">
        <w:t xml:space="preserve"> that the chemical has a molecul</w:t>
      </w:r>
      <w:r w:rsidR="00D11D79">
        <w:t>ar weight that is &gt;1,000 g/mol, or</w:t>
      </w:r>
    </w:p>
    <w:p w14:paraId="3881D56E" w14:textId="77777777" w:rsidR="003C53E8" w:rsidRDefault="009F171E" w:rsidP="000D0955">
      <w:pPr>
        <w:pStyle w:val="ListParagraph"/>
        <w:numPr>
          <w:ilvl w:val="0"/>
          <w:numId w:val="16"/>
        </w:numPr>
      </w:pPr>
      <w:r>
        <w:t>i</w:t>
      </w:r>
      <w:r w:rsidR="00D40629" w:rsidRPr="00D11D79">
        <w:t xml:space="preserve">nformation that </w:t>
      </w:r>
      <w:r w:rsidR="006D0D17">
        <w:t>demonstrates</w:t>
      </w:r>
      <w:r w:rsidR="00D40629" w:rsidRPr="00D11D79">
        <w:t xml:space="preserve"> that the chemical is a high molecular weight polymer </w:t>
      </w:r>
      <w:r w:rsidR="003C53E8">
        <w:t>with:</w:t>
      </w:r>
      <w:r w:rsidR="00D11D79">
        <w:t xml:space="preserve"> </w:t>
      </w:r>
    </w:p>
    <w:p w14:paraId="67E5ADF5" w14:textId="77777777" w:rsidR="003C53E8" w:rsidRDefault="003C53E8" w:rsidP="003C53E8">
      <w:pPr>
        <w:pStyle w:val="ListParagraph"/>
        <w:numPr>
          <w:ilvl w:val="1"/>
          <w:numId w:val="16"/>
        </w:numPr>
      </w:pPr>
      <w:r>
        <w:t>&lt; 25% low molecular weight oligomeric species &lt;1,000g/mol</w:t>
      </w:r>
      <w:r w:rsidR="009F171E">
        <w:t>, and</w:t>
      </w:r>
    </w:p>
    <w:p w14:paraId="714F7767" w14:textId="77777777" w:rsidR="00D40629" w:rsidRPr="00D11D79" w:rsidRDefault="003C53E8" w:rsidP="003C53E8">
      <w:pPr>
        <w:pStyle w:val="ListParagraph"/>
        <w:numPr>
          <w:ilvl w:val="1"/>
          <w:numId w:val="16"/>
        </w:numPr>
      </w:pPr>
      <w:r>
        <w:t xml:space="preserve">&lt;10% low molecular weight oligomeric species &lt;500g/mol, </w:t>
      </w:r>
      <w:r w:rsidR="00D11D79">
        <w:t>or</w:t>
      </w:r>
    </w:p>
    <w:p w14:paraId="10A49DBC" w14:textId="77777777" w:rsidR="00D40629" w:rsidRPr="00D11D79" w:rsidRDefault="009F171E" w:rsidP="000D0955">
      <w:pPr>
        <w:pStyle w:val="ListParagraph"/>
        <w:numPr>
          <w:ilvl w:val="0"/>
          <w:numId w:val="16"/>
        </w:numPr>
      </w:pPr>
      <w:r>
        <w:t>i</w:t>
      </w:r>
      <w:r w:rsidR="00D40629" w:rsidRPr="00D11D79">
        <w:t xml:space="preserve">nformation that </w:t>
      </w:r>
      <w:r w:rsidR="006D0D17">
        <w:t>demonstrates</w:t>
      </w:r>
      <w:r w:rsidR="00D40629" w:rsidRPr="00D11D79">
        <w:t xml:space="preserve"> that the chemical has a solubility in water that is &gt;5g/L</w:t>
      </w:r>
      <w:r w:rsidR="00092810" w:rsidRPr="00D11D79">
        <w:t>,</w:t>
      </w:r>
      <w:r w:rsidR="00D40629" w:rsidRPr="00D11D79">
        <w:t xml:space="preserve"> </w:t>
      </w:r>
      <w:r w:rsidR="00092810" w:rsidRPr="00D11D79">
        <w:t>measured following an acceptable test guideline for water solubility</w:t>
      </w:r>
      <w:r w:rsidR="00D11D79">
        <w:t>, or</w:t>
      </w:r>
    </w:p>
    <w:p w14:paraId="1643FDC1" w14:textId="77777777" w:rsidR="00D40629" w:rsidRPr="00D11D79" w:rsidRDefault="009F171E" w:rsidP="000D0955">
      <w:pPr>
        <w:pStyle w:val="ListParagraph"/>
        <w:numPr>
          <w:ilvl w:val="0"/>
          <w:numId w:val="15"/>
        </w:numPr>
      </w:pPr>
      <w:r>
        <w:t>i</w:t>
      </w:r>
      <w:r w:rsidR="00D40629" w:rsidRPr="00D11D79">
        <w:t xml:space="preserve">nformation that </w:t>
      </w:r>
      <w:r w:rsidR="006D0D17">
        <w:t>demonstrates</w:t>
      </w:r>
      <w:r w:rsidR="00D40629" w:rsidRPr="00D11D79">
        <w:t xml:space="preserve"> that the chemical is a gas that is not expected to partition to the aquatic compartment</w:t>
      </w:r>
      <w:r w:rsidR="00D11D79">
        <w:t>, or</w:t>
      </w:r>
    </w:p>
    <w:p w14:paraId="496AA164" w14:textId="77777777" w:rsidR="00C9746F" w:rsidRPr="00D11D79" w:rsidRDefault="009F171E" w:rsidP="000D0955">
      <w:pPr>
        <w:pStyle w:val="ListParagraph"/>
        <w:numPr>
          <w:ilvl w:val="0"/>
          <w:numId w:val="15"/>
        </w:numPr>
      </w:pPr>
      <w:r>
        <w:t>i</w:t>
      </w:r>
      <w:r w:rsidR="00C9746F" w:rsidRPr="00D11D79">
        <w:t xml:space="preserve">nformation that </w:t>
      </w:r>
      <w:r w:rsidR="006D0D17">
        <w:t>demonstrates</w:t>
      </w:r>
      <w:r w:rsidR="00C9746F" w:rsidRPr="00D11D79">
        <w:t xml:space="preserve"> that the chemical is a substance covered by Entry 9 of Annex V </w:t>
      </w:r>
      <w:r w:rsidR="00D11D79">
        <w:t xml:space="preserve">of </w:t>
      </w:r>
      <w:r w:rsidR="00C9746F" w:rsidRPr="00D11D79">
        <w:t>the REACH Regulation</w:t>
      </w:r>
      <w:r w:rsidR="00D11D79">
        <w:t>, or</w:t>
      </w:r>
    </w:p>
    <w:p w14:paraId="1ABE4FB9" w14:textId="77777777" w:rsidR="00D11D79" w:rsidRPr="00D11D79" w:rsidRDefault="009F171E" w:rsidP="000D0955">
      <w:pPr>
        <w:pStyle w:val="ListParagraph"/>
        <w:numPr>
          <w:ilvl w:val="0"/>
          <w:numId w:val="15"/>
        </w:numPr>
      </w:pPr>
      <w:r>
        <w:t>a</w:t>
      </w:r>
      <w:r w:rsidR="00D11D79" w:rsidRPr="00D11D79">
        <w:t xml:space="preserve"> suitable in silico prediction for partition coefficient of the chemical </w:t>
      </w:r>
      <w:r w:rsidR="00426DCE">
        <w:t xml:space="preserve">itself </w:t>
      </w:r>
      <w:r w:rsidR="00BD2B18">
        <w:t xml:space="preserve">of </w:t>
      </w:r>
      <w:r w:rsidR="00D11D79" w:rsidRPr="00D11D79">
        <w:t>log Kow &lt; 4.2 (that is not negated by a measured log Kow)</w:t>
      </w:r>
      <w:r w:rsidR="00D11D79">
        <w:t>, or</w:t>
      </w:r>
    </w:p>
    <w:p w14:paraId="1205303F" w14:textId="77777777" w:rsidR="00D40629" w:rsidRPr="00D11D79" w:rsidRDefault="00D40629" w:rsidP="000D0955">
      <w:pPr>
        <w:pStyle w:val="ListParagraph"/>
        <w:numPr>
          <w:ilvl w:val="0"/>
          <w:numId w:val="15"/>
        </w:numPr>
      </w:pPr>
      <w:r w:rsidRPr="00D11D79">
        <w:t>measured value from a study on the chemical or from suitable read-across information, conducted following an acceptable test guideline for partition coefficient, for which log Kow &lt; 4.2</w:t>
      </w:r>
      <w:r w:rsidR="00D11D79">
        <w:t>, or</w:t>
      </w:r>
      <w:r w:rsidRPr="00D11D79">
        <w:t xml:space="preserve"> </w:t>
      </w:r>
    </w:p>
    <w:p w14:paraId="6C1891AA" w14:textId="6CCBE949" w:rsidR="00F45C75" w:rsidRPr="00D11D79" w:rsidRDefault="0039590F" w:rsidP="000D0955">
      <w:pPr>
        <w:pStyle w:val="ListParagraph"/>
        <w:numPr>
          <w:ilvl w:val="0"/>
          <w:numId w:val="15"/>
        </w:numPr>
      </w:pPr>
      <w:r>
        <w:t>i</w:t>
      </w:r>
      <w:r w:rsidR="00D40629" w:rsidRPr="00D11D79">
        <w:t>f the chemical is not a highly branched organic chemical</w:t>
      </w:r>
      <w:r w:rsidR="00D15A11">
        <w:rPr>
          <w:rStyle w:val="FootnoteReference"/>
        </w:rPr>
        <w:footnoteReference w:id="10"/>
      </w:r>
      <w:r w:rsidR="00D40629" w:rsidRPr="00D11D79">
        <w:t xml:space="preserve"> </w:t>
      </w:r>
      <w:r w:rsidR="00137A53" w:rsidRPr="00D11D79">
        <w:t>–</w:t>
      </w:r>
      <w:r w:rsidR="00D40629" w:rsidRPr="00D11D79">
        <w:t xml:space="preserve"> </w:t>
      </w:r>
      <w:r w:rsidR="00137A53" w:rsidRPr="00D11D79">
        <w:t>a test result from</w:t>
      </w:r>
      <w:r w:rsidR="00DC7FDC">
        <w:t xml:space="preserve"> a study on</w:t>
      </w:r>
      <w:r w:rsidR="00137A53" w:rsidRPr="00D11D79">
        <w:t xml:space="preserve"> </w:t>
      </w:r>
      <w:r w:rsidR="00A626A5">
        <w:t xml:space="preserve">the chemical or from </w:t>
      </w:r>
      <w:r w:rsidR="00137A53" w:rsidRPr="00D11D79">
        <w:t>suitable read across information, conducted following an acceptable test guideline for ready biodegradability</w:t>
      </w:r>
      <w:r w:rsidR="00DC7FDC">
        <w:t>,</w:t>
      </w:r>
      <w:r w:rsidR="00137A53" w:rsidRPr="00D11D79">
        <w:t xml:space="preserve"> </w:t>
      </w:r>
      <w:r w:rsidR="00F45C75" w:rsidRPr="00D11D79">
        <w:t>which meets at least one of the following degradation pass levels during the period specified in the test method:</w:t>
      </w:r>
    </w:p>
    <w:p w14:paraId="05990A1E" w14:textId="77777777" w:rsidR="00F45C75" w:rsidRPr="00D11D79" w:rsidRDefault="00F45C75" w:rsidP="000D0955">
      <w:pPr>
        <w:pStyle w:val="ListParagraph"/>
        <w:numPr>
          <w:ilvl w:val="1"/>
          <w:numId w:val="15"/>
        </w:numPr>
      </w:pPr>
      <w:r w:rsidRPr="00D11D79">
        <w:t>tests based on dissolved organic carbon (DOC) - ≥ 70% DOC removal, or</w:t>
      </w:r>
    </w:p>
    <w:p w14:paraId="5B25CEFA" w14:textId="77777777" w:rsidR="00F45C75" w:rsidRPr="00D11D79" w:rsidRDefault="00F45C75" w:rsidP="000D0955">
      <w:pPr>
        <w:pStyle w:val="ListParagraph"/>
        <w:numPr>
          <w:ilvl w:val="1"/>
          <w:numId w:val="15"/>
        </w:numPr>
      </w:pPr>
      <w:r w:rsidRPr="00D11D79">
        <w:t xml:space="preserve">tests based on carbon dioxide generation - ≥ 60% theoretical carbon dioxide, or </w:t>
      </w:r>
    </w:p>
    <w:p w14:paraId="548241DB" w14:textId="77777777" w:rsidR="00F45C75" w:rsidRPr="00D11D79" w:rsidRDefault="00F45C75" w:rsidP="000D0955">
      <w:pPr>
        <w:pStyle w:val="ListParagraph"/>
        <w:numPr>
          <w:ilvl w:val="1"/>
          <w:numId w:val="15"/>
        </w:numPr>
      </w:pPr>
      <w:r w:rsidRPr="00D11D79">
        <w:t>tests based on oxygen depletion - ≥ 60% theoretical oxygen demand</w:t>
      </w:r>
      <w:r w:rsidR="00D11D79">
        <w:t>, or</w:t>
      </w:r>
    </w:p>
    <w:p w14:paraId="3D1FAD60" w14:textId="77777777" w:rsidR="00D15A11" w:rsidRPr="00D11D79" w:rsidRDefault="00D15A11" w:rsidP="00D15A11">
      <w:pPr>
        <w:pStyle w:val="ListParagraph"/>
        <w:numPr>
          <w:ilvl w:val="0"/>
          <w:numId w:val="15"/>
        </w:numPr>
      </w:pPr>
      <w:r>
        <w:t>a t</w:t>
      </w:r>
      <w:r w:rsidRPr="00D11D79">
        <w:t>est result from a study on the chemical, conducted following an acceptable test guideline for ready biodegradability</w:t>
      </w:r>
      <w:r>
        <w:t>,</w:t>
      </w:r>
      <w:r w:rsidRPr="00D11D79">
        <w:t xml:space="preserve"> which meets at least one of the following degradation pass levels during the period specified in the test method:</w:t>
      </w:r>
    </w:p>
    <w:p w14:paraId="034B1904" w14:textId="77777777" w:rsidR="00D15A11" w:rsidRPr="00D11D79" w:rsidRDefault="00D15A11" w:rsidP="00D15A11">
      <w:pPr>
        <w:pStyle w:val="ListParagraph"/>
        <w:numPr>
          <w:ilvl w:val="1"/>
          <w:numId w:val="15"/>
        </w:numPr>
      </w:pPr>
      <w:r w:rsidRPr="00D11D79">
        <w:t>tests based on dissolved organic carbon (DOC) - ≥ 70% DOC removal, or</w:t>
      </w:r>
    </w:p>
    <w:p w14:paraId="730B5976" w14:textId="77777777" w:rsidR="00D15A11" w:rsidRPr="00D11D79" w:rsidRDefault="00D15A11" w:rsidP="00D15A11">
      <w:pPr>
        <w:pStyle w:val="ListParagraph"/>
        <w:numPr>
          <w:ilvl w:val="1"/>
          <w:numId w:val="15"/>
        </w:numPr>
      </w:pPr>
      <w:r w:rsidRPr="00D11D79">
        <w:t xml:space="preserve">tests based on carbon dioxide generation - ≥ 60% theoretical carbon dioxide, or </w:t>
      </w:r>
    </w:p>
    <w:p w14:paraId="1573E7C0" w14:textId="77777777" w:rsidR="00D15A11" w:rsidRPr="00D11D79" w:rsidRDefault="00D15A11" w:rsidP="00D15A11">
      <w:pPr>
        <w:pStyle w:val="ListParagraph"/>
        <w:numPr>
          <w:ilvl w:val="1"/>
          <w:numId w:val="15"/>
        </w:numPr>
        <w:rPr>
          <w:lang w:eastAsia="en-AU"/>
        </w:rPr>
      </w:pPr>
      <w:r w:rsidRPr="00D11D79">
        <w:lastRenderedPageBreak/>
        <w:t>tests based on oxygen depletion - ≥ 60% theoretical oxygen demand</w:t>
      </w:r>
      <w:r>
        <w:t>, or</w:t>
      </w:r>
    </w:p>
    <w:p w14:paraId="24256420" w14:textId="1836473D" w:rsidR="00A626A5" w:rsidRDefault="00FC6FF8" w:rsidP="000D0955">
      <w:pPr>
        <w:pStyle w:val="ListParagraph"/>
        <w:numPr>
          <w:ilvl w:val="0"/>
          <w:numId w:val="15"/>
        </w:numPr>
      </w:pPr>
      <w:r>
        <w:t>i</w:t>
      </w:r>
      <w:r w:rsidR="00A626A5">
        <w:t>f the chemical is not a highly branched organic chemical</w:t>
      </w:r>
      <w:r w:rsidR="00D15A11">
        <w:rPr>
          <w:rStyle w:val="FootnoteReference"/>
        </w:rPr>
        <w:footnoteReference w:id="11"/>
      </w:r>
      <w:r w:rsidR="00A626A5">
        <w:t xml:space="preserve"> – a test result from</w:t>
      </w:r>
      <w:r w:rsidR="00DC7FDC">
        <w:t xml:space="preserve"> a study on</w:t>
      </w:r>
      <w:r w:rsidR="00A626A5">
        <w:t xml:space="preserve"> the chemical or from suitable read across information, conducted following an acceptable test guideline for transformation in aquatic sediment systems</w:t>
      </w:r>
      <w:r w:rsidR="00DC7FDC">
        <w:t>,</w:t>
      </w:r>
      <w:r w:rsidR="00A626A5">
        <w:t xml:space="preserve"> results in both:</w:t>
      </w:r>
    </w:p>
    <w:p w14:paraId="497ED2E0" w14:textId="77777777" w:rsidR="00A626A5" w:rsidRDefault="00A626A5" w:rsidP="00A626A5">
      <w:pPr>
        <w:pStyle w:val="ListParagraph"/>
        <w:numPr>
          <w:ilvl w:val="1"/>
          <w:numId w:val="15"/>
        </w:numPr>
      </w:pPr>
      <w:r>
        <w:t>a degradation half-life in water of &lt; </w:t>
      </w:r>
      <w:r w:rsidR="00B54126">
        <w:t>2 months</w:t>
      </w:r>
      <w:r>
        <w:t>, and</w:t>
      </w:r>
    </w:p>
    <w:p w14:paraId="216CBE82" w14:textId="77777777" w:rsidR="00A626A5" w:rsidRDefault="00A626A5" w:rsidP="00A626A5">
      <w:pPr>
        <w:pStyle w:val="ListParagraph"/>
        <w:numPr>
          <w:ilvl w:val="1"/>
          <w:numId w:val="15"/>
        </w:numPr>
      </w:pPr>
      <w:r>
        <w:t>a degradation half-life in sediment of &lt; 6 months</w:t>
      </w:r>
      <w:r w:rsidR="00DC7FDC">
        <w:t>, or</w:t>
      </w:r>
    </w:p>
    <w:p w14:paraId="57FE8565" w14:textId="77777777" w:rsidR="00DC7FDC" w:rsidRDefault="00860DE4" w:rsidP="00DC7FDC">
      <w:pPr>
        <w:pStyle w:val="ListParagraph"/>
        <w:numPr>
          <w:ilvl w:val="0"/>
          <w:numId w:val="15"/>
        </w:numPr>
      </w:pPr>
      <w:r>
        <w:t xml:space="preserve">a </w:t>
      </w:r>
      <w:r w:rsidR="00767D51">
        <w:t>t</w:t>
      </w:r>
      <w:r w:rsidR="00DC7FDC">
        <w:t>est result from</w:t>
      </w:r>
      <w:r w:rsidR="0049797F">
        <w:t xml:space="preserve"> a study on</w:t>
      </w:r>
      <w:r w:rsidR="00DC7FDC">
        <w:t xml:space="preserve"> the c</w:t>
      </w:r>
      <w:r w:rsidR="0049797F">
        <w:t>hemical</w:t>
      </w:r>
      <w:r w:rsidR="00DC7FDC">
        <w:t>, conducted following an acceptable test guideline for transformation in aquatic sediment systems, results in both:</w:t>
      </w:r>
    </w:p>
    <w:p w14:paraId="5A505DA4" w14:textId="77777777" w:rsidR="00DC7FDC" w:rsidRDefault="00DC7FDC" w:rsidP="00DC7FDC">
      <w:pPr>
        <w:pStyle w:val="ListParagraph"/>
        <w:numPr>
          <w:ilvl w:val="1"/>
          <w:numId w:val="15"/>
        </w:numPr>
      </w:pPr>
      <w:r>
        <w:t>a degradation half-life in water of &lt; </w:t>
      </w:r>
      <w:r w:rsidR="00B54126">
        <w:t>2 months</w:t>
      </w:r>
      <w:r>
        <w:t>, and</w:t>
      </w:r>
    </w:p>
    <w:p w14:paraId="58253046" w14:textId="77777777" w:rsidR="00DC7FDC" w:rsidRPr="00DC7FDC" w:rsidRDefault="00DC7FDC" w:rsidP="00DC7FDC">
      <w:pPr>
        <w:pStyle w:val="ListParagraph"/>
        <w:numPr>
          <w:ilvl w:val="1"/>
          <w:numId w:val="15"/>
        </w:numPr>
      </w:pPr>
      <w:r>
        <w:t>a degradation half-life in sediment of &lt; 6 months, or</w:t>
      </w:r>
    </w:p>
    <w:p w14:paraId="25B9C326" w14:textId="15EB3137" w:rsidR="00D876C3" w:rsidRPr="00D11D79" w:rsidRDefault="009E3AB8" w:rsidP="000D0955">
      <w:pPr>
        <w:pStyle w:val="ListParagraph"/>
        <w:numPr>
          <w:ilvl w:val="0"/>
          <w:numId w:val="15"/>
        </w:numPr>
      </w:pPr>
      <w:r w:rsidRPr="2F7D7CB0">
        <w:rPr>
          <w:color w:val="262626"/>
          <w:lang w:val="en"/>
        </w:rPr>
        <w:t>i</w:t>
      </w:r>
      <w:r w:rsidR="00D876C3" w:rsidRPr="2F7D7CB0">
        <w:rPr>
          <w:color w:val="262626"/>
          <w:lang w:val="en"/>
        </w:rPr>
        <w:t xml:space="preserve">f the chemical is not a biocidal active </w:t>
      </w:r>
      <w:r w:rsidR="00BB12B3" w:rsidRPr="2F7D7CB0">
        <w:rPr>
          <w:color w:val="262626"/>
          <w:lang w:val="en"/>
        </w:rPr>
        <w:t>and not a persistent,</w:t>
      </w:r>
      <w:r w:rsidR="00D876C3" w:rsidRPr="2F7D7CB0">
        <w:rPr>
          <w:color w:val="262626"/>
          <w:lang w:val="en"/>
        </w:rPr>
        <w:t xml:space="preserve"> highly branched </w:t>
      </w:r>
      <w:r w:rsidR="008F3A38" w:rsidRPr="18BCD895">
        <w:rPr>
          <w:color w:val="000000" w:themeColor="text1"/>
          <w:lang w:val="en"/>
        </w:rPr>
        <w:t xml:space="preserve">organic </w:t>
      </w:r>
      <w:r w:rsidR="00D876C3" w:rsidRPr="2F7D7CB0">
        <w:rPr>
          <w:color w:val="262626"/>
          <w:lang w:val="en"/>
        </w:rPr>
        <w:t>chemical</w:t>
      </w:r>
      <w:r w:rsidR="006643D5">
        <w:rPr>
          <w:rStyle w:val="FootnoteReference"/>
          <w:rFonts w:cstheme="minorHAnsi"/>
          <w:color w:val="262626"/>
          <w:lang w:val="en"/>
        </w:rPr>
        <w:footnoteReference w:id="12"/>
      </w:r>
      <w:r w:rsidR="00D876C3" w:rsidRPr="2F7D7CB0">
        <w:rPr>
          <w:color w:val="262626"/>
          <w:lang w:val="en"/>
        </w:rPr>
        <w:t xml:space="preserve"> – information on aquatic toxicity for all three trophic levels (fish, invertebrates and algae), from suitable in silico predictions on the chemical or in vivo studies on the chemical or from suitable read-across information conducted following acceptable test guidelines for aquatic toxicity, with the following results for all three trophic levels:</w:t>
      </w:r>
    </w:p>
    <w:p w14:paraId="62805AD9" w14:textId="6383B5A3" w:rsidR="00D876C3" w:rsidRPr="00D11D79" w:rsidRDefault="00351BA5" w:rsidP="000D0955">
      <w:pPr>
        <w:pStyle w:val="ListParagraph"/>
        <w:numPr>
          <w:ilvl w:val="1"/>
          <w:numId w:val="15"/>
        </w:numPr>
      </w:pPr>
      <w:r>
        <w:rPr>
          <w:rFonts w:cstheme="minorHAnsi"/>
          <w:color w:val="262626"/>
          <w:lang w:val="en"/>
        </w:rPr>
        <w:t>a</w:t>
      </w:r>
      <w:r w:rsidR="00D876C3" w:rsidRPr="00D11D79">
        <w:rPr>
          <w:rFonts w:cstheme="minorHAnsi"/>
          <w:color w:val="262626"/>
          <w:lang w:val="en"/>
        </w:rPr>
        <w:t>cute aquatic toxicity &gt; 1 mg/L (</w:t>
      </w:r>
      <w:r w:rsidR="00A83A90" w:rsidRPr="00D11D79">
        <w:rPr>
          <w:rFonts w:cstheme="minorHAnsi"/>
          <w:color w:val="262626"/>
          <w:lang w:val="en"/>
        </w:rPr>
        <w:t xml:space="preserve">96h </w:t>
      </w:r>
      <w:r w:rsidR="00D876C3" w:rsidRPr="00D11D79">
        <w:rPr>
          <w:rFonts w:cstheme="minorHAnsi"/>
          <w:color w:val="262626"/>
          <w:lang w:val="en"/>
        </w:rPr>
        <w:t xml:space="preserve">LC50 (fish), or </w:t>
      </w:r>
      <w:r w:rsidR="00A83A90" w:rsidRPr="00D11D79">
        <w:rPr>
          <w:rFonts w:cstheme="minorHAnsi"/>
          <w:color w:val="262626"/>
          <w:lang w:val="en"/>
        </w:rPr>
        <w:t xml:space="preserve">48h </w:t>
      </w:r>
      <w:r w:rsidR="00D876C3" w:rsidRPr="00D11D79">
        <w:rPr>
          <w:rFonts w:cstheme="minorHAnsi"/>
          <w:color w:val="262626"/>
          <w:lang w:val="en"/>
        </w:rPr>
        <w:t xml:space="preserve">EC50 (invertebrates) or </w:t>
      </w:r>
      <w:r w:rsidR="00A83A90" w:rsidRPr="00D11D79">
        <w:rPr>
          <w:rFonts w:cstheme="minorHAnsi"/>
          <w:color w:val="262626"/>
          <w:lang w:val="en"/>
        </w:rPr>
        <w:t xml:space="preserve">72 or 96h </w:t>
      </w:r>
      <w:r w:rsidR="00D876C3" w:rsidRPr="00D11D79">
        <w:rPr>
          <w:rFonts w:cstheme="minorHAnsi"/>
          <w:color w:val="262626"/>
          <w:lang w:val="en"/>
        </w:rPr>
        <w:t>ErC50 (algae)), or</w:t>
      </w:r>
    </w:p>
    <w:p w14:paraId="712A330F" w14:textId="77777777" w:rsidR="00D876C3" w:rsidRPr="00D11D79" w:rsidRDefault="00470BEE" w:rsidP="000D0955">
      <w:pPr>
        <w:pStyle w:val="ListParagraph"/>
        <w:numPr>
          <w:ilvl w:val="1"/>
          <w:numId w:val="15"/>
        </w:numPr>
      </w:pPr>
      <w:r>
        <w:rPr>
          <w:rFonts w:cstheme="minorHAnsi"/>
          <w:color w:val="262626"/>
          <w:lang w:val="en"/>
        </w:rPr>
        <w:t>c</w:t>
      </w:r>
      <w:r w:rsidR="00D876C3" w:rsidRPr="00D11D79">
        <w:rPr>
          <w:rFonts w:cstheme="minorHAnsi"/>
          <w:color w:val="262626"/>
          <w:lang w:val="en"/>
        </w:rPr>
        <w:t xml:space="preserve">hronic aquatic toxicity </w:t>
      </w:r>
      <w:r w:rsidR="00D876C3" w:rsidRPr="00D11D79">
        <w:rPr>
          <w:lang w:eastAsia="en-AU"/>
        </w:rPr>
        <w:t>NOEC or EC</w:t>
      </w:r>
      <w:r w:rsidR="00CC2997" w:rsidRPr="00CC2997">
        <w:rPr>
          <w:vertAlign w:val="subscript"/>
          <w:lang w:eastAsia="en-AU"/>
        </w:rPr>
        <w:t>10</w:t>
      </w:r>
      <w:r w:rsidR="00D876C3" w:rsidRPr="00D11D79">
        <w:rPr>
          <w:lang w:eastAsia="en-AU"/>
        </w:rPr>
        <w:t xml:space="preserve"> &gt; 0.1mg/L (for chemicals that are not readily biodegradable)</w:t>
      </w:r>
      <w:r w:rsidR="00463E34">
        <w:rPr>
          <w:lang w:eastAsia="en-AU"/>
        </w:rPr>
        <w:t>, or</w:t>
      </w:r>
    </w:p>
    <w:p w14:paraId="7AF5CCCB" w14:textId="536B54A1" w:rsidR="00D876C3" w:rsidRPr="00D11D79" w:rsidRDefault="00470BEE" w:rsidP="000D0955">
      <w:pPr>
        <w:pStyle w:val="ListParagraph"/>
        <w:numPr>
          <w:ilvl w:val="0"/>
          <w:numId w:val="15"/>
        </w:numPr>
        <w:rPr>
          <w:lang w:eastAsia="en-AU"/>
        </w:rPr>
      </w:pPr>
      <w:r>
        <w:rPr>
          <w:rFonts w:cstheme="minorHAnsi"/>
          <w:color w:val="262626"/>
          <w:lang w:val="en"/>
        </w:rPr>
        <w:t>t</w:t>
      </w:r>
      <w:r w:rsidR="00D876C3" w:rsidRPr="00D11D79">
        <w:rPr>
          <w:rFonts w:cstheme="minorHAnsi"/>
          <w:color w:val="262626"/>
          <w:lang w:val="en"/>
        </w:rPr>
        <w:t xml:space="preserve">est results for all three trophic levels (fish, invertebrates and algae) from in vivo studies on the chemical or from suitable read-across information, conducted following acceptable test guidelines for chronic aquatic toxicity </w:t>
      </w:r>
      <w:r w:rsidR="00D876C3" w:rsidRPr="00D11D79">
        <w:rPr>
          <w:lang w:eastAsia="en-AU"/>
        </w:rPr>
        <w:t xml:space="preserve">with </w:t>
      </w:r>
      <w:r w:rsidR="00A83A90" w:rsidRPr="00D11D79">
        <w:rPr>
          <w:lang w:eastAsia="en-AU"/>
        </w:rPr>
        <w:t>a NOEC or EC</w:t>
      </w:r>
      <w:r w:rsidR="00CC2997" w:rsidRPr="00CC2997">
        <w:rPr>
          <w:vertAlign w:val="subscript"/>
          <w:lang w:eastAsia="en-AU"/>
        </w:rPr>
        <w:t>10</w:t>
      </w:r>
      <w:r w:rsidR="00A83A90" w:rsidRPr="00D11D79">
        <w:rPr>
          <w:lang w:eastAsia="en-AU"/>
        </w:rPr>
        <w:t xml:space="preserve"> &gt; 0.1mg/L </w:t>
      </w:r>
      <w:r w:rsidR="00D876C3" w:rsidRPr="00D11D79">
        <w:rPr>
          <w:lang w:eastAsia="en-AU"/>
        </w:rPr>
        <w:t>for all three trophic levels</w:t>
      </w:r>
      <w:r w:rsidR="00463E34">
        <w:rPr>
          <w:lang w:eastAsia="en-AU"/>
        </w:rPr>
        <w:t>, or</w:t>
      </w:r>
    </w:p>
    <w:p w14:paraId="42BE7BCF" w14:textId="77777777" w:rsidR="00137A53" w:rsidRPr="00D11D79" w:rsidRDefault="00470BEE" w:rsidP="000D0955">
      <w:pPr>
        <w:pStyle w:val="ListParagraph"/>
        <w:numPr>
          <w:ilvl w:val="0"/>
          <w:numId w:val="15"/>
        </w:numPr>
      </w:pPr>
      <w:r>
        <w:t>a t</w:t>
      </w:r>
      <w:r w:rsidR="00137A53" w:rsidRPr="00D11D79">
        <w:t>est result from an in vivo study on the chemical or from suitable read-across information, conducted following an acceptable test guideline for bioconcentration, for which the BCF &lt;2,000</w:t>
      </w:r>
      <w:r w:rsidR="00463E34">
        <w:t>, or</w:t>
      </w:r>
      <w:r w:rsidR="00137A53" w:rsidRPr="00D11D79">
        <w:t xml:space="preserve">  </w:t>
      </w:r>
    </w:p>
    <w:p w14:paraId="20A09BFA" w14:textId="77777777" w:rsidR="00D40629" w:rsidRDefault="00C3489E" w:rsidP="000D0955">
      <w:pPr>
        <w:pStyle w:val="ListParagraph"/>
        <w:numPr>
          <w:ilvl w:val="0"/>
          <w:numId w:val="15"/>
        </w:numPr>
        <w:rPr>
          <w:lang w:eastAsia="en-AU"/>
        </w:rPr>
      </w:pPr>
      <w:r>
        <w:t>a t</w:t>
      </w:r>
      <w:r w:rsidR="00137A53" w:rsidRPr="00D11D79">
        <w:t>est result from an in vivo study on the chemical or from suitable read-across information, conducted following an acceptable test guideline for bioaccumulation, for which the BAF &lt;2,000</w:t>
      </w:r>
      <w:r w:rsidR="00463E34">
        <w:t>.</w:t>
      </w:r>
      <w:r w:rsidR="00137A53" w:rsidRPr="00D11D79">
        <w:t xml:space="preserve"> </w:t>
      </w:r>
    </w:p>
    <w:p w14:paraId="4C8C8F40" w14:textId="77777777" w:rsidR="00633E3F" w:rsidRDefault="00633E3F" w:rsidP="00633E3F">
      <w:pPr>
        <w:pStyle w:val="ListParagraph"/>
        <w:numPr>
          <w:ilvl w:val="0"/>
          <w:numId w:val="0"/>
        </w:numPr>
        <w:ind w:left="720"/>
        <w:rPr>
          <w:lang w:eastAsia="en-AU"/>
        </w:rPr>
      </w:pPr>
    </w:p>
    <w:p w14:paraId="47606463" w14:textId="77777777" w:rsidR="009B5AEC" w:rsidRDefault="009B5AEC" w:rsidP="009B5AEC">
      <w:pPr>
        <w:pStyle w:val="Heading2"/>
      </w:pPr>
      <w:bookmarkStart w:id="44" w:name="_Toc43890228"/>
      <w:r>
        <w:t>Very toxic to any aquatic life – Environment hazard band C</w:t>
      </w:r>
      <w:bookmarkEnd w:id="44"/>
    </w:p>
    <w:p w14:paraId="57F81782" w14:textId="77777777" w:rsidR="009B5AEC" w:rsidRDefault="00877BCF" w:rsidP="00FA0F32">
      <w:pPr>
        <w:pStyle w:val="Heading3"/>
        <w:ind w:left="709"/>
      </w:pPr>
      <w:r>
        <w:lastRenderedPageBreak/>
        <w:t xml:space="preserve">Clause </w:t>
      </w:r>
      <w:r w:rsidR="009B5AEC">
        <w:t xml:space="preserve">4 of Part 2, Schedule 1 </w:t>
      </w:r>
      <w:r w:rsidR="00B40381">
        <w:t xml:space="preserve">to </w:t>
      </w:r>
      <w:r w:rsidR="009B5AEC">
        <w:t xml:space="preserve">the </w:t>
      </w:r>
      <w:r w:rsidR="009547E9">
        <w:t>IC General Rules</w:t>
      </w:r>
      <w:r w:rsidR="009B5AEC">
        <w:t xml:space="preserve"> </w:t>
      </w:r>
    </w:p>
    <w:p w14:paraId="63AAC57E" w14:textId="77777777" w:rsidR="009B5AEC" w:rsidRDefault="009B5AEC" w:rsidP="00713CCD">
      <w:pPr>
        <w:rPr>
          <w:rStyle w:val="normaltextrun"/>
          <w:color w:val="000000"/>
          <w:shd w:val="clear" w:color="auto" w:fill="FFFFFF"/>
        </w:rPr>
      </w:pPr>
      <w:r>
        <w:rPr>
          <w:rStyle w:val="normaltextrun"/>
          <w:color w:val="000000"/>
          <w:shd w:val="clear" w:color="auto" w:fill="FFFFFF"/>
        </w:rPr>
        <w:t xml:space="preserve">For the purposes of table item 6 of </w:t>
      </w:r>
      <w:r w:rsidR="00064B10">
        <w:rPr>
          <w:rStyle w:val="normaltextrun"/>
          <w:color w:val="000000"/>
          <w:shd w:val="clear" w:color="auto" w:fill="FFFFFF"/>
        </w:rPr>
        <w:t xml:space="preserve">Clause 4, </w:t>
      </w:r>
      <w:r>
        <w:rPr>
          <w:rStyle w:val="normaltextrun"/>
          <w:color w:val="000000"/>
          <w:shd w:val="clear" w:color="auto" w:fill="FFFFFF"/>
        </w:rPr>
        <w:t xml:space="preserve">Part 2, Schedule 1 </w:t>
      </w:r>
      <w:r w:rsidR="00064B10">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296768DD" w14:textId="77777777" w:rsidR="009B5AEC" w:rsidRDefault="009B5AEC" w:rsidP="00713CCD">
      <w:pPr>
        <w:rPr>
          <w:rStyle w:val="eop"/>
          <w:color w:val="000000"/>
          <w:shd w:val="clear" w:color="auto" w:fill="FFFFFF"/>
        </w:rPr>
      </w:pPr>
      <w:r w:rsidRPr="00064B10">
        <w:rPr>
          <w:rStyle w:val="normaltextrun"/>
          <w:b/>
          <w:color w:val="000000"/>
          <w:shd w:val="clear" w:color="auto" w:fill="FFFFFF"/>
        </w:rPr>
        <w:t xml:space="preserve">Very toxic to any aquatic life </w:t>
      </w:r>
      <w:r>
        <w:rPr>
          <w:rStyle w:val="normaltextrun"/>
          <w:color w:val="000000"/>
          <w:shd w:val="clear" w:color="auto" w:fill="FFFFFF"/>
        </w:rPr>
        <w:t>means that any of the following apply to the industrial chemical:</w:t>
      </w:r>
      <w:r>
        <w:rPr>
          <w:rStyle w:val="eop"/>
          <w:color w:val="000000"/>
          <w:shd w:val="clear" w:color="auto" w:fill="FFFFFF"/>
        </w:rPr>
        <w:t> </w:t>
      </w:r>
    </w:p>
    <w:p w14:paraId="7F2EA3F3" w14:textId="77777777" w:rsidR="009B5AEC" w:rsidRDefault="00A25DCA" w:rsidP="003E3B1D">
      <w:pPr>
        <w:pStyle w:val="ListParagraph"/>
        <w:numPr>
          <w:ilvl w:val="0"/>
          <w:numId w:val="100"/>
        </w:numPr>
        <w:rPr>
          <w:lang w:eastAsia="en-AU"/>
        </w:rPr>
      </w:pPr>
      <w:r>
        <w:rPr>
          <w:lang w:eastAsia="en-AU"/>
        </w:rPr>
        <w:t>the chemical is known to cause:</w:t>
      </w:r>
    </w:p>
    <w:p w14:paraId="3B548DED" w14:textId="77777777" w:rsidR="00A25DCA" w:rsidRPr="00713CCD" w:rsidRDefault="00A25DCA" w:rsidP="003E3B1D">
      <w:pPr>
        <w:pStyle w:val="ListParagraph"/>
        <w:numPr>
          <w:ilvl w:val="1"/>
          <w:numId w:val="100"/>
        </w:numPr>
        <w:rPr>
          <w:rFonts w:cstheme="minorHAnsi"/>
          <w:color w:val="262626"/>
          <w:lang w:val="en"/>
        </w:rPr>
      </w:pPr>
      <w:r w:rsidRPr="00713CCD">
        <w:rPr>
          <w:rFonts w:cstheme="minorHAnsi"/>
          <w:color w:val="262626"/>
          <w:lang w:val="en"/>
        </w:rPr>
        <w:t>toxic injury to an organism following short term aquatic exposure</w:t>
      </w:r>
      <w:r w:rsidR="00D52800" w:rsidRPr="00713CCD">
        <w:rPr>
          <w:rFonts w:cstheme="minorHAnsi"/>
          <w:color w:val="262626"/>
          <w:lang w:val="en"/>
        </w:rPr>
        <w:t xml:space="preserve"> as described in chapter 4.1 of the GHS,</w:t>
      </w:r>
      <w:r w:rsidRPr="00713CCD">
        <w:rPr>
          <w:rFonts w:cstheme="minorHAnsi"/>
          <w:color w:val="262626"/>
          <w:lang w:val="en"/>
        </w:rPr>
        <w:t xml:space="preserve"> </w:t>
      </w:r>
      <w:r w:rsidR="00D52800" w:rsidRPr="00713CCD">
        <w:rPr>
          <w:rFonts w:cstheme="minorHAnsi"/>
          <w:color w:val="262626"/>
          <w:lang w:val="en"/>
        </w:rPr>
        <w:t>with the chemical classified as acute aquatic toxicity (category 1), or</w:t>
      </w:r>
    </w:p>
    <w:p w14:paraId="35D57F43" w14:textId="77777777" w:rsidR="00A25DCA" w:rsidRPr="00713CCD" w:rsidRDefault="00A25DCA" w:rsidP="003E3B1D">
      <w:pPr>
        <w:pStyle w:val="ListParagraph"/>
        <w:numPr>
          <w:ilvl w:val="1"/>
          <w:numId w:val="100"/>
        </w:numPr>
        <w:rPr>
          <w:rFonts w:cstheme="minorHAnsi"/>
          <w:color w:val="262626"/>
          <w:lang w:val="en"/>
        </w:rPr>
      </w:pPr>
      <w:r w:rsidRPr="00713CCD">
        <w:rPr>
          <w:rFonts w:cstheme="minorHAnsi"/>
          <w:color w:val="262626"/>
          <w:lang w:val="en"/>
        </w:rPr>
        <w:t>adverse effects to an organism during aquatic exposures determined in relation to the life-cycle of the organism, as described in chapter 4.1 of the GHS, with the chemical classified as</w:t>
      </w:r>
      <w:r w:rsidR="00D52800" w:rsidRPr="00713CCD">
        <w:rPr>
          <w:rFonts w:cstheme="minorHAnsi"/>
          <w:color w:val="262626"/>
          <w:lang w:val="en"/>
        </w:rPr>
        <w:t xml:space="preserve"> chronic aquatic toxicity (category 1)</w:t>
      </w:r>
      <w:r w:rsidR="00463E34">
        <w:rPr>
          <w:rFonts w:cstheme="minorHAnsi"/>
          <w:color w:val="262626"/>
          <w:lang w:val="en"/>
        </w:rPr>
        <w:t>, or</w:t>
      </w:r>
    </w:p>
    <w:p w14:paraId="5A7FEFBA" w14:textId="77777777" w:rsidR="00844E56" w:rsidRDefault="00A25DCA" w:rsidP="003E3B1D">
      <w:pPr>
        <w:pStyle w:val="ListParagraph"/>
        <w:numPr>
          <w:ilvl w:val="0"/>
          <w:numId w:val="100"/>
        </w:numPr>
        <w:rPr>
          <w:lang w:eastAsia="en-AU"/>
        </w:rPr>
      </w:pPr>
      <w:r>
        <w:rPr>
          <w:lang w:eastAsia="en-AU"/>
        </w:rPr>
        <w:t xml:space="preserve">the chemical (or the chemical of which it is an ester or salt) is on the </w:t>
      </w:r>
      <w:r w:rsidRPr="00896B08">
        <w:rPr>
          <w:b/>
          <w:lang w:eastAsia="en-AU"/>
        </w:rPr>
        <w:t>list of chemicals with high hazards for categorisation</w:t>
      </w:r>
      <w:r>
        <w:rPr>
          <w:lang w:eastAsia="en-AU"/>
        </w:rPr>
        <w:t xml:space="preserve"> based on it being very toxic to aquatic life, or</w:t>
      </w:r>
    </w:p>
    <w:p w14:paraId="791C89DC" w14:textId="77777777" w:rsidR="00A25DCA" w:rsidRPr="00713CCD" w:rsidRDefault="00562854" w:rsidP="003E3B1D">
      <w:pPr>
        <w:pStyle w:val="ListParagraph"/>
        <w:numPr>
          <w:ilvl w:val="0"/>
          <w:numId w:val="100"/>
        </w:numPr>
        <w:rPr>
          <w:rFonts w:cstheme="minorHAnsi"/>
          <w:color w:val="262626"/>
          <w:lang w:val="en"/>
        </w:rPr>
      </w:pPr>
      <w:r w:rsidRPr="00713CCD">
        <w:rPr>
          <w:rFonts w:cstheme="minorHAnsi"/>
          <w:color w:val="262626"/>
          <w:lang w:val="en"/>
        </w:rPr>
        <w:t xml:space="preserve">an </w:t>
      </w:r>
      <w:r w:rsidR="00A25DCA" w:rsidRPr="00713CCD">
        <w:rPr>
          <w:rFonts w:cstheme="minorHAnsi"/>
          <w:color w:val="262626"/>
          <w:lang w:val="en"/>
        </w:rPr>
        <w:t xml:space="preserve">in vivo </w:t>
      </w:r>
      <w:r w:rsidR="001605C7" w:rsidRPr="00713CCD">
        <w:rPr>
          <w:rFonts w:cstheme="minorHAnsi"/>
          <w:color w:val="262626"/>
          <w:lang w:val="en"/>
        </w:rPr>
        <w:t xml:space="preserve">acute </w:t>
      </w:r>
      <w:r w:rsidRPr="00713CCD">
        <w:rPr>
          <w:rFonts w:cstheme="minorHAnsi"/>
          <w:color w:val="262626"/>
          <w:lang w:val="en"/>
        </w:rPr>
        <w:t>study</w:t>
      </w:r>
      <w:r w:rsidR="00A25DCA" w:rsidRPr="00713CCD">
        <w:rPr>
          <w:rFonts w:cstheme="minorHAnsi"/>
          <w:color w:val="262626"/>
          <w:lang w:val="en"/>
        </w:rPr>
        <w:t xml:space="preserve"> on the chemical</w:t>
      </w:r>
      <w:r w:rsidR="008022C3">
        <w:rPr>
          <w:rFonts w:cstheme="minorHAnsi"/>
          <w:color w:val="262626"/>
          <w:lang w:val="en"/>
        </w:rPr>
        <w:t>:</w:t>
      </w:r>
    </w:p>
    <w:p w14:paraId="56E1AE36" w14:textId="4BEA3DCD" w:rsidR="00A25DCA" w:rsidRPr="00713CCD" w:rsidRDefault="00562854" w:rsidP="003E3B1D">
      <w:pPr>
        <w:pStyle w:val="ListParagraph"/>
        <w:numPr>
          <w:ilvl w:val="1"/>
          <w:numId w:val="100"/>
        </w:numPr>
        <w:rPr>
          <w:rFonts w:cstheme="minorHAnsi"/>
          <w:color w:val="262626"/>
          <w:lang w:val="en"/>
        </w:rPr>
      </w:pPr>
      <w:r w:rsidRPr="00713CCD">
        <w:rPr>
          <w:rFonts w:cstheme="minorHAnsi"/>
          <w:color w:val="262626"/>
          <w:lang w:val="en"/>
        </w:rPr>
        <w:t xml:space="preserve">conducted following an acceptable test guideline for acute toxicity to fish results in a </w:t>
      </w:r>
      <w:r w:rsidR="00A25DCA" w:rsidRPr="00713CCD">
        <w:rPr>
          <w:rFonts w:cstheme="minorHAnsi"/>
          <w:color w:val="262626"/>
          <w:lang w:val="en"/>
        </w:rPr>
        <w:t xml:space="preserve">96h LC50 </w:t>
      </w:r>
      <w:r w:rsidRPr="00713CCD">
        <w:rPr>
          <w:rFonts w:cstheme="minorHAnsi"/>
          <w:color w:val="262626"/>
          <w:lang w:val="en"/>
        </w:rPr>
        <w:t>≤ 1mg/L</w:t>
      </w:r>
      <w:r w:rsidR="00400C34">
        <w:rPr>
          <w:rFonts w:cstheme="minorHAnsi"/>
          <w:color w:val="262626"/>
          <w:lang w:val="en"/>
        </w:rPr>
        <w:t>,</w:t>
      </w:r>
      <w:r w:rsidRPr="00713CCD">
        <w:rPr>
          <w:rFonts w:cstheme="minorHAnsi"/>
          <w:color w:val="262626"/>
          <w:lang w:val="en"/>
        </w:rPr>
        <w:t xml:space="preserve"> or</w:t>
      </w:r>
    </w:p>
    <w:p w14:paraId="2AE54009" w14:textId="3CA99FAC" w:rsidR="00A25DCA" w:rsidRPr="00713CCD" w:rsidRDefault="00562854" w:rsidP="003E3B1D">
      <w:pPr>
        <w:pStyle w:val="ListParagraph"/>
        <w:numPr>
          <w:ilvl w:val="1"/>
          <w:numId w:val="100"/>
        </w:numPr>
        <w:rPr>
          <w:rFonts w:cstheme="minorHAnsi"/>
          <w:color w:val="262626"/>
          <w:lang w:val="en"/>
        </w:rPr>
      </w:pPr>
      <w:r w:rsidRPr="00713CCD">
        <w:rPr>
          <w:rFonts w:cstheme="minorHAnsi"/>
          <w:color w:val="262626"/>
          <w:lang w:val="en"/>
        </w:rPr>
        <w:t xml:space="preserve">conducted following an acceptable test guideline for acute toxicity to invertebrates results in </w:t>
      </w:r>
      <w:r w:rsidR="009A202C" w:rsidRPr="00713CCD">
        <w:rPr>
          <w:rFonts w:cstheme="minorHAnsi"/>
          <w:color w:val="262626"/>
          <w:lang w:val="en"/>
        </w:rPr>
        <w:t>a</w:t>
      </w:r>
      <w:r w:rsidRPr="00713CCD">
        <w:rPr>
          <w:rFonts w:cstheme="minorHAnsi"/>
          <w:color w:val="262626"/>
          <w:lang w:val="en"/>
        </w:rPr>
        <w:t xml:space="preserve"> </w:t>
      </w:r>
      <w:r w:rsidR="00A25DCA" w:rsidRPr="00713CCD">
        <w:rPr>
          <w:rFonts w:cstheme="minorHAnsi"/>
          <w:color w:val="262626"/>
          <w:lang w:val="en"/>
        </w:rPr>
        <w:t xml:space="preserve">48h EC50 </w:t>
      </w:r>
      <w:r w:rsidRPr="00713CCD">
        <w:rPr>
          <w:rFonts w:cstheme="minorHAnsi"/>
          <w:color w:val="262626"/>
          <w:lang w:val="en"/>
        </w:rPr>
        <w:t>≤ 1mg/L</w:t>
      </w:r>
      <w:r w:rsidR="00400C34">
        <w:rPr>
          <w:rFonts w:cstheme="minorHAnsi"/>
          <w:color w:val="262626"/>
          <w:lang w:val="en"/>
        </w:rPr>
        <w:t>,</w:t>
      </w:r>
      <w:r w:rsidRPr="00713CCD">
        <w:rPr>
          <w:rFonts w:cstheme="minorHAnsi"/>
          <w:color w:val="262626"/>
          <w:lang w:val="en"/>
        </w:rPr>
        <w:t xml:space="preserve"> or</w:t>
      </w:r>
    </w:p>
    <w:p w14:paraId="37D65AC2" w14:textId="51E5582E" w:rsidR="00A25DCA" w:rsidRPr="00713CCD" w:rsidRDefault="00562854" w:rsidP="003E3B1D">
      <w:pPr>
        <w:pStyle w:val="ListParagraph"/>
        <w:numPr>
          <w:ilvl w:val="1"/>
          <w:numId w:val="100"/>
        </w:numPr>
        <w:rPr>
          <w:rFonts w:cstheme="minorHAnsi"/>
          <w:color w:val="262626"/>
          <w:lang w:val="en"/>
        </w:rPr>
      </w:pPr>
      <w:r w:rsidRPr="00713CCD">
        <w:rPr>
          <w:rFonts w:cstheme="minorHAnsi"/>
          <w:color w:val="262626"/>
          <w:lang w:val="en"/>
        </w:rPr>
        <w:t xml:space="preserve">conducted following an acceptable test guideline for acute toxicity to algae or other aquatic plants results in </w:t>
      </w:r>
      <w:r w:rsidR="009A202C" w:rsidRPr="00713CCD">
        <w:rPr>
          <w:rFonts w:cstheme="minorHAnsi"/>
          <w:color w:val="262626"/>
          <w:lang w:val="en"/>
        </w:rPr>
        <w:t>a</w:t>
      </w:r>
      <w:r w:rsidRPr="00713CCD">
        <w:rPr>
          <w:rFonts w:cstheme="minorHAnsi"/>
          <w:color w:val="262626"/>
          <w:lang w:val="en"/>
        </w:rPr>
        <w:t xml:space="preserve"> </w:t>
      </w:r>
      <w:r w:rsidR="00A25DCA" w:rsidRPr="00713CCD">
        <w:rPr>
          <w:rFonts w:cstheme="minorHAnsi"/>
          <w:color w:val="262626"/>
          <w:lang w:val="en"/>
        </w:rPr>
        <w:t>72 or 96h</w:t>
      </w:r>
      <w:r w:rsidR="009A202C" w:rsidRPr="00713CCD">
        <w:rPr>
          <w:rFonts w:cstheme="minorHAnsi"/>
          <w:color w:val="262626"/>
          <w:lang w:val="en"/>
        </w:rPr>
        <w:t xml:space="preserve"> </w:t>
      </w:r>
      <w:r w:rsidR="00A25DCA" w:rsidRPr="00713CCD">
        <w:rPr>
          <w:rFonts w:cstheme="minorHAnsi"/>
          <w:color w:val="262626"/>
          <w:lang w:val="en"/>
        </w:rPr>
        <w:t xml:space="preserve">ErC50 </w:t>
      </w:r>
      <w:r w:rsidRPr="00713CCD">
        <w:rPr>
          <w:rFonts w:cstheme="minorHAnsi"/>
          <w:color w:val="262626"/>
          <w:lang w:val="en"/>
        </w:rPr>
        <w:t>≤ 1mg/L</w:t>
      </w:r>
      <w:r w:rsidR="009F7B97">
        <w:rPr>
          <w:rFonts w:cstheme="minorHAnsi"/>
          <w:color w:val="262626"/>
          <w:lang w:val="en"/>
        </w:rPr>
        <w:t>, or</w:t>
      </w:r>
    </w:p>
    <w:p w14:paraId="356494E0" w14:textId="77777777" w:rsidR="00713CCD" w:rsidRPr="00713CCD" w:rsidRDefault="00CB73EB" w:rsidP="003E3B1D">
      <w:pPr>
        <w:pStyle w:val="ListParagraph"/>
        <w:numPr>
          <w:ilvl w:val="0"/>
          <w:numId w:val="100"/>
        </w:numPr>
        <w:rPr>
          <w:rFonts w:cstheme="minorHAnsi"/>
          <w:color w:val="262626"/>
          <w:lang w:val="en"/>
        </w:rPr>
      </w:pPr>
      <w:r w:rsidRPr="00713CCD">
        <w:rPr>
          <w:rFonts w:cstheme="minorHAnsi"/>
          <w:color w:val="262626"/>
          <w:lang w:val="en"/>
        </w:rPr>
        <w:t xml:space="preserve">an </w:t>
      </w:r>
      <w:r w:rsidR="00A25DCA" w:rsidRPr="00713CCD">
        <w:rPr>
          <w:rFonts w:cstheme="minorHAnsi"/>
          <w:color w:val="262626"/>
          <w:lang w:val="en"/>
        </w:rPr>
        <w:t xml:space="preserve">in vivo </w:t>
      </w:r>
      <w:r w:rsidR="001605C7" w:rsidRPr="00713CCD">
        <w:rPr>
          <w:rFonts w:cstheme="minorHAnsi"/>
          <w:color w:val="262626"/>
          <w:lang w:val="en"/>
        </w:rPr>
        <w:t>chronic</w:t>
      </w:r>
      <w:r w:rsidR="00C4683D" w:rsidRPr="00713CCD">
        <w:rPr>
          <w:rFonts w:cstheme="minorHAnsi"/>
          <w:color w:val="262626"/>
          <w:lang w:val="en"/>
        </w:rPr>
        <w:t xml:space="preserve"> </w:t>
      </w:r>
      <w:r w:rsidRPr="00713CCD">
        <w:rPr>
          <w:rFonts w:cstheme="minorHAnsi"/>
          <w:color w:val="262626"/>
          <w:lang w:val="en"/>
        </w:rPr>
        <w:t xml:space="preserve">study </w:t>
      </w:r>
      <w:r w:rsidR="00A25DCA" w:rsidRPr="00713CCD">
        <w:rPr>
          <w:rFonts w:cstheme="minorHAnsi"/>
          <w:color w:val="262626"/>
          <w:lang w:val="en"/>
        </w:rPr>
        <w:t xml:space="preserve">on the chemical </w:t>
      </w:r>
      <w:r w:rsidRPr="00713CCD">
        <w:rPr>
          <w:rFonts w:cstheme="minorHAnsi"/>
          <w:color w:val="262626"/>
          <w:lang w:val="en"/>
        </w:rPr>
        <w:t>conducted following an acceptable test guideline for chronic toxicity to fish, chronic toxicity to invertebrates, or chronic toxicity to algae or other aquatic plants results in a</w:t>
      </w:r>
      <w:r w:rsidR="00A25DCA" w:rsidRPr="00713CCD">
        <w:rPr>
          <w:rFonts w:cstheme="minorHAnsi"/>
          <w:color w:val="262626"/>
          <w:lang w:val="en"/>
        </w:rPr>
        <w:t xml:space="preserve">: </w:t>
      </w:r>
    </w:p>
    <w:p w14:paraId="6EB02B64" w14:textId="77777777" w:rsidR="00A25DCA" w:rsidRPr="00713CCD" w:rsidRDefault="00E231C4" w:rsidP="003E3B1D">
      <w:pPr>
        <w:pStyle w:val="ListParagraph"/>
        <w:numPr>
          <w:ilvl w:val="1"/>
          <w:numId w:val="100"/>
        </w:numPr>
        <w:rPr>
          <w:rFonts w:cstheme="minorHAnsi"/>
          <w:color w:val="262626"/>
          <w:lang w:val="en"/>
        </w:rPr>
      </w:pPr>
      <w:r w:rsidRPr="00713CCD">
        <w:rPr>
          <w:rFonts w:cstheme="minorHAnsi"/>
          <w:color w:val="262626"/>
          <w:lang w:val="en"/>
        </w:rPr>
        <w:t>NOEC or EC</w:t>
      </w:r>
      <w:r w:rsidR="00CC2997" w:rsidRPr="00CC2997">
        <w:rPr>
          <w:rFonts w:cstheme="minorHAnsi"/>
          <w:color w:val="262626"/>
          <w:vertAlign w:val="subscript"/>
          <w:lang w:val="en"/>
        </w:rPr>
        <w:t>10</w:t>
      </w:r>
      <w:r w:rsidRPr="00713CCD">
        <w:rPr>
          <w:rFonts w:cstheme="minorHAnsi"/>
          <w:color w:val="262626"/>
          <w:lang w:val="en"/>
        </w:rPr>
        <w:t xml:space="preserve"> </w:t>
      </w:r>
      <w:r w:rsidR="00CB73EB" w:rsidRPr="00713CCD">
        <w:rPr>
          <w:rFonts w:cstheme="minorHAnsi"/>
          <w:color w:val="262626"/>
          <w:lang w:val="en"/>
        </w:rPr>
        <w:t xml:space="preserve">≤0.1mg/L (for chemicals that are </w:t>
      </w:r>
      <w:r w:rsidR="00CB73EB" w:rsidRPr="00713CCD">
        <w:rPr>
          <w:rFonts w:cstheme="minorHAnsi"/>
          <w:b/>
          <w:bCs/>
          <w:color w:val="262626"/>
          <w:lang w:val="en"/>
        </w:rPr>
        <w:t xml:space="preserve">not </w:t>
      </w:r>
      <w:r w:rsidR="00CB73EB" w:rsidRPr="00713CCD">
        <w:rPr>
          <w:rFonts w:cstheme="minorHAnsi"/>
          <w:color w:val="262626"/>
          <w:lang w:val="en"/>
        </w:rPr>
        <w:t>readily biodegradable)</w:t>
      </w:r>
      <w:r w:rsidRPr="00713CCD">
        <w:rPr>
          <w:rFonts w:cstheme="minorHAnsi"/>
          <w:color w:val="262626"/>
          <w:lang w:val="en"/>
        </w:rPr>
        <w:t xml:space="preserve">, </w:t>
      </w:r>
      <w:r w:rsidR="00A25DCA" w:rsidRPr="00713CCD">
        <w:rPr>
          <w:rFonts w:cstheme="minorHAnsi"/>
          <w:color w:val="262626"/>
          <w:lang w:val="en"/>
        </w:rPr>
        <w:t>or</w:t>
      </w:r>
    </w:p>
    <w:p w14:paraId="777D893F" w14:textId="77777777" w:rsidR="00E231C4" w:rsidRPr="00713CCD" w:rsidRDefault="00CC2997" w:rsidP="003E3B1D">
      <w:pPr>
        <w:pStyle w:val="ListParagraph"/>
        <w:numPr>
          <w:ilvl w:val="1"/>
          <w:numId w:val="100"/>
        </w:numPr>
        <w:rPr>
          <w:rFonts w:cstheme="minorHAnsi"/>
          <w:color w:val="262626"/>
          <w:lang w:val="en"/>
        </w:rPr>
      </w:pPr>
      <w:r>
        <w:rPr>
          <w:rFonts w:cstheme="minorHAnsi"/>
          <w:color w:val="262626"/>
          <w:lang w:val="en"/>
        </w:rPr>
        <w:t>NOEC or EC</w:t>
      </w:r>
      <w:r w:rsidRPr="00CC2997">
        <w:rPr>
          <w:rFonts w:cstheme="minorHAnsi"/>
          <w:color w:val="262626"/>
          <w:vertAlign w:val="subscript"/>
          <w:lang w:val="en"/>
        </w:rPr>
        <w:t>10</w:t>
      </w:r>
      <w:r w:rsidR="00E231C4" w:rsidRPr="00713CCD">
        <w:rPr>
          <w:rFonts w:cstheme="minorHAnsi"/>
          <w:color w:val="262626"/>
          <w:lang w:val="en"/>
        </w:rPr>
        <w:t xml:space="preserve"> </w:t>
      </w:r>
      <w:r w:rsidR="00CB73EB" w:rsidRPr="00713CCD">
        <w:rPr>
          <w:rFonts w:cstheme="minorHAnsi"/>
          <w:color w:val="262626"/>
          <w:lang w:val="en"/>
        </w:rPr>
        <w:t>≤0.01mg/L (for chemicals that are readily biodegradable)</w:t>
      </w:r>
      <w:r w:rsidR="00463E34">
        <w:rPr>
          <w:rFonts w:cstheme="minorHAnsi"/>
          <w:color w:val="262626"/>
          <w:lang w:val="en"/>
        </w:rPr>
        <w:t>, or</w:t>
      </w:r>
    </w:p>
    <w:p w14:paraId="260721B6" w14:textId="77777777" w:rsidR="00A25DCA" w:rsidRPr="00713CCD" w:rsidRDefault="00E017F9" w:rsidP="003E3B1D">
      <w:pPr>
        <w:pStyle w:val="ListParagraph"/>
        <w:numPr>
          <w:ilvl w:val="0"/>
          <w:numId w:val="100"/>
        </w:numPr>
        <w:rPr>
          <w:rFonts w:cstheme="minorHAnsi"/>
          <w:color w:val="262626"/>
          <w:lang w:val="en"/>
        </w:rPr>
      </w:pPr>
      <w:r w:rsidRPr="00713CCD">
        <w:rPr>
          <w:rFonts w:cstheme="minorHAnsi"/>
          <w:color w:val="262626"/>
          <w:lang w:val="en"/>
        </w:rPr>
        <w:t>a suitable in silico prediction</w:t>
      </w:r>
      <w:r w:rsidR="00A25DCA" w:rsidRPr="00713CCD">
        <w:rPr>
          <w:rFonts w:cstheme="minorHAnsi"/>
          <w:color w:val="262626"/>
          <w:lang w:val="en"/>
        </w:rPr>
        <w:t xml:space="preserve"> for acute aquatic toxicity</w:t>
      </w:r>
      <w:r w:rsidRPr="00713CCD">
        <w:rPr>
          <w:rFonts w:cstheme="minorHAnsi"/>
          <w:color w:val="262626"/>
          <w:lang w:val="en"/>
        </w:rPr>
        <w:t xml:space="preserve"> results in a prediction </w:t>
      </w:r>
      <w:r w:rsidR="00A25DCA" w:rsidRPr="00713CCD">
        <w:rPr>
          <w:rFonts w:cstheme="minorHAnsi"/>
          <w:color w:val="262626"/>
          <w:lang w:val="en"/>
        </w:rPr>
        <w:t>of</w:t>
      </w:r>
      <w:r w:rsidR="00CD28D7" w:rsidRPr="00713CCD">
        <w:rPr>
          <w:rFonts w:cstheme="minorHAnsi"/>
          <w:color w:val="262626"/>
          <w:lang w:val="en"/>
        </w:rPr>
        <w:t>:</w:t>
      </w:r>
      <w:r w:rsidR="00A25DCA" w:rsidRPr="00713CCD">
        <w:rPr>
          <w:rFonts w:cstheme="minorHAnsi"/>
          <w:color w:val="262626"/>
          <w:lang w:val="en"/>
        </w:rPr>
        <w:t xml:space="preserve">  </w:t>
      </w:r>
    </w:p>
    <w:p w14:paraId="7AA50547" w14:textId="77777777" w:rsidR="00A25DCA" w:rsidRPr="00713CCD" w:rsidRDefault="00CD28D7" w:rsidP="003E3B1D">
      <w:pPr>
        <w:pStyle w:val="ListParagraph"/>
        <w:numPr>
          <w:ilvl w:val="1"/>
          <w:numId w:val="100"/>
        </w:numPr>
        <w:rPr>
          <w:rFonts w:cstheme="minorHAnsi"/>
          <w:color w:val="262626"/>
          <w:lang w:val="en"/>
        </w:rPr>
      </w:pPr>
      <w:r w:rsidRPr="00713CCD">
        <w:rPr>
          <w:rFonts w:cstheme="minorHAnsi"/>
          <w:color w:val="262626"/>
          <w:lang w:val="en"/>
        </w:rPr>
        <w:t xml:space="preserve">for fish - </w:t>
      </w:r>
      <w:r w:rsidR="00A25DCA" w:rsidRPr="00713CCD">
        <w:rPr>
          <w:rFonts w:cstheme="minorHAnsi"/>
          <w:color w:val="262626"/>
          <w:lang w:val="en"/>
        </w:rPr>
        <w:t xml:space="preserve">96h LC50 </w:t>
      </w:r>
      <w:r w:rsidRPr="00713CCD">
        <w:rPr>
          <w:rFonts w:cstheme="minorHAnsi"/>
          <w:color w:val="262626"/>
          <w:lang w:val="en"/>
        </w:rPr>
        <w:t>≤ 1mg/L</w:t>
      </w:r>
      <w:r w:rsidR="00164833">
        <w:rPr>
          <w:rFonts w:cstheme="minorHAnsi"/>
          <w:color w:val="262626"/>
          <w:lang w:val="en"/>
        </w:rPr>
        <w:t>,</w:t>
      </w:r>
      <w:r w:rsidRPr="00713CCD">
        <w:rPr>
          <w:rFonts w:cstheme="minorHAnsi"/>
          <w:color w:val="262626"/>
          <w:lang w:val="en"/>
        </w:rPr>
        <w:t xml:space="preserve"> or</w:t>
      </w:r>
    </w:p>
    <w:p w14:paraId="27C85D8B" w14:textId="77777777" w:rsidR="00A25DCA" w:rsidRPr="00713CCD" w:rsidRDefault="00CD28D7" w:rsidP="003E3B1D">
      <w:pPr>
        <w:pStyle w:val="ListParagraph"/>
        <w:numPr>
          <w:ilvl w:val="1"/>
          <w:numId w:val="100"/>
        </w:numPr>
        <w:rPr>
          <w:rFonts w:cstheme="minorHAnsi"/>
          <w:color w:val="262626"/>
          <w:lang w:val="en"/>
        </w:rPr>
      </w:pPr>
      <w:r w:rsidRPr="00713CCD">
        <w:rPr>
          <w:rFonts w:cstheme="minorHAnsi"/>
          <w:color w:val="262626"/>
          <w:lang w:val="en"/>
        </w:rPr>
        <w:t xml:space="preserve">for invertebrates - </w:t>
      </w:r>
      <w:r w:rsidR="00A25DCA" w:rsidRPr="00713CCD">
        <w:rPr>
          <w:rFonts w:cstheme="minorHAnsi"/>
          <w:color w:val="262626"/>
          <w:lang w:val="en"/>
        </w:rPr>
        <w:t xml:space="preserve">48h EC50 </w:t>
      </w:r>
      <w:r w:rsidRPr="00713CCD">
        <w:rPr>
          <w:rFonts w:cstheme="minorHAnsi"/>
          <w:color w:val="262626"/>
          <w:lang w:val="en"/>
        </w:rPr>
        <w:t>≤ 1mg/L</w:t>
      </w:r>
      <w:r w:rsidR="00164833">
        <w:rPr>
          <w:rFonts w:cstheme="minorHAnsi"/>
          <w:color w:val="262626"/>
          <w:lang w:val="en"/>
        </w:rPr>
        <w:t>,</w:t>
      </w:r>
      <w:r w:rsidRPr="00713CCD">
        <w:rPr>
          <w:rFonts w:cstheme="minorHAnsi"/>
          <w:color w:val="262626"/>
          <w:lang w:val="en"/>
        </w:rPr>
        <w:t xml:space="preserve"> </w:t>
      </w:r>
      <w:r w:rsidR="00A25DCA" w:rsidRPr="00713CCD">
        <w:rPr>
          <w:rFonts w:cstheme="minorHAnsi"/>
          <w:color w:val="262626"/>
          <w:lang w:val="en"/>
        </w:rPr>
        <w:t>or</w:t>
      </w:r>
    </w:p>
    <w:p w14:paraId="4CB974F0" w14:textId="77777777" w:rsidR="00A25DCA" w:rsidRPr="00713CCD" w:rsidRDefault="00CD28D7" w:rsidP="003E3B1D">
      <w:pPr>
        <w:pStyle w:val="ListParagraph"/>
        <w:numPr>
          <w:ilvl w:val="1"/>
          <w:numId w:val="100"/>
        </w:numPr>
        <w:rPr>
          <w:rFonts w:cstheme="minorHAnsi"/>
          <w:color w:val="262626"/>
          <w:lang w:val="en"/>
        </w:rPr>
      </w:pPr>
      <w:r w:rsidRPr="00713CCD">
        <w:rPr>
          <w:rFonts w:cstheme="minorHAnsi"/>
          <w:color w:val="262626"/>
          <w:lang w:val="en"/>
        </w:rPr>
        <w:t xml:space="preserve">for algae or other aquatic plants - </w:t>
      </w:r>
      <w:r w:rsidR="00A25DCA" w:rsidRPr="00713CCD">
        <w:rPr>
          <w:rFonts w:cstheme="minorHAnsi"/>
          <w:color w:val="262626"/>
          <w:lang w:val="en"/>
        </w:rPr>
        <w:t xml:space="preserve">72 or 96h ErC50 </w:t>
      </w:r>
      <w:r w:rsidRPr="00713CCD">
        <w:rPr>
          <w:rFonts w:cstheme="minorHAnsi"/>
          <w:color w:val="262626"/>
          <w:lang w:val="en"/>
        </w:rPr>
        <w:t>≤ 1mg/L</w:t>
      </w:r>
    </w:p>
    <w:p w14:paraId="01C7F40E" w14:textId="77777777" w:rsidR="00CD28D7" w:rsidRPr="00713CCD" w:rsidRDefault="00CD28D7" w:rsidP="00713CCD">
      <w:pPr>
        <w:pStyle w:val="ListParagraph"/>
        <w:numPr>
          <w:ilvl w:val="0"/>
          <w:numId w:val="0"/>
        </w:numPr>
        <w:ind w:left="720"/>
        <w:rPr>
          <w:rFonts w:cstheme="minorHAnsi"/>
          <w:color w:val="262626"/>
          <w:lang w:val="en"/>
        </w:rPr>
      </w:pPr>
      <w:r w:rsidRPr="00713CCD">
        <w:rPr>
          <w:rFonts w:cstheme="minorHAnsi"/>
          <w:color w:val="262626"/>
          <w:lang w:val="en"/>
        </w:rPr>
        <w:t xml:space="preserve">and the predictions have not been negated </w:t>
      </w:r>
      <w:r w:rsidR="00876871">
        <w:rPr>
          <w:rFonts w:cstheme="minorHAnsi"/>
          <w:color w:val="262626"/>
          <w:lang w:val="en"/>
        </w:rPr>
        <w:t xml:space="preserve">by </w:t>
      </w:r>
      <w:r w:rsidRPr="00713CCD">
        <w:rPr>
          <w:rFonts w:cstheme="minorHAnsi"/>
          <w:color w:val="262626"/>
          <w:lang w:val="en"/>
        </w:rPr>
        <w:t>in vivo studies conducted on the chemical for aquatic toxicity.</w:t>
      </w:r>
    </w:p>
    <w:p w14:paraId="6EEA80E5" w14:textId="77777777" w:rsidR="00E017F9" w:rsidRDefault="004F2F43" w:rsidP="00713CCD">
      <w:pPr>
        <w:pStyle w:val="Heading3"/>
        <w:ind w:left="709"/>
      </w:pPr>
      <w:r>
        <w:t>Section 30</w:t>
      </w:r>
      <w:r w:rsidR="00E017F9">
        <w:t xml:space="preserve"> of the </w:t>
      </w:r>
      <w:r w:rsidR="009547E9">
        <w:t>IC General Rules</w:t>
      </w:r>
      <w:r w:rsidR="00E017F9">
        <w:t xml:space="preserve"> - Information required to demonstrate the absence of hazard characteristics  </w:t>
      </w:r>
    </w:p>
    <w:p w14:paraId="355FB9CB" w14:textId="77777777" w:rsidR="00CA7CC9" w:rsidRDefault="00E017F9" w:rsidP="00713CCD">
      <w:pPr>
        <w:rPr>
          <w:lang w:eastAsia="en-AU"/>
        </w:rPr>
      </w:pPr>
      <w:r>
        <w:rPr>
          <w:lang w:eastAsia="en-AU"/>
        </w:rPr>
        <w:t xml:space="preserve">For the purposes of </w:t>
      </w:r>
      <w:r w:rsidR="00376FD1">
        <w:t xml:space="preserve">subparagraph </w:t>
      </w:r>
      <w:r w:rsidR="004F2F43">
        <w:t>30(2)(c)(iv) of the IC General Rules,</w:t>
      </w:r>
      <w:r w:rsidR="00496ACF" w:rsidRPr="00496ACF">
        <w:rPr>
          <w:lang w:eastAsia="en-AU"/>
        </w:rPr>
        <w:t xml:space="preserve"> </w:t>
      </w:r>
      <w:r w:rsidR="00496ACF">
        <w:rPr>
          <w:lang w:eastAsia="en-AU"/>
        </w:rPr>
        <w:t>the information required to demonstrate that a chemical does not have the hazard characteristic,</w:t>
      </w:r>
      <w:r w:rsidR="00496ACF" w:rsidRPr="00D52C32">
        <w:rPr>
          <w:lang w:eastAsia="en-AU"/>
        </w:rPr>
        <w:t xml:space="preserve"> </w:t>
      </w:r>
      <w:r w:rsidR="00496ACF" w:rsidRPr="00A741FA">
        <w:rPr>
          <w:b/>
          <w:lang w:eastAsia="en-AU"/>
        </w:rPr>
        <w:t>very toxic to any aquatic life</w:t>
      </w:r>
      <w:r w:rsidR="00463E34">
        <w:rPr>
          <w:b/>
          <w:lang w:eastAsia="en-AU"/>
        </w:rPr>
        <w:t>,</w:t>
      </w:r>
      <w:r w:rsidR="00496ACF">
        <w:rPr>
          <w:lang w:eastAsia="en-AU"/>
        </w:rPr>
        <w:t xml:space="preserve"> is</w:t>
      </w:r>
      <w:r w:rsidR="009F504B">
        <w:rPr>
          <w:lang w:eastAsia="en-AU"/>
        </w:rPr>
        <w:t>:</w:t>
      </w:r>
      <w:r>
        <w:rPr>
          <w:lang w:eastAsia="en-AU"/>
        </w:rPr>
        <w:t xml:space="preserve"> </w:t>
      </w:r>
    </w:p>
    <w:p w14:paraId="3467812E" w14:textId="77777777" w:rsidR="009F504B" w:rsidRPr="00713CCD" w:rsidRDefault="0034356F" w:rsidP="003E3B1D">
      <w:pPr>
        <w:pStyle w:val="ListParagraph"/>
        <w:numPr>
          <w:ilvl w:val="0"/>
          <w:numId w:val="101"/>
        </w:numPr>
        <w:rPr>
          <w:rFonts w:cstheme="minorHAnsi"/>
          <w:color w:val="262626"/>
          <w:lang w:val="en"/>
        </w:rPr>
      </w:pPr>
      <w:r>
        <w:rPr>
          <w:rFonts w:cstheme="minorHAnsi"/>
          <w:color w:val="262626"/>
          <w:lang w:val="en"/>
        </w:rPr>
        <w:t>i</w:t>
      </w:r>
      <w:r w:rsidR="009F504B" w:rsidRPr="00713CCD">
        <w:rPr>
          <w:rFonts w:cstheme="minorHAnsi"/>
          <w:color w:val="262626"/>
          <w:lang w:val="en"/>
        </w:rPr>
        <w:t>f the exposure band for the introduction is 1 -</w:t>
      </w:r>
      <w:r w:rsidR="009F504B">
        <w:rPr>
          <w:lang w:eastAsia="en-AU"/>
        </w:rPr>
        <w:t xml:space="preserve"> confirmation that the chemical (or the chemical of which it is an ester or salt) is not on the</w:t>
      </w:r>
      <w:r w:rsidR="009F504B" w:rsidRPr="0077378A">
        <w:rPr>
          <w:b/>
          <w:lang w:eastAsia="en-AU"/>
        </w:rPr>
        <w:t xml:space="preserve"> list of chemicals with high hazards for categorisation</w:t>
      </w:r>
      <w:r w:rsidR="009F504B">
        <w:rPr>
          <w:lang w:eastAsia="en-AU"/>
        </w:rPr>
        <w:t xml:space="preserve"> based on it being very toxic to any aquatic life</w:t>
      </w:r>
    </w:p>
    <w:p w14:paraId="01D392CA" w14:textId="77777777" w:rsidR="00F605DF" w:rsidRDefault="00CB6660" w:rsidP="003E3B1D">
      <w:pPr>
        <w:pStyle w:val="ListParagraph"/>
        <w:numPr>
          <w:ilvl w:val="0"/>
          <w:numId w:val="101"/>
        </w:numPr>
        <w:rPr>
          <w:lang w:eastAsia="en-AU"/>
        </w:rPr>
      </w:pPr>
      <w:r>
        <w:rPr>
          <w:lang w:eastAsia="en-AU"/>
        </w:rPr>
        <w:t>i</w:t>
      </w:r>
      <w:r w:rsidR="00FC154B">
        <w:rPr>
          <w:lang w:eastAsia="en-AU"/>
        </w:rPr>
        <w:t xml:space="preserve">f the environment exposure band for the introduction is </w:t>
      </w:r>
      <w:r w:rsidR="00E91ED1">
        <w:rPr>
          <w:lang w:eastAsia="en-AU"/>
        </w:rPr>
        <w:t>2, 3</w:t>
      </w:r>
      <w:r w:rsidR="00FC154B">
        <w:rPr>
          <w:lang w:eastAsia="en-AU"/>
        </w:rPr>
        <w:t xml:space="preserve">, or </w:t>
      </w:r>
      <w:r w:rsidR="00E91ED1">
        <w:rPr>
          <w:lang w:eastAsia="en-AU"/>
        </w:rPr>
        <w:t>4</w:t>
      </w:r>
      <w:r w:rsidR="00FC154B">
        <w:rPr>
          <w:lang w:eastAsia="en-AU"/>
        </w:rPr>
        <w:t xml:space="preserve">, </w:t>
      </w:r>
      <w:r w:rsidR="00496ACF">
        <w:rPr>
          <w:lang w:eastAsia="en-AU"/>
        </w:rPr>
        <w:t xml:space="preserve">- </w:t>
      </w:r>
      <w:r w:rsidR="000D0724">
        <w:rPr>
          <w:lang w:eastAsia="en-AU"/>
        </w:rPr>
        <w:t xml:space="preserve"> at least one of the following:</w:t>
      </w:r>
    </w:p>
    <w:p w14:paraId="2CB2F107" w14:textId="77777777" w:rsidR="000D0724" w:rsidRPr="001A424A" w:rsidRDefault="00CB6660" w:rsidP="003E3B1D">
      <w:pPr>
        <w:pStyle w:val="ListParagraph"/>
        <w:numPr>
          <w:ilvl w:val="1"/>
          <w:numId w:val="101"/>
        </w:numPr>
      </w:pPr>
      <w:r>
        <w:lastRenderedPageBreak/>
        <w:t>i</w:t>
      </w:r>
      <w:r w:rsidR="000D0724">
        <w:t xml:space="preserve">nformation that </w:t>
      </w:r>
      <w:r w:rsidR="006D0D17">
        <w:t>demonstrates</w:t>
      </w:r>
      <w:r w:rsidR="000D0724">
        <w:t xml:space="preserve"> that the chemical has a molecular weight </w:t>
      </w:r>
      <w:r w:rsidR="000D0724" w:rsidRPr="00713CCD">
        <w:rPr>
          <w:rFonts w:cstheme="minorHAnsi"/>
          <w:color w:val="262626"/>
          <w:lang w:val="en"/>
        </w:rPr>
        <w:t xml:space="preserve">&gt;1,000g/mol and has a low </w:t>
      </w:r>
      <w:r w:rsidR="00C0197B" w:rsidRPr="00713CCD">
        <w:rPr>
          <w:rFonts w:cstheme="minorHAnsi"/>
          <w:color w:val="262626"/>
          <w:lang w:val="en"/>
        </w:rPr>
        <w:t>cationic</w:t>
      </w:r>
      <w:r w:rsidR="000D0724" w:rsidRPr="00713CCD">
        <w:rPr>
          <w:rFonts w:cstheme="minorHAnsi"/>
          <w:color w:val="262626"/>
          <w:lang w:val="en"/>
        </w:rPr>
        <w:t xml:space="preserve"> density</w:t>
      </w:r>
      <w:r w:rsidR="00E91ED1" w:rsidRPr="00713CCD">
        <w:rPr>
          <w:rFonts w:cstheme="minorHAnsi"/>
          <w:color w:val="262626"/>
          <w:lang w:val="en"/>
        </w:rPr>
        <w:t>, or</w:t>
      </w:r>
    </w:p>
    <w:p w14:paraId="67D56260" w14:textId="77777777" w:rsidR="000D0724" w:rsidRPr="00C9746F" w:rsidRDefault="00CB6660" w:rsidP="003E3B1D">
      <w:pPr>
        <w:pStyle w:val="ListParagraph"/>
        <w:numPr>
          <w:ilvl w:val="1"/>
          <w:numId w:val="101"/>
        </w:numPr>
      </w:pPr>
      <w:r>
        <w:rPr>
          <w:rFonts w:cstheme="minorHAnsi"/>
          <w:color w:val="262626"/>
          <w:lang w:val="en"/>
        </w:rPr>
        <w:t>i</w:t>
      </w:r>
      <w:r w:rsidR="000D0724" w:rsidRPr="00713CCD">
        <w:rPr>
          <w:rFonts w:cstheme="minorHAnsi"/>
          <w:color w:val="262626"/>
          <w:lang w:val="en"/>
        </w:rPr>
        <w:t xml:space="preserve">nformation that </w:t>
      </w:r>
      <w:r w:rsidR="006D0D17">
        <w:rPr>
          <w:rFonts w:cstheme="minorHAnsi"/>
          <w:color w:val="262626"/>
          <w:lang w:val="en"/>
        </w:rPr>
        <w:t>demonstrates</w:t>
      </w:r>
      <w:r w:rsidR="000D0724" w:rsidRPr="00713CCD">
        <w:rPr>
          <w:rFonts w:cstheme="minorHAnsi"/>
          <w:color w:val="262626"/>
          <w:lang w:val="en"/>
        </w:rPr>
        <w:t xml:space="preserve"> that the chemical is a high molecular weight polymer that has a low </w:t>
      </w:r>
      <w:r w:rsidR="00C0197B" w:rsidRPr="00713CCD">
        <w:rPr>
          <w:rFonts w:cstheme="minorHAnsi"/>
          <w:color w:val="262626"/>
          <w:lang w:val="en"/>
        </w:rPr>
        <w:t>cationic</w:t>
      </w:r>
      <w:r w:rsidR="000D0724" w:rsidRPr="00713CCD">
        <w:rPr>
          <w:rFonts w:cstheme="minorHAnsi"/>
          <w:color w:val="262626"/>
          <w:lang w:val="en"/>
        </w:rPr>
        <w:t xml:space="preserve"> density</w:t>
      </w:r>
      <w:r w:rsidR="00E91ED1" w:rsidRPr="00713CCD">
        <w:rPr>
          <w:rFonts w:cstheme="minorHAnsi"/>
          <w:color w:val="262626"/>
          <w:lang w:val="en"/>
        </w:rPr>
        <w:t>, or</w:t>
      </w:r>
    </w:p>
    <w:p w14:paraId="002BDCA3" w14:textId="77777777" w:rsidR="00C9746F" w:rsidRPr="001517CA" w:rsidRDefault="00CB6660" w:rsidP="003E3B1D">
      <w:pPr>
        <w:pStyle w:val="ListParagraph"/>
        <w:numPr>
          <w:ilvl w:val="1"/>
          <w:numId w:val="101"/>
        </w:numPr>
      </w:pPr>
      <w:r>
        <w:t>i</w:t>
      </w:r>
      <w:r w:rsidR="00C9746F">
        <w:t xml:space="preserve">nformation that </w:t>
      </w:r>
      <w:r w:rsidR="006D0D17">
        <w:t>demonstrates</w:t>
      </w:r>
      <w:r w:rsidR="00C9746F">
        <w:t xml:space="preserve"> that the chemical is a substanc</w:t>
      </w:r>
      <w:r w:rsidR="0077378A">
        <w:t>e covered by Entry 9 of Annex V</w:t>
      </w:r>
      <w:r w:rsidR="00C9746F">
        <w:t xml:space="preserve"> </w:t>
      </w:r>
      <w:r w:rsidR="00CA7CC9">
        <w:t xml:space="preserve">of </w:t>
      </w:r>
      <w:r w:rsidR="00C9746F">
        <w:t>the REACH Regulation, or</w:t>
      </w:r>
    </w:p>
    <w:p w14:paraId="2DBC11F0" w14:textId="5A2C173D" w:rsidR="00A56B9E" w:rsidRPr="00D60E0C" w:rsidRDefault="00CB6660" w:rsidP="003E3B1D">
      <w:pPr>
        <w:pStyle w:val="ListParagraph"/>
        <w:numPr>
          <w:ilvl w:val="1"/>
          <w:numId w:val="101"/>
        </w:numPr>
      </w:pPr>
      <w:r w:rsidRPr="2F7D7CB0">
        <w:rPr>
          <w:color w:val="262626"/>
          <w:lang w:val="en"/>
        </w:rPr>
        <w:t>i</w:t>
      </w:r>
      <w:r w:rsidR="00A56B9E" w:rsidRPr="2F7D7CB0">
        <w:rPr>
          <w:color w:val="262626"/>
          <w:lang w:val="en"/>
        </w:rPr>
        <w:t xml:space="preserve">f the chemical is not a biocidal active </w:t>
      </w:r>
      <w:r w:rsidR="001B35D6" w:rsidRPr="2F7D7CB0">
        <w:rPr>
          <w:color w:val="262626"/>
          <w:lang w:val="en"/>
        </w:rPr>
        <w:t>and not</w:t>
      </w:r>
      <w:r w:rsidR="00A56B9E" w:rsidRPr="2F7D7CB0">
        <w:rPr>
          <w:color w:val="262626"/>
          <w:lang w:val="en"/>
        </w:rPr>
        <w:t xml:space="preserve"> a </w:t>
      </w:r>
      <w:r w:rsidR="001B35D6" w:rsidRPr="2F7D7CB0">
        <w:rPr>
          <w:color w:val="262626"/>
          <w:lang w:val="en"/>
        </w:rPr>
        <w:t xml:space="preserve">persistent, </w:t>
      </w:r>
      <w:r w:rsidR="00A56B9E" w:rsidRPr="2F7D7CB0">
        <w:rPr>
          <w:color w:val="262626"/>
          <w:lang w:val="en"/>
        </w:rPr>
        <w:t xml:space="preserve">highly branched </w:t>
      </w:r>
      <w:r w:rsidR="008F3A38" w:rsidRPr="18BCD895">
        <w:rPr>
          <w:color w:val="000000" w:themeColor="text1"/>
          <w:lang w:val="en"/>
        </w:rPr>
        <w:t xml:space="preserve">organic </w:t>
      </w:r>
      <w:r w:rsidR="00A56B9E" w:rsidRPr="2F7D7CB0">
        <w:rPr>
          <w:color w:val="262626"/>
          <w:lang w:val="en"/>
        </w:rPr>
        <w:t>chemical</w:t>
      </w:r>
      <w:r w:rsidR="0007468B">
        <w:rPr>
          <w:rStyle w:val="FootnoteReference"/>
          <w:rFonts w:cstheme="minorHAnsi"/>
          <w:color w:val="262626"/>
          <w:lang w:val="en"/>
        </w:rPr>
        <w:footnoteReference w:id="13"/>
      </w:r>
      <w:r w:rsidR="00A56B9E" w:rsidRPr="2F7D7CB0">
        <w:rPr>
          <w:color w:val="262626"/>
          <w:lang w:val="en"/>
        </w:rPr>
        <w:t xml:space="preserve"> – information on aquatic toxicity for all three trophic levels (fish, invertebrates and algae), from suitable in silico predictions on the chemical or in vivo studies on the chemical or from suitable read-across information conducted following acceptable test guidelines for aquatic toxicity, with the following results</w:t>
      </w:r>
      <w:r w:rsidR="00BE3E33" w:rsidRPr="2F7D7CB0">
        <w:rPr>
          <w:color w:val="262626"/>
          <w:lang w:val="en"/>
        </w:rPr>
        <w:t xml:space="preserve"> for all three trophic levels</w:t>
      </w:r>
      <w:r w:rsidR="00A56B9E" w:rsidRPr="2F7D7CB0">
        <w:rPr>
          <w:color w:val="262626"/>
          <w:lang w:val="en"/>
        </w:rPr>
        <w:t>:</w:t>
      </w:r>
    </w:p>
    <w:p w14:paraId="2308EAEC" w14:textId="0439B55D" w:rsidR="00A56B9E" w:rsidRPr="00D60E0C" w:rsidRDefault="00AF3AF6" w:rsidP="003E3B1D">
      <w:pPr>
        <w:pStyle w:val="ListParagraph"/>
        <w:numPr>
          <w:ilvl w:val="2"/>
          <w:numId w:val="101"/>
        </w:numPr>
      </w:pPr>
      <w:r>
        <w:rPr>
          <w:rFonts w:cstheme="minorHAnsi"/>
          <w:color w:val="262626"/>
          <w:lang w:val="en"/>
        </w:rPr>
        <w:t>a</w:t>
      </w:r>
      <w:r w:rsidR="00A56B9E" w:rsidRPr="00713CCD">
        <w:rPr>
          <w:rFonts w:cstheme="minorHAnsi"/>
          <w:color w:val="262626"/>
          <w:lang w:val="en"/>
        </w:rPr>
        <w:t>cute aquatic toxicity &gt;1 mg/L (LC50 (fish), or EC50 (invertebrates) or ErC50 (algae)), or</w:t>
      </w:r>
    </w:p>
    <w:p w14:paraId="28293395" w14:textId="77777777" w:rsidR="00A56B9E" w:rsidRDefault="00AF3AF6" w:rsidP="003E3B1D">
      <w:pPr>
        <w:pStyle w:val="ListParagraph"/>
        <w:numPr>
          <w:ilvl w:val="2"/>
          <w:numId w:val="101"/>
        </w:numPr>
      </w:pPr>
      <w:r>
        <w:rPr>
          <w:rFonts w:cstheme="minorHAnsi"/>
          <w:color w:val="262626"/>
          <w:lang w:val="en"/>
        </w:rPr>
        <w:t>c</w:t>
      </w:r>
      <w:r w:rsidR="00A56B9E" w:rsidRPr="00713CCD">
        <w:rPr>
          <w:rFonts w:cstheme="minorHAnsi"/>
          <w:color w:val="262626"/>
          <w:lang w:val="en"/>
        </w:rPr>
        <w:t xml:space="preserve">hronic aquatic toxicity </w:t>
      </w:r>
      <w:r w:rsidR="00CC2997">
        <w:rPr>
          <w:lang w:eastAsia="en-AU"/>
        </w:rPr>
        <w:t>NOEC or EC</w:t>
      </w:r>
      <w:r w:rsidR="00CC2997" w:rsidRPr="00CC2997">
        <w:rPr>
          <w:vertAlign w:val="subscript"/>
          <w:lang w:eastAsia="en-AU"/>
        </w:rPr>
        <w:t>10</w:t>
      </w:r>
      <w:r w:rsidR="00A56B9E">
        <w:rPr>
          <w:lang w:eastAsia="en-AU"/>
        </w:rPr>
        <w:t xml:space="preserve"> &gt; 0.1mg/L (for chemicals that are not readily biodegradable), or</w:t>
      </w:r>
    </w:p>
    <w:p w14:paraId="4FAC986B" w14:textId="77777777" w:rsidR="00A56B9E" w:rsidRDefault="00AF3AF6" w:rsidP="003E3B1D">
      <w:pPr>
        <w:pStyle w:val="ListParagraph"/>
        <w:numPr>
          <w:ilvl w:val="2"/>
          <w:numId w:val="101"/>
        </w:numPr>
      </w:pPr>
      <w:r>
        <w:rPr>
          <w:rFonts w:cstheme="minorHAnsi"/>
          <w:color w:val="262626"/>
          <w:lang w:val="en"/>
        </w:rPr>
        <w:t>c</w:t>
      </w:r>
      <w:r w:rsidR="00A56B9E" w:rsidRPr="00713CCD">
        <w:rPr>
          <w:rFonts w:cstheme="minorHAnsi"/>
          <w:color w:val="262626"/>
          <w:lang w:val="en"/>
        </w:rPr>
        <w:t xml:space="preserve">hronic aquatic toxicity </w:t>
      </w:r>
      <w:r w:rsidR="00A56B9E">
        <w:rPr>
          <w:lang w:eastAsia="en-AU"/>
        </w:rPr>
        <w:t>NOEC or EC</w:t>
      </w:r>
      <w:r w:rsidR="00CC2997" w:rsidRPr="00CC2997">
        <w:rPr>
          <w:vertAlign w:val="subscript"/>
          <w:lang w:eastAsia="en-AU"/>
        </w:rPr>
        <w:t>10</w:t>
      </w:r>
      <w:r w:rsidR="00A56B9E">
        <w:rPr>
          <w:lang w:eastAsia="en-AU"/>
        </w:rPr>
        <w:t xml:space="preserve"> &gt; 0.01mg/L (for chemicals that are readily biodegradable)</w:t>
      </w:r>
      <w:r w:rsidR="0077378A">
        <w:rPr>
          <w:lang w:eastAsia="en-AU"/>
        </w:rPr>
        <w:t>, or</w:t>
      </w:r>
    </w:p>
    <w:p w14:paraId="2B60310A" w14:textId="6E8D6A05" w:rsidR="000D0724" w:rsidRDefault="00AF3AF6" w:rsidP="003E3B1D">
      <w:pPr>
        <w:pStyle w:val="ListParagraph"/>
        <w:numPr>
          <w:ilvl w:val="1"/>
          <w:numId w:val="101"/>
        </w:numPr>
        <w:rPr>
          <w:lang w:eastAsia="en-AU"/>
        </w:rPr>
      </w:pPr>
      <w:r>
        <w:rPr>
          <w:rFonts w:cstheme="minorHAnsi"/>
          <w:color w:val="262626"/>
          <w:lang w:val="en"/>
        </w:rPr>
        <w:t>t</w:t>
      </w:r>
      <w:r w:rsidR="00A56B9E" w:rsidRPr="00713CCD">
        <w:rPr>
          <w:rFonts w:cstheme="minorHAnsi"/>
          <w:color w:val="262626"/>
          <w:lang w:val="en"/>
        </w:rPr>
        <w:t xml:space="preserve">est </w:t>
      </w:r>
      <w:r w:rsidR="000D0724" w:rsidRPr="00713CCD">
        <w:rPr>
          <w:rFonts w:cstheme="minorHAnsi"/>
          <w:color w:val="262626"/>
          <w:lang w:val="en"/>
        </w:rPr>
        <w:t xml:space="preserve">results </w:t>
      </w:r>
      <w:r w:rsidR="00A56B9E" w:rsidRPr="00713CCD">
        <w:rPr>
          <w:rFonts w:cstheme="minorHAnsi"/>
          <w:color w:val="262626"/>
          <w:lang w:val="en"/>
        </w:rPr>
        <w:t xml:space="preserve">for all three trophic levels (fish, invertebrates and algae) from in vivo studies </w:t>
      </w:r>
      <w:r w:rsidR="000D0724" w:rsidRPr="00713CCD">
        <w:rPr>
          <w:rFonts w:cstheme="minorHAnsi"/>
          <w:color w:val="262626"/>
          <w:lang w:val="en"/>
        </w:rPr>
        <w:t>on the chemical or from suitable read-across information</w:t>
      </w:r>
      <w:r w:rsidR="00A56B9E" w:rsidRPr="00713CCD">
        <w:rPr>
          <w:rFonts w:cstheme="minorHAnsi"/>
          <w:color w:val="262626"/>
          <w:lang w:val="en"/>
        </w:rPr>
        <w:t xml:space="preserve">, conducted following acceptable test guidelines for chronic aquatic toxicity </w:t>
      </w:r>
      <w:r w:rsidR="00A56B9E">
        <w:rPr>
          <w:lang w:eastAsia="en-AU"/>
        </w:rPr>
        <w:t xml:space="preserve">with </w:t>
      </w:r>
      <w:r w:rsidR="00BE3E33">
        <w:rPr>
          <w:lang w:eastAsia="en-AU"/>
        </w:rPr>
        <w:t xml:space="preserve">the following </w:t>
      </w:r>
      <w:r w:rsidR="00A56B9E">
        <w:rPr>
          <w:lang w:eastAsia="en-AU"/>
        </w:rPr>
        <w:t xml:space="preserve">results </w:t>
      </w:r>
      <w:r w:rsidR="00BE3E33">
        <w:rPr>
          <w:lang w:eastAsia="en-AU"/>
        </w:rPr>
        <w:t>for all three trophic levels</w:t>
      </w:r>
      <w:r w:rsidR="000D0724">
        <w:rPr>
          <w:lang w:eastAsia="en-AU"/>
        </w:rPr>
        <w:t>:</w:t>
      </w:r>
    </w:p>
    <w:p w14:paraId="24462340" w14:textId="77777777" w:rsidR="00A56B9E" w:rsidRPr="00A56B9E" w:rsidRDefault="00CC2997" w:rsidP="003E3B1D">
      <w:pPr>
        <w:pStyle w:val="ListParagraph"/>
        <w:numPr>
          <w:ilvl w:val="2"/>
          <w:numId w:val="101"/>
        </w:numPr>
        <w:rPr>
          <w:lang w:eastAsia="en-AU"/>
        </w:rPr>
      </w:pPr>
      <w:r>
        <w:rPr>
          <w:lang w:eastAsia="en-AU"/>
        </w:rPr>
        <w:t>NOEC or EC</w:t>
      </w:r>
      <w:r w:rsidRPr="00CC2997">
        <w:rPr>
          <w:vertAlign w:val="subscript"/>
          <w:lang w:eastAsia="en-AU"/>
        </w:rPr>
        <w:t>10</w:t>
      </w:r>
      <w:r w:rsidR="00A56B9E" w:rsidRPr="00A56B9E">
        <w:rPr>
          <w:lang w:eastAsia="en-AU"/>
        </w:rPr>
        <w:t xml:space="preserve"> </w:t>
      </w:r>
      <w:r w:rsidR="00A56B9E">
        <w:rPr>
          <w:lang w:eastAsia="en-AU"/>
        </w:rPr>
        <w:t>&gt;</w:t>
      </w:r>
      <w:r w:rsidR="00A56B9E" w:rsidRPr="00A56B9E">
        <w:rPr>
          <w:lang w:eastAsia="en-AU"/>
        </w:rPr>
        <w:t xml:space="preserve"> 0.1mg/L (for chemicals that are not readily biodegradable), or</w:t>
      </w:r>
    </w:p>
    <w:p w14:paraId="31C32731" w14:textId="77777777" w:rsidR="001B35D6" w:rsidRDefault="00CC2997" w:rsidP="003E3B1D">
      <w:pPr>
        <w:pStyle w:val="ListParagraph"/>
        <w:numPr>
          <w:ilvl w:val="2"/>
          <w:numId w:val="101"/>
        </w:numPr>
        <w:rPr>
          <w:lang w:eastAsia="en-AU"/>
        </w:rPr>
      </w:pPr>
      <w:r>
        <w:rPr>
          <w:lang w:eastAsia="en-AU"/>
        </w:rPr>
        <w:t>NOEC or EC</w:t>
      </w:r>
      <w:r w:rsidRPr="00CC2997">
        <w:rPr>
          <w:vertAlign w:val="subscript"/>
          <w:lang w:eastAsia="en-AU"/>
        </w:rPr>
        <w:t>10</w:t>
      </w:r>
      <w:r w:rsidR="00A56B9E" w:rsidRPr="00A56B9E">
        <w:rPr>
          <w:lang w:eastAsia="en-AU"/>
        </w:rPr>
        <w:t xml:space="preserve"> </w:t>
      </w:r>
      <w:r w:rsidR="00A56B9E">
        <w:rPr>
          <w:lang w:eastAsia="en-AU"/>
        </w:rPr>
        <w:t>&gt;</w:t>
      </w:r>
      <w:r w:rsidR="00A56B9E" w:rsidRPr="00A56B9E">
        <w:rPr>
          <w:lang w:eastAsia="en-AU"/>
        </w:rPr>
        <w:t> 0.01mg/L (for chemicals that are readily biodegradable)</w:t>
      </w:r>
      <w:r w:rsidR="00463E34">
        <w:rPr>
          <w:lang w:eastAsia="en-AU"/>
        </w:rPr>
        <w:t>.</w:t>
      </w:r>
    </w:p>
    <w:p w14:paraId="26C34D95" w14:textId="77777777" w:rsidR="00633E3F" w:rsidRPr="001B35D6" w:rsidRDefault="00633E3F" w:rsidP="00633E3F">
      <w:pPr>
        <w:pStyle w:val="ListParagraph"/>
        <w:numPr>
          <w:ilvl w:val="0"/>
          <w:numId w:val="0"/>
        </w:numPr>
        <w:ind w:left="2160"/>
        <w:rPr>
          <w:lang w:eastAsia="en-AU"/>
        </w:rPr>
      </w:pPr>
    </w:p>
    <w:p w14:paraId="2D840B3F" w14:textId="77777777" w:rsidR="001D465E" w:rsidRDefault="001D465E" w:rsidP="001D465E">
      <w:pPr>
        <w:pStyle w:val="Heading2"/>
      </w:pPr>
      <w:bookmarkStart w:id="45" w:name="_Toc43890229"/>
      <w:r>
        <w:t>Persistent and bioaccumulative – Environment hazard band C</w:t>
      </w:r>
      <w:bookmarkEnd w:id="45"/>
    </w:p>
    <w:p w14:paraId="3DB0399E" w14:textId="77777777" w:rsidR="001D465E" w:rsidRDefault="00877BCF" w:rsidP="00713CCD">
      <w:pPr>
        <w:pStyle w:val="Heading3"/>
        <w:ind w:left="709"/>
      </w:pPr>
      <w:r>
        <w:t xml:space="preserve">Clause </w:t>
      </w:r>
      <w:r w:rsidR="001D465E">
        <w:t xml:space="preserve">4 of Part 2, Schedule 1 </w:t>
      </w:r>
      <w:r w:rsidR="000E5A4B">
        <w:t xml:space="preserve">to </w:t>
      </w:r>
      <w:r w:rsidR="001D465E">
        <w:t xml:space="preserve">the </w:t>
      </w:r>
      <w:r w:rsidR="009547E9">
        <w:t>IC General Rules</w:t>
      </w:r>
      <w:r w:rsidR="001D465E">
        <w:t xml:space="preserve"> </w:t>
      </w:r>
    </w:p>
    <w:p w14:paraId="2C9F320C" w14:textId="77777777" w:rsidR="001D465E" w:rsidRDefault="001D465E" w:rsidP="00713CCD">
      <w:pPr>
        <w:rPr>
          <w:rStyle w:val="normaltextrun"/>
          <w:color w:val="000000"/>
          <w:shd w:val="clear" w:color="auto" w:fill="FFFFFF"/>
        </w:rPr>
      </w:pPr>
      <w:r>
        <w:rPr>
          <w:rStyle w:val="normaltextrun"/>
          <w:color w:val="000000"/>
          <w:shd w:val="clear" w:color="auto" w:fill="FFFFFF"/>
        </w:rPr>
        <w:t xml:space="preserve">For the purposes of table item 7 of </w:t>
      </w:r>
      <w:r w:rsidR="000E5A4B">
        <w:rPr>
          <w:rStyle w:val="normaltextrun"/>
          <w:color w:val="000000"/>
          <w:shd w:val="clear" w:color="auto" w:fill="FFFFFF"/>
        </w:rPr>
        <w:t xml:space="preserve">Clause 4, </w:t>
      </w:r>
      <w:r>
        <w:rPr>
          <w:rStyle w:val="normaltextrun"/>
          <w:color w:val="000000"/>
          <w:shd w:val="clear" w:color="auto" w:fill="FFFFFF"/>
        </w:rPr>
        <w:t xml:space="preserve">Part 2, Schedule 1 </w:t>
      </w:r>
      <w:r w:rsidR="000E5A4B">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724FD36B" w14:textId="77777777" w:rsidR="001D465E" w:rsidRDefault="001D465E" w:rsidP="00713CCD">
      <w:pPr>
        <w:rPr>
          <w:rStyle w:val="eop"/>
          <w:color w:val="000000"/>
          <w:shd w:val="clear" w:color="auto" w:fill="FFFFFF"/>
        </w:rPr>
      </w:pPr>
      <w:r w:rsidRPr="0003365A">
        <w:rPr>
          <w:rStyle w:val="normaltextrun"/>
          <w:b/>
          <w:color w:val="000000"/>
          <w:shd w:val="clear" w:color="auto" w:fill="FFFFFF"/>
        </w:rPr>
        <w:t>Persistent and bioaccumulative</w:t>
      </w:r>
      <w:r>
        <w:rPr>
          <w:rStyle w:val="normaltextrun"/>
          <w:color w:val="000000"/>
          <w:shd w:val="clear" w:color="auto" w:fill="FFFFFF"/>
        </w:rPr>
        <w:t xml:space="preserve"> means that any of the following apply to the industrial chemical:</w:t>
      </w:r>
      <w:r>
        <w:rPr>
          <w:rStyle w:val="eop"/>
          <w:color w:val="000000"/>
          <w:shd w:val="clear" w:color="auto" w:fill="FFFFFF"/>
        </w:rPr>
        <w:t> </w:t>
      </w:r>
    </w:p>
    <w:p w14:paraId="7B6EA0A3" w14:textId="77777777" w:rsidR="001D465E" w:rsidRPr="00713CCD" w:rsidRDefault="001D465E" w:rsidP="003E3B1D">
      <w:pPr>
        <w:pStyle w:val="ListParagraph"/>
        <w:numPr>
          <w:ilvl w:val="0"/>
          <w:numId w:val="102"/>
        </w:numPr>
        <w:rPr>
          <w:rStyle w:val="eop"/>
          <w:color w:val="000000"/>
          <w:shd w:val="clear" w:color="auto" w:fill="FFFFFF"/>
        </w:rPr>
      </w:pPr>
      <w:r w:rsidRPr="00713CCD">
        <w:rPr>
          <w:rStyle w:val="eop"/>
          <w:color w:val="000000"/>
          <w:shd w:val="clear" w:color="auto" w:fill="FFFFFF"/>
        </w:rPr>
        <w:t>the chemical (or the chemical of which it is an ester or salt) is on the list of chemicals with high hazards for categorisation, based on it being persistent</w:t>
      </w:r>
      <w:r w:rsidR="00FA3CAD" w:rsidRPr="00713CCD">
        <w:rPr>
          <w:rStyle w:val="eop"/>
          <w:color w:val="000000"/>
          <w:shd w:val="clear" w:color="auto" w:fill="FFFFFF"/>
        </w:rPr>
        <w:t xml:space="preserve"> and bioaccumulative</w:t>
      </w:r>
      <w:r w:rsidRPr="00713CCD">
        <w:rPr>
          <w:rStyle w:val="eop"/>
          <w:color w:val="000000"/>
          <w:shd w:val="clear" w:color="auto" w:fill="FFFFFF"/>
        </w:rPr>
        <w:t>, or</w:t>
      </w:r>
    </w:p>
    <w:p w14:paraId="5E15754A" w14:textId="77777777" w:rsidR="00CE669E" w:rsidRPr="00713CCD" w:rsidRDefault="00CE669E" w:rsidP="003E3B1D">
      <w:pPr>
        <w:pStyle w:val="ListParagraph"/>
        <w:numPr>
          <w:ilvl w:val="0"/>
          <w:numId w:val="102"/>
        </w:numPr>
        <w:rPr>
          <w:rStyle w:val="eop"/>
          <w:color w:val="000000"/>
          <w:shd w:val="clear" w:color="auto" w:fill="FFFFFF"/>
        </w:rPr>
      </w:pPr>
      <w:r w:rsidRPr="00713CCD">
        <w:rPr>
          <w:rStyle w:val="eop"/>
          <w:color w:val="000000"/>
          <w:shd w:val="clear" w:color="auto" w:fill="FFFFFF"/>
        </w:rPr>
        <w:lastRenderedPageBreak/>
        <w:t>both of the following apply:</w:t>
      </w:r>
    </w:p>
    <w:p w14:paraId="78417D42" w14:textId="77777777" w:rsidR="00CE669E" w:rsidRPr="00713CCD" w:rsidRDefault="00CE669E" w:rsidP="003E3B1D">
      <w:pPr>
        <w:pStyle w:val="ListParagraph"/>
        <w:numPr>
          <w:ilvl w:val="1"/>
          <w:numId w:val="102"/>
        </w:numPr>
        <w:rPr>
          <w:rStyle w:val="eop"/>
          <w:color w:val="000000"/>
          <w:shd w:val="clear" w:color="auto" w:fill="FFFFFF"/>
        </w:rPr>
      </w:pPr>
      <w:r w:rsidRPr="00713CCD">
        <w:rPr>
          <w:rStyle w:val="eop"/>
          <w:color w:val="000000"/>
          <w:shd w:val="clear" w:color="auto" w:fill="FFFFFF"/>
        </w:rPr>
        <w:t>the chemical is persistent</w:t>
      </w:r>
      <w:r w:rsidR="00FB13F4" w:rsidRPr="00713CCD">
        <w:rPr>
          <w:rStyle w:val="eop"/>
          <w:color w:val="000000"/>
          <w:shd w:val="clear" w:color="auto" w:fill="FFFFFF"/>
        </w:rPr>
        <w:t xml:space="preserve"> (see section 2.1.</w:t>
      </w:r>
      <w:r w:rsidR="00506192" w:rsidRPr="00713CCD">
        <w:rPr>
          <w:rStyle w:val="eop"/>
          <w:color w:val="000000"/>
          <w:shd w:val="clear" w:color="auto" w:fill="FFFFFF"/>
        </w:rPr>
        <w:t>6</w:t>
      </w:r>
      <w:r w:rsidR="00FB13F4" w:rsidRPr="00713CCD">
        <w:rPr>
          <w:rStyle w:val="eop"/>
          <w:color w:val="000000"/>
          <w:shd w:val="clear" w:color="auto" w:fill="FFFFFF"/>
        </w:rPr>
        <w:t xml:space="preserve"> for definition)</w:t>
      </w:r>
      <w:r w:rsidR="00430246">
        <w:rPr>
          <w:rStyle w:val="eop"/>
          <w:color w:val="000000"/>
          <w:shd w:val="clear" w:color="auto" w:fill="FFFFFF"/>
        </w:rPr>
        <w:t>,</w:t>
      </w:r>
      <w:r w:rsidRPr="00713CCD">
        <w:rPr>
          <w:rStyle w:val="eop"/>
          <w:color w:val="000000"/>
          <w:shd w:val="clear" w:color="auto" w:fill="FFFFFF"/>
        </w:rPr>
        <w:t xml:space="preserve"> and</w:t>
      </w:r>
    </w:p>
    <w:p w14:paraId="036F43F7" w14:textId="77777777" w:rsidR="00CE669E" w:rsidRPr="00713CCD" w:rsidRDefault="00CE669E" w:rsidP="003E3B1D">
      <w:pPr>
        <w:pStyle w:val="ListParagraph"/>
        <w:numPr>
          <w:ilvl w:val="1"/>
          <w:numId w:val="102"/>
        </w:numPr>
        <w:rPr>
          <w:rStyle w:val="eop"/>
          <w:color w:val="000000"/>
          <w:shd w:val="clear" w:color="auto" w:fill="FFFFFF"/>
        </w:rPr>
      </w:pPr>
      <w:r w:rsidRPr="00713CCD">
        <w:rPr>
          <w:rStyle w:val="eop"/>
          <w:color w:val="000000"/>
          <w:shd w:val="clear" w:color="auto" w:fill="FFFFFF"/>
        </w:rPr>
        <w:t>the chemical is bioaccumulative</w:t>
      </w:r>
      <w:r w:rsidR="0042358D">
        <w:rPr>
          <w:rStyle w:val="eop"/>
          <w:color w:val="000000"/>
          <w:shd w:val="clear" w:color="auto" w:fill="FFFFFF"/>
        </w:rPr>
        <w:t>.</w:t>
      </w:r>
    </w:p>
    <w:p w14:paraId="5E8F1F4A" w14:textId="77777777" w:rsidR="00CE669E" w:rsidRPr="009754F1" w:rsidRDefault="00CE669E" w:rsidP="00713CCD">
      <w:pPr>
        <w:rPr>
          <w:rStyle w:val="eop"/>
          <w:color w:val="000000"/>
          <w:shd w:val="clear" w:color="auto" w:fill="FFFFFF"/>
        </w:rPr>
      </w:pPr>
      <w:r w:rsidRPr="009754F1">
        <w:rPr>
          <w:rStyle w:val="eop"/>
          <w:color w:val="000000"/>
          <w:shd w:val="clear" w:color="auto" w:fill="FFFFFF"/>
        </w:rPr>
        <w:t>For the purposes of this hazard characteristic, bioaccumulative means any of the following apply to the chemical:</w:t>
      </w:r>
    </w:p>
    <w:p w14:paraId="33B03B71" w14:textId="77777777" w:rsidR="00CE669E" w:rsidRPr="00713CCD" w:rsidRDefault="00CE669E" w:rsidP="003E3B1D">
      <w:pPr>
        <w:pStyle w:val="ListParagraph"/>
        <w:numPr>
          <w:ilvl w:val="0"/>
          <w:numId w:val="103"/>
        </w:numPr>
        <w:rPr>
          <w:color w:val="000000"/>
          <w:shd w:val="clear" w:color="auto" w:fill="FFFFFF"/>
        </w:rPr>
      </w:pPr>
      <w:r w:rsidRPr="00713CCD">
        <w:rPr>
          <w:rStyle w:val="eop"/>
          <w:color w:val="000000"/>
          <w:shd w:val="clear" w:color="auto" w:fill="FFFFFF"/>
        </w:rPr>
        <w:t xml:space="preserve">it has a bioaccumulation factor (BAF) </w:t>
      </w:r>
      <w:r w:rsidRPr="009754F1">
        <w:t>≥2000 for the aquatic compartment, or</w:t>
      </w:r>
    </w:p>
    <w:p w14:paraId="0AE52490" w14:textId="77777777" w:rsidR="00CE669E" w:rsidRPr="00713CCD" w:rsidRDefault="00CE669E" w:rsidP="003E3B1D">
      <w:pPr>
        <w:pStyle w:val="ListParagraph"/>
        <w:numPr>
          <w:ilvl w:val="0"/>
          <w:numId w:val="103"/>
        </w:numPr>
        <w:rPr>
          <w:color w:val="000000"/>
          <w:shd w:val="clear" w:color="auto" w:fill="FFFFFF"/>
        </w:rPr>
      </w:pPr>
      <w:r w:rsidRPr="009754F1">
        <w:t xml:space="preserve">it has a </w:t>
      </w:r>
      <w:r w:rsidR="0077378A">
        <w:t>bioconcentration factor (BCF) ≥</w:t>
      </w:r>
      <w:r w:rsidRPr="009754F1">
        <w:t>2000 for the aquatic compartment, or</w:t>
      </w:r>
    </w:p>
    <w:p w14:paraId="13B858DE" w14:textId="77777777" w:rsidR="00CE669E" w:rsidRPr="00713CCD" w:rsidRDefault="00CE669E" w:rsidP="003E3B1D">
      <w:pPr>
        <w:pStyle w:val="ListParagraph"/>
        <w:numPr>
          <w:ilvl w:val="0"/>
          <w:numId w:val="103"/>
        </w:numPr>
        <w:rPr>
          <w:color w:val="000000"/>
          <w:shd w:val="clear" w:color="auto" w:fill="FFFFFF"/>
        </w:rPr>
      </w:pPr>
      <w:r w:rsidRPr="009754F1">
        <w:t>it has a measured log Kow ≥4.2 for the aquatic compartment (</w:t>
      </w:r>
      <w:r w:rsidR="00F27B7F">
        <w:t xml:space="preserve">unless a measured </w:t>
      </w:r>
      <w:r w:rsidR="00F27B7F" w:rsidRPr="00D11D79">
        <w:t>BCF or BAF</w:t>
      </w:r>
      <w:r w:rsidR="00F27B7F">
        <w:t xml:space="preserve"> is &lt;2000</w:t>
      </w:r>
      <w:r w:rsidRPr="009754F1">
        <w:t>), or</w:t>
      </w:r>
    </w:p>
    <w:p w14:paraId="22360B1A" w14:textId="77777777" w:rsidR="00CE669E" w:rsidRPr="00713CCD" w:rsidRDefault="00CE669E" w:rsidP="003E3B1D">
      <w:pPr>
        <w:pStyle w:val="ListParagraph"/>
        <w:numPr>
          <w:ilvl w:val="0"/>
          <w:numId w:val="103"/>
        </w:numPr>
        <w:rPr>
          <w:color w:val="000000"/>
          <w:shd w:val="clear" w:color="auto" w:fill="FFFFFF"/>
        </w:rPr>
      </w:pPr>
      <w:r w:rsidRPr="009754F1">
        <w:t>it has a log Koa &gt; 6 and log Kow ≥2 for the terrestrial compartment, or</w:t>
      </w:r>
    </w:p>
    <w:p w14:paraId="0E549EBE" w14:textId="77777777" w:rsidR="00CE669E" w:rsidRPr="00713CCD" w:rsidRDefault="00CE669E" w:rsidP="003E3B1D">
      <w:pPr>
        <w:pStyle w:val="ListParagraph"/>
        <w:numPr>
          <w:ilvl w:val="0"/>
          <w:numId w:val="103"/>
        </w:numPr>
        <w:rPr>
          <w:color w:val="000000"/>
          <w:shd w:val="clear" w:color="auto" w:fill="FFFFFF"/>
        </w:rPr>
      </w:pPr>
      <w:r w:rsidRPr="009754F1">
        <w:t>it has a biomagnification factor (BMF) &gt;1</w:t>
      </w:r>
      <w:r w:rsidR="0042358D">
        <w:t>.</w:t>
      </w:r>
    </w:p>
    <w:p w14:paraId="5F5A9EA3" w14:textId="77777777" w:rsidR="00FA3CAD" w:rsidRDefault="004F2F43" w:rsidP="00713CCD">
      <w:pPr>
        <w:pStyle w:val="Heading3"/>
        <w:ind w:left="709"/>
      </w:pPr>
      <w:r>
        <w:t>Section 30</w:t>
      </w:r>
      <w:r w:rsidR="00FA3CAD">
        <w:t xml:space="preserve"> of the </w:t>
      </w:r>
      <w:r w:rsidR="009547E9">
        <w:t>IC General Rules</w:t>
      </w:r>
      <w:r w:rsidR="00FA3CAD">
        <w:t xml:space="preserve"> - Information required to demonstrate the absence of hazard characteristics  </w:t>
      </w:r>
    </w:p>
    <w:p w14:paraId="3284B539" w14:textId="77777777" w:rsidR="00FA3CAD" w:rsidRDefault="00FA3CAD" w:rsidP="00713CCD">
      <w:pPr>
        <w:rPr>
          <w:lang w:eastAsia="en-AU"/>
        </w:rPr>
      </w:pPr>
      <w:r>
        <w:rPr>
          <w:lang w:eastAsia="en-AU"/>
        </w:rPr>
        <w:t xml:space="preserve">For the purposes of </w:t>
      </w:r>
      <w:r w:rsidR="00EA060D">
        <w:t xml:space="preserve">subparagraph </w:t>
      </w:r>
      <w:r w:rsidR="004F2F43">
        <w:t>30(2)(c)(iv) of the IC General Rules,</w:t>
      </w:r>
      <w:r>
        <w:rPr>
          <w:lang w:eastAsia="en-AU"/>
        </w:rPr>
        <w:t xml:space="preserve"> the information required to demonstrate that a chemical does not have the hazard characteristic,</w:t>
      </w:r>
      <w:r w:rsidRPr="00D52C32">
        <w:rPr>
          <w:lang w:eastAsia="en-AU"/>
        </w:rPr>
        <w:t xml:space="preserve"> </w:t>
      </w:r>
      <w:r w:rsidRPr="00C9079E">
        <w:rPr>
          <w:b/>
          <w:lang w:eastAsia="en-AU"/>
        </w:rPr>
        <w:t>persistent and bioaccumulative</w:t>
      </w:r>
      <w:r>
        <w:rPr>
          <w:lang w:eastAsia="en-AU"/>
        </w:rPr>
        <w:t xml:space="preserve">, is confirmation that the chemical (or the chemical of which it is an ester or salt) is not on the </w:t>
      </w:r>
      <w:r w:rsidRPr="0077378A">
        <w:rPr>
          <w:b/>
          <w:lang w:eastAsia="en-AU"/>
        </w:rPr>
        <w:t>list of chemicals with high hazards for categorisation</w:t>
      </w:r>
      <w:r>
        <w:rPr>
          <w:lang w:eastAsia="en-AU"/>
        </w:rPr>
        <w:t xml:space="preserve"> based on it being persistent and bioaccumulative</w:t>
      </w:r>
      <w:r w:rsidR="00090F3D">
        <w:rPr>
          <w:lang w:eastAsia="en-AU"/>
        </w:rPr>
        <w:t>.</w:t>
      </w:r>
    </w:p>
    <w:p w14:paraId="282915AA" w14:textId="77777777" w:rsidR="00CE669E" w:rsidRPr="009754F1" w:rsidRDefault="007A3A56" w:rsidP="00713CCD">
      <w:pPr>
        <w:rPr>
          <w:lang w:eastAsia="en-AU"/>
        </w:rPr>
      </w:pPr>
      <w:r w:rsidRPr="009754F1">
        <w:rPr>
          <w:lang w:eastAsia="en-AU"/>
        </w:rPr>
        <w:t>I</w:t>
      </w:r>
      <w:r w:rsidR="00090F3D">
        <w:rPr>
          <w:lang w:eastAsia="en-AU"/>
        </w:rPr>
        <w:t>n addition, i</w:t>
      </w:r>
      <w:r w:rsidRPr="009754F1">
        <w:rPr>
          <w:lang w:eastAsia="en-AU"/>
        </w:rPr>
        <w:t xml:space="preserve">f the environment exposure band for the introduction is 2 (and you are seeking to demonstrate that </w:t>
      </w:r>
      <w:r w:rsidR="00FE2F5A">
        <w:rPr>
          <w:lang w:eastAsia="en-AU"/>
        </w:rPr>
        <w:t>the</w:t>
      </w:r>
      <w:r w:rsidRPr="009754F1">
        <w:rPr>
          <w:lang w:eastAsia="en-AU"/>
        </w:rPr>
        <w:t xml:space="preserve"> introduction meets the criteria for very low r</w:t>
      </w:r>
      <w:r w:rsidR="004F2F43">
        <w:rPr>
          <w:lang w:eastAsia="en-AU"/>
        </w:rPr>
        <w:t xml:space="preserve">isk </w:t>
      </w:r>
      <w:r w:rsidR="00F90877">
        <w:rPr>
          <w:lang w:eastAsia="en-AU"/>
        </w:rPr>
        <w:t>in accordance with</w:t>
      </w:r>
      <w:r w:rsidR="004F2F43">
        <w:rPr>
          <w:lang w:eastAsia="en-AU"/>
        </w:rPr>
        <w:t xml:space="preserve"> table item 16, </w:t>
      </w:r>
      <w:r w:rsidR="00F90877">
        <w:rPr>
          <w:lang w:eastAsia="en-AU"/>
        </w:rPr>
        <w:t>s</w:t>
      </w:r>
      <w:r w:rsidR="004F2F43">
        <w:rPr>
          <w:lang w:eastAsia="en-AU"/>
        </w:rPr>
        <w:t>ection 29</w:t>
      </w:r>
      <w:r w:rsidRPr="009754F1">
        <w:rPr>
          <w:lang w:eastAsia="en-AU"/>
        </w:rPr>
        <w:t xml:space="preserve"> of the IC</w:t>
      </w:r>
      <w:r w:rsidR="00661C1A">
        <w:rPr>
          <w:lang w:eastAsia="en-AU"/>
        </w:rPr>
        <w:t xml:space="preserve"> General</w:t>
      </w:r>
      <w:r w:rsidR="0042358D">
        <w:rPr>
          <w:lang w:eastAsia="en-AU"/>
        </w:rPr>
        <w:t xml:space="preserve"> Rules), or 3</w:t>
      </w:r>
      <w:r w:rsidRPr="009754F1">
        <w:rPr>
          <w:lang w:eastAsia="en-AU"/>
        </w:rPr>
        <w:t xml:space="preserve"> or 4, </w:t>
      </w:r>
      <w:r w:rsidR="00CE669E" w:rsidRPr="009754F1">
        <w:rPr>
          <w:lang w:eastAsia="en-AU"/>
        </w:rPr>
        <w:t>at least one of the following:</w:t>
      </w:r>
    </w:p>
    <w:p w14:paraId="4B30D8F3" w14:textId="77777777" w:rsidR="00CE669E" w:rsidRPr="009754F1" w:rsidRDefault="000E7615" w:rsidP="003E3B1D">
      <w:pPr>
        <w:pStyle w:val="ListParagraph"/>
        <w:numPr>
          <w:ilvl w:val="0"/>
          <w:numId w:val="104"/>
        </w:numPr>
      </w:pPr>
      <w:r>
        <w:t>i</w:t>
      </w:r>
      <w:r w:rsidR="00CE669E" w:rsidRPr="009754F1">
        <w:t xml:space="preserve">nformation that </w:t>
      </w:r>
      <w:r w:rsidR="006D0D17">
        <w:t>demonstrates</w:t>
      </w:r>
      <w:r w:rsidR="00CE669E" w:rsidRPr="009754F1">
        <w:t xml:space="preserve"> that the chemical is an inorganic chemical</w:t>
      </w:r>
      <w:r w:rsidR="009754F1">
        <w:t>, or</w:t>
      </w:r>
    </w:p>
    <w:p w14:paraId="2BFFB2FA" w14:textId="77777777" w:rsidR="00CE669E" w:rsidRPr="009754F1" w:rsidRDefault="000E7615" w:rsidP="003E3B1D">
      <w:pPr>
        <w:pStyle w:val="ListParagraph"/>
        <w:numPr>
          <w:ilvl w:val="0"/>
          <w:numId w:val="104"/>
        </w:numPr>
      </w:pPr>
      <w:r>
        <w:t>i</w:t>
      </w:r>
      <w:r w:rsidR="00CE669E" w:rsidRPr="009754F1">
        <w:t xml:space="preserve">nformation to </w:t>
      </w:r>
      <w:r w:rsidR="006D0D17">
        <w:t>demonstrate</w:t>
      </w:r>
      <w:r w:rsidR="00CE669E" w:rsidRPr="009754F1">
        <w:t xml:space="preserve"> that the chemical is a biological chemical</w:t>
      </w:r>
      <w:r w:rsidR="009754F1">
        <w:t>, or</w:t>
      </w:r>
    </w:p>
    <w:p w14:paraId="0B81EC5A" w14:textId="77777777" w:rsidR="00CE669E" w:rsidRPr="009754F1" w:rsidRDefault="000E7615" w:rsidP="003E3B1D">
      <w:pPr>
        <w:pStyle w:val="ListParagraph"/>
        <w:numPr>
          <w:ilvl w:val="0"/>
          <w:numId w:val="104"/>
        </w:numPr>
      </w:pPr>
      <w:r>
        <w:t>i</w:t>
      </w:r>
      <w:r w:rsidR="00CE669E" w:rsidRPr="009754F1">
        <w:t xml:space="preserve">nformation that </w:t>
      </w:r>
      <w:r w:rsidR="006D0D17">
        <w:t>demonstrates</w:t>
      </w:r>
      <w:r w:rsidR="00CE669E" w:rsidRPr="009754F1">
        <w:t xml:space="preserve"> that the chemical has a molecul</w:t>
      </w:r>
      <w:r w:rsidR="009754F1">
        <w:t>ar weight that is &gt;1,000 g/mol, or</w:t>
      </w:r>
    </w:p>
    <w:p w14:paraId="2A268FF3" w14:textId="5B69AF20" w:rsidR="00CE669E" w:rsidRPr="009754F1" w:rsidRDefault="000E7615" w:rsidP="003E3B1D">
      <w:pPr>
        <w:pStyle w:val="ListParagraph"/>
        <w:numPr>
          <w:ilvl w:val="0"/>
          <w:numId w:val="104"/>
        </w:numPr>
      </w:pPr>
      <w:r>
        <w:t>i</w:t>
      </w:r>
      <w:r w:rsidR="00CE669E">
        <w:t xml:space="preserve">nformation that </w:t>
      </w:r>
      <w:r w:rsidR="006D0D17">
        <w:t>demonstrates</w:t>
      </w:r>
      <w:r w:rsidR="00CE669E">
        <w:t xml:space="preserve"> that the chemical is a high molecular weight polymer</w:t>
      </w:r>
      <w:r w:rsidR="1EF5A0B9">
        <w:t xml:space="preserve"> with:</w:t>
      </w:r>
    </w:p>
    <w:p w14:paraId="0A531606" w14:textId="42643673" w:rsidR="00CE669E" w:rsidRPr="009754F1" w:rsidRDefault="1EF5A0B9" w:rsidP="003C4DD5">
      <w:pPr>
        <w:pStyle w:val="ListParagraph"/>
        <w:numPr>
          <w:ilvl w:val="1"/>
          <w:numId w:val="104"/>
        </w:numPr>
      </w:pPr>
      <w:r>
        <w:t>&lt;</w:t>
      </w:r>
      <w:r w:rsidR="0A8867FB">
        <w:t xml:space="preserve"> </w:t>
      </w:r>
      <w:r>
        <w:t>25% low molecular weight oligomeric species &lt;1,000g/mol</w:t>
      </w:r>
      <w:r w:rsidR="009754F1">
        <w:t xml:space="preserve">, </w:t>
      </w:r>
      <w:r w:rsidR="3567BD9F">
        <w:t>and</w:t>
      </w:r>
    </w:p>
    <w:p w14:paraId="1254EFC5" w14:textId="39706D4B" w:rsidR="00CE669E" w:rsidRPr="009754F1" w:rsidRDefault="3567BD9F" w:rsidP="1F99A18B">
      <w:pPr>
        <w:pStyle w:val="ListParagraph"/>
        <w:numPr>
          <w:ilvl w:val="1"/>
          <w:numId w:val="104"/>
        </w:numPr>
      </w:pPr>
      <w:r>
        <w:t xml:space="preserve">&lt; 10% low molecular weight oligomeric species &lt;500g/mol, </w:t>
      </w:r>
      <w:r w:rsidR="009754F1">
        <w:t>or</w:t>
      </w:r>
      <w:r w:rsidR="00CE669E">
        <w:t xml:space="preserve"> </w:t>
      </w:r>
    </w:p>
    <w:p w14:paraId="5F7F1F72" w14:textId="77777777" w:rsidR="00CE669E" w:rsidRPr="009754F1" w:rsidRDefault="000E7615" w:rsidP="003E3B1D">
      <w:pPr>
        <w:pStyle w:val="ListParagraph"/>
        <w:numPr>
          <w:ilvl w:val="0"/>
          <w:numId w:val="104"/>
        </w:numPr>
      </w:pPr>
      <w:r>
        <w:t>i</w:t>
      </w:r>
      <w:r w:rsidR="00CE669E" w:rsidRPr="009754F1">
        <w:t xml:space="preserve">nformation that </w:t>
      </w:r>
      <w:r w:rsidR="006D0D17">
        <w:t>demonstrates</w:t>
      </w:r>
      <w:r w:rsidR="00CE669E" w:rsidRPr="009754F1">
        <w:t xml:space="preserve"> that the chemical has a solubility in water that is &gt;5g/L</w:t>
      </w:r>
      <w:r w:rsidR="00092810" w:rsidRPr="009754F1">
        <w:t>,</w:t>
      </w:r>
      <w:r w:rsidR="00CE669E" w:rsidRPr="009754F1">
        <w:t xml:space="preserve"> </w:t>
      </w:r>
      <w:r w:rsidR="00092810" w:rsidRPr="009754F1">
        <w:t>measured following an acceptable test guideline for water solubility</w:t>
      </w:r>
      <w:r w:rsidR="009754F1">
        <w:t>, or</w:t>
      </w:r>
    </w:p>
    <w:p w14:paraId="2AE6522D" w14:textId="77777777" w:rsidR="00CE669E" w:rsidRPr="009754F1" w:rsidRDefault="000E7615" w:rsidP="003E3B1D">
      <w:pPr>
        <w:pStyle w:val="ListParagraph"/>
        <w:numPr>
          <w:ilvl w:val="0"/>
          <w:numId w:val="104"/>
        </w:numPr>
      </w:pPr>
      <w:r>
        <w:t>i</w:t>
      </w:r>
      <w:r w:rsidR="00CE669E" w:rsidRPr="009754F1">
        <w:t xml:space="preserve">nformation that </w:t>
      </w:r>
      <w:r w:rsidR="006D0D17">
        <w:t>demonstrates</w:t>
      </w:r>
      <w:r w:rsidR="00CE669E" w:rsidRPr="009754F1">
        <w:t xml:space="preserve"> that the chemical is a gas that is not expected to partition to the aquatic compartment</w:t>
      </w:r>
      <w:r w:rsidR="009754F1">
        <w:t>, or</w:t>
      </w:r>
    </w:p>
    <w:p w14:paraId="60EB4231" w14:textId="77777777" w:rsidR="009754F1" w:rsidRPr="009754F1" w:rsidRDefault="000E7615" w:rsidP="003E3B1D">
      <w:pPr>
        <w:pStyle w:val="ListParagraph"/>
        <w:numPr>
          <w:ilvl w:val="0"/>
          <w:numId w:val="104"/>
        </w:numPr>
      </w:pPr>
      <w:r>
        <w:t>a</w:t>
      </w:r>
      <w:r w:rsidR="009754F1" w:rsidRPr="009754F1">
        <w:t xml:space="preserve"> suitable in silico prediction for partition coefficient of the chemical </w:t>
      </w:r>
      <w:r w:rsidR="0085696A">
        <w:t xml:space="preserve">itself of </w:t>
      </w:r>
      <w:r w:rsidR="0042358D">
        <w:t>log Kow &lt;</w:t>
      </w:r>
      <w:r w:rsidR="009754F1" w:rsidRPr="009754F1">
        <w:t>4.2 (that is not negated by a measured log Kow)</w:t>
      </w:r>
      <w:r w:rsidR="009754F1">
        <w:t>, or</w:t>
      </w:r>
    </w:p>
    <w:p w14:paraId="3C573455" w14:textId="77777777" w:rsidR="00CE669E" w:rsidRPr="009754F1" w:rsidRDefault="000E7615" w:rsidP="003E3B1D">
      <w:pPr>
        <w:pStyle w:val="ListParagraph"/>
        <w:numPr>
          <w:ilvl w:val="0"/>
          <w:numId w:val="104"/>
        </w:numPr>
      </w:pPr>
      <w:r>
        <w:t>a</w:t>
      </w:r>
      <w:r w:rsidR="00CE669E" w:rsidRPr="009754F1">
        <w:t xml:space="preserve"> measured value from a study on the chemical or from suitable read-across information, conducted following an acceptable test guideline for partition coefficient, for which log Kow &lt;4.2</w:t>
      </w:r>
      <w:r w:rsidR="009754F1">
        <w:t>, or</w:t>
      </w:r>
      <w:r w:rsidR="00CE669E" w:rsidRPr="009754F1">
        <w:t xml:space="preserve"> </w:t>
      </w:r>
    </w:p>
    <w:p w14:paraId="787F753F" w14:textId="77EB11B8" w:rsidR="00F45C75" w:rsidRPr="009754F1" w:rsidRDefault="000E7615" w:rsidP="003E3B1D">
      <w:pPr>
        <w:pStyle w:val="ListParagraph"/>
        <w:numPr>
          <w:ilvl w:val="0"/>
          <w:numId w:val="104"/>
        </w:numPr>
      </w:pPr>
      <w:r>
        <w:lastRenderedPageBreak/>
        <w:t>i</w:t>
      </w:r>
      <w:r w:rsidR="00CE669E" w:rsidRPr="009754F1">
        <w:t>f the chemical is not a highly branched organic chemical</w:t>
      </w:r>
      <w:r w:rsidR="00EF60EB">
        <w:rPr>
          <w:rStyle w:val="FootnoteReference"/>
        </w:rPr>
        <w:footnoteReference w:id="14"/>
      </w:r>
      <w:r w:rsidR="00CE669E" w:rsidRPr="009754F1">
        <w:t xml:space="preserve"> – a test result from </w:t>
      </w:r>
      <w:r w:rsidR="0066735F">
        <w:t xml:space="preserve">a study on the chemical or from </w:t>
      </w:r>
      <w:r w:rsidR="00CE669E" w:rsidRPr="009754F1">
        <w:t>suitable read across information, conducted following an acceptable test guideline for ready biodegradability</w:t>
      </w:r>
      <w:r>
        <w:t>,</w:t>
      </w:r>
      <w:r w:rsidR="00CE669E" w:rsidRPr="009754F1">
        <w:t xml:space="preserve"> </w:t>
      </w:r>
      <w:r w:rsidR="00F45C75" w:rsidRPr="009754F1">
        <w:t>which meets at least one of the following degradation pass levels during the period specified in the test method:</w:t>
      </w:r>
    </w:p>
    <w:p w14:paraId="4CC1DFF5" w14:textId="77777777" w:rsidR="00F45C75" w:rsidRPr="009754F1" w:rsidRDefault="00F45C75" w:rsidP="003E3B1D">
      <w:pPr>
        <w:pStyle w:val="ListParagraph"/>
        <w:numPr>
          <w:ilvl w:val="1"/>
          <w:numId w:val="104"/>
        </w:numPr>
      </w:pPr>
      <w:r w:rsidRPr="009754F1">
        <w:t>tests based on dissolved organic carbon (DOC) - ≥ 70% DOC removal, or</w:t>
      </w:r>
    </w:p>
    <w:p w14:paraId="44B98D66" w14:textId="77777777" w:rsidR="00F45C75" w:rsidRPr="009754F1" w:rsidRDefault="00F45C75" w:rsidP="003E3B1D">
      <w:pPr>
        <w:pStyle w:val="ListParagraph"/>
        <w:numPr>
          <w:ilvl w:val="1"/>
          <w:numId w:val="104"/>
        </w:numPr>
      </w:pPr>
      <w:r w:rsidRPr="009754F1">
        <w:t xml:space="preserve">tests based on carbon dioxide generation - ≥ 60% theoretical carbon dioxide, or </w:t>
      </w:r>
    </w:p>
    <w:p w14:paraId="1D726244" w14:textId="77777777" w:rsidR="00CE669E" w:rsidRPr="009754F1" w:rsidRDefault="00F45C75" w:rsidP="003E3B1D">
      <w:pPr>
        <w:pStyle w:val="ListParagraph"/>
        <w:numPr>
          <w:ilvl w:val="1"/>
          <w:numId w:val="104"/>
        </w:numPr>
        <w:rPr>
          <w:lang w:eastAsia="en-AU"/>
        </w:rPr>
      </w:pPr>
      <w:r w:rsidRPr="009754F1">
        <w:t>tests based on oxygen depletion - ≥ 60% theoretical oxygen demand</w:t>
      </w:r>
      <w:r w:rsidR="009754F1">
        <w:t>, or</w:t>
      </w:r>
    </w:p>
    <w:p w14:paraId="18BCE162" w14:textId="77777777" w:rsidR="00EF60EB" w:rsidRPr="009754F1" w:rsidRDefault="00EF60EB" w:rsidP="00EF60EB">
      <w:pPr>
        <w:pStyle w:val="ListParagraph"/>
        <w:numPr>
          <w:ilvl w:val="0"/>
          <w:numId w:val="104"/>
        </w:numPr>
      </w:pPr>
      <w:r>
        <w:t>a t</w:t>
      </w:r>
      <w:r w:rsidRPr="009754F1">
        <w:t>est result from a study on the chemical, conducted following an acceptable test guideline for ready biodegradability</w:t>
      </w:r>
      <w:r>
        <w:t>,</w:t>
      </w:r>
      <w:r w:rsidRPr="009754F1">
        <w:t xml:space="preserve"> which meets at least one of the following degradation pass levels during the period specified in the test method:</w:t>
      </w:r>
    </w:p>
    <w:p w14:paraId="211F33B6" w14:textId="77777777" w:rsidR="00EF60EB" w:rsidRPr="009754F1" w:rsidRDefault="00EF60EB" w:rsidP="00EF60EB">
      <w:pPr>
        <w:pStyle w:val="ListParagraph"/>
        <w:numPr>
          <w:ilvl w:val="1"/>
          <w:numId w:val="104"/>
        </w:numPr>
      </w:pPr>
      <w:r w:rsidRPr="009754F1">
        <w:t>tests based on dissolved organic carbon (DOC) - ≥ 70% DOC removal, or</w:t>
      </w:r>
    </w:p>
    <w:p w14:paraId="450F8F0E" w14:textId="77777777" w:rsidR="00EF60EB" w:rsidRPr="009754F1" w:rsidRDefault="00EF60EB" w:rsidP="00EF60EB">
      <w:pPr>
        <w:pStyle w:val="ListParagraph"/>
        <w:numPr>
          <w:ilvl w:val="1"/>
          <w:numId w:val="104"/>
        </w:numPr>
      </w:pPr>
      <w:r w:rsidRPr="009754F1">
        <w:t xml:space="preserve">tests based on carbon dioxide generation - ≥ 60% theoretical carbon dioxide, or </w:t>
      </w:r>
    </w:p>
    <w:p w14:paraId="00EFDFEF" w14:textId="77777777" w:rsidR="00EF60EB" w:rsidRPr="009754F1" w:rsidRDefault="00EF60EB" w:rsidP="00EF60EB">
      <w:pPr>
        <w:pStyle w:val="ListParagraph"/>
        <w:numPr>
          <w:ilvl w:val="1"/>
          <w:numId w:val="104"/>
        </w:numPr>
        <w:rPr>
          <w:lang w:eastAsia="en-AU"/>
        </w:rPr>
      </w:pPr>
      <w:r w:rsidRPr="009754F1">
        <w:t>tests based on oxygen depletion - ≥ 60% theoretical oxygen demand</w:t>
      </w:r>
      <w:r>
        <w:t>, or</w:t>
      </w:r>
    </w:p>
    <w:p w14:paraId="483086DF" w14:textId="47A49160" w:rsidR="0066735F" w:rsidRDefault="000E7615" w:rsidP="0066735F">
      <w:pPr>
        <w:pStyle w:val="ListParagraph"/>
        <w:numPr>
          <w:ilvl w:val="0"/>
          <w:numId w:val="104"/>
        </w:numPr>
      </w:pPr>
      <w:r>
        <w:t>i</w:t>
      </w:r>
      <w:r w:rsidR="0066735F">
        <w:t>f the chemical is not a highly branched organic chemical</w:t>
      </w:r>
      <w:r w:rsidR="00EF60EB">
        <w:rPr>
          <w:rStyle w:val="FootnoteReference"/>
        </w:rPr>
        <w:footnoteReference w:id="15"/>
      </w:r>
      <w:r w:rsidR="0066735F">
        <w:t xml:space="preserve"> – a test result from a study on the chemical or from suitable read across information, conducted following an acceptable test guideline for transformation in aquatic sediment systems, results in both:</w:t>
      </w:r>
    </w:p>
    <w:p w14:paraId="08B2ED62" w14:textId="77777777" w:rsidR="0066735F" w:rsidRDefault="0066735F" w:rsidP="0066735F">
      <w:pPr>
        <w:pStyle w:val="ListParagraph"/>
        <w:numPr>
          <w:ilvl w:val="1"/>
          <w:numId w:val="104"/>
        </w:numPr>
      </w:pPr>
      <w:r>
        <w:t>a degradation half-life in water of &lt; </w:t>
      </w:r>
      <w:r w:rsidR="00B54126">
        <w:t>2 months</w:t>
      </w:r>
      <w:r>
        <w:t>, and</w:t>
      </w:r>
    </w:p>
    <w:p w14:paraId="5349904F" w14:textId="77777777" w:rsidR="0066735F" w:rsidRDefault="0066735F" w:rsidP="0066735F">
      <w:pPr>
        <w:pStyle w:val="ListParagraph"/>
        <w:numPr>
          <w:ilvl w:val="1"/>
          <w:numId w:val="104"/>
        </w:numPr>
      </w:pPr>
      <w:r>
        <w:t>a degradation half-life in sediment of &lt; 6 months, or</w:t>
      </w:r>
    </w:p>
    <w:p w14:paraId="34F51443" w14:textId="77777777" w:rsidR="0066735F" w:rsidRDefault="00D94051" w:rsidP="0066735F">
      <w:pPr>
        <w:pStyle w:val="ListParagraph"/>
        <w:numPr>
          <w:ilvl w:val="0"/>
          <w:numId w:val="104"/>
        </w:numPr>
      </w:pPr>
      <w:r>
        <w:t>a t</w:t>
      </w:r>
      <w:r w:rsidR="0066735F">
        <w:t>est result from the chemical, conducted following an acceptable test guideline for transformation in aquatic sediment systems, results in both:</w:t>
      </w:r>
    </w:p>
    <w:p w14:paraId="39170FE7" w14:textId="77777777" w:rsidR="0066735F" w:rsidRDefault="0066735F" w:rsidP="0066735F">
      <w:pPr>
        <w:pStyle w:val="ListParagraph"/>
        <w:numPr>
          <w:ilvl w:val="1"/>
          <w:numId w:val="104"/>
        </w:numPr>
      </w:pPr>
      <w:r>
        <w:t>a degradation half-life in water of &lt; </w:t>
      </w:r>
      <w:r w:rsidR="00B54126">
        <w:t>2 months</w:t>
      </w:r>
      <w:r>
        <w:t>, and</w:t>
      </w:r>
    </w:p>
    <w:p w14:paraId="44C9E849" w14:textId="77777777" w:rsidR="0066735F" w:rsidRPr="00DC7FDC" w:rsidRDefault="0066735F" w:rsidP="0066735F">
      <w:pPr>
        <w:pStyle w:val="ListParagraph"/>
        <w:numPr>
          <w:ilvl w:val="1"/>
          <w:numId w:val="104"/>
        </w:numPr>
      </w:pPr>
      <w:r>
        <w:t>a degradation half-life in sediment of &lt; 6 months, or</w:t>
      </w:r>
    </w:p>
    <w:p w14:paraId="10E10A6B" w14:textId="77777777" w:rsidR="00CE669E" w:rsidRPr="009754F1" w:rsidRDefault="00080CBD" w:rsidP="003E3B1D">
      <w:pPr>
        <w:pStyle w:val="ListParagraph"/>
        <w:numPr>
          <w:ilvl w:val="0"/>
          <w:numId w:val="104"/>
        </w:numPr>
      </w:pPr>
      <w:r>
        <w:t>a t</w:t>
      </w:r>
      <w:r w:rsidR="00CE669E" w:rsidRPr="009754F1">
        <w:t>est result from an in vivo study on the chemical or from suitable read-across information, conducted following an acceptable test guideline for bioconcentration, for which the BCF &lt;2,000</w:t>
      </w:r>
      <w:r w:rsidR="009754F1">
        <w:t>, or</w:t>
      </w:r>
      <w:r w:rsidR="00CE669E" w:rsidRPr="009754F1">
        <w:t xml:space="preserve">  </w:t>
      </w:r>
    </w:p>
    <w:p w14:paraId="245972CE" w14:textId="77777777" w:rsidR="00CE669E" w:rsidRDefault="004D2CD1" w:rsidP="003E3B1D">
      <w:pPr>
        <w:pStyle w:val="ListParagraph"/>
        <w:numPr>
          <w:ilvl w:val="0"/>
          <w:numId w:val="104"/>
        </w:numPr>
        <w:rPr>
          <w:lang w:eastAsia="en-AU"/>
        </w:rPr>
      </w:pPr>
      <w:r>
        <w:t>a t</w:t>
      </w:r>
      <w:r w:rsidR="00CE669E" w:rsidRPr="009754F1">
        <w:t>est result from an in vivo study on the chemical or from suitable read-across information, conducted following an acceptable test guideline for bioaccumulation, for which the BAF &lt;2,000</w:t>
      </w:r>
      <w:r w:rsidR="009754F1">
        <w:t>.</w:t>
      </w:r>
      <w:r w:rsidR="00CE669E" w:rsidRPr="009754F1">
        <w:t xml:space="preserve"> </w:t>
      </w:r>
    </w:p>
    <w:p w14:paraId="16960AB3" w14:textId="77777777" w:rsidR="00633E3F" w:rsidRPr="009754F1" w:rsidRDefault="00E46279" w:rsidP="00E46279">
      <w:pPr>
        <w:spacing w:before="0" w:after="200" w:line="276" w:lineRule="auto"/>
        <w:rPr>
          <w:lang w:eastAsia="en-AU"/>
        </w:rPr>
      </w:pPr>
      <w:r>
        <w:rPr>
          <w:lang w:eastAsia="en-AU"/>
        </w:rPr>
        <w:br w:type="page"/>
      </w:r>
    </w:p>
    <w:p w14:paraId="152541E8" w14:textId="77777777" w:rsidR="001605C7" w:rsidRDefault="001605C7" w:rsidP="001605C7">
      <w:pPr>
        <w:pStyle w:val="Heading2"/>
      </w:pPr>
      <w:bookmarkStart w:id="46" w:name="_Toc43890230"/>
      <w:r>
        <w:lastRenderedPageBreak/>
        <w:t>Toxic to any aquatic life – Environment hazard band B</w:t>
      </w:r>
      <w:bookmarkEnd w:id="46"/>
    </w:p>
    <w:p w14:paraId="515E22B1" w14:textId="77777777" w:rsidR="001605C7" w:rsidRDefault="00877BCF" w:rsidP="00713CCD">
      <w:pPr>
        <w:pStyle w:val="Heading3"/>
        <w:ind w:left="709"/>
      </w:pPr>
      <w:r>
        <w:t xml:space="preserve">Clause </w:t>
      </w:r>
      <w:r w:rsidR="001605C7">
        <w:t xml:space="preserve">4 of Part 2, Schedule 1 </w:t>
      </w:r>
      <w:r w:rsidR="003D2782">
        <w:t xml:space="preserve">to </w:t>
      </w:r>
      <w:r w:rsidR="001605C7">
        <w:t xml:space="preserve">the </w:t>
      </w:r>
      <w:r w:rsidR="009547E9">
        <w:t>IC General Rules</w:t>
      </w:r>
      <w:r w:rsidR="001605C7">
        <w:t xml:space="preserve"> </w:t>
      </w:r>
    </w:p>
    <w:p w14:paraId="2365D019" w14:textId="77777777" w:rsidR="001605C7" w:rsidRDefault="001605C7" w:rsidP="00713CCD">
      <w:pPr>
        <w:rPr>
          <w:rStyle w:val="normaltextrun"/>
          <w:color w:val="000000"/>
          <w:shd w:val="clear" w:color="auto" w:fill="FFFFFF"/>
        </w:rPr>
      </w:pPr>
      <w:r>
        <w:rPr>
          <w:rStyle w:val="normaltextrun"/>
          <w:color w:val="000000"/>
          <w:shd w:val="clear" w:color="auto" w:fill="FFFFFF"/>
        </w:rPr>
        <w:t xml:space="preserve">For the purposes of table item 8 of </w:t>
      </w:r>
      <w:r w:rsidR="003D2782">
        <w:rPr>
          <w:rStyle w:val="normaltextrun"/>
          <w:color w:val="000000"/>
          <w:shd w:val="clear" w:color="auto" w:fill="FFFFFF"/>
        </w:rPr>
        <w:t xml:space="preserve">Clause 4, </w:t>
      </w:r>
      <w:r>
        <w:rPr>
          <w:rStyle w:val="normaltextrun"/>
          <w:color w:val="000000"/>
          <w:shd w:val="clear" w:color="auto" w:fill="FFFFFF"/>
        </w:rPr>
        <w:t xml:space="preserve">Part 2, Schedule 1 of </w:t>
      </w:r>
      <w:r w:rsidR="0062271E">
        <w:rPr>
          <w:rStyle w:val="normaltextrun"/>
          <w:color w:val="000000"/>
          <w:shd w:val="clear" w:color="auto" w:fill="FFFFFF"/>
        </w:rPr>
        <w:t>the IC General Rules</w:t>
      </w:r>
      <w:r>
        <w:rPr>
          <w:rStyle w:val="normaltextrun"/>
          <w:color w:val="000000"/>
          <w:shd w:val="clear" w:color="auto" w:fill="FFFFFF"/>
        </w:rPr>
        <w:t>:</w:t>
      </w:r>
    </w:p>
    <w:p w14:paraId="13ED02DC" w14:textId="77777777" w:rsidR="001605C7" w:rsidRDefault="001605C7" w:rsidP="00713CCD">
      <w:pPr>
        <w:rPr>
          <w:rStyle w:val="eop"/>
          <w:color w:val="000000"/>
          <w:shd w:val="clear" w:color="auto" w:fill="FFFFFF"/>
        </w:rPr>
      </w:pPr>
      <w:r w:rsidRPr="003D2782">
        <w:rPr>
          <w:rStyle w:val="normaltextrun"/>
          <w:b/>
          <w:color w:val="000000"/>
          <w:shd w:val="clear" w:color="auto" w:fill="FFFFFF"/>
        </w:rPr>
        <w:t>Toxic to any aquatic life</w:t>
      </w:r>
      <w:r>
        <w:rPr>
          <w:rStyle w:val="normaltextrun"/>
          <w:color w:val="000000"/>
          <w:shd w:val="clear" w:color="auto" w:fill="FFFFFF"/>
        </w:rPr>
        <w:t xml:space="preserve"> means that any of the following apply to the industrial chemical:</w:t>
      </w:r>
      <w:r>
        <w:rPr>
          <w:rStyle w:val="eop"/>
          <w:color w:val="000000"/>
          <w:shd w:val="clear" w:color="auto" w:fill="FFFFFF"/>
        </w:rPr>
        <w:t> </w:t>
      </w:r>
    </w:p>
    <w:p w14:paraId="0693791C" w14:textId="77777777" w:rsidR="001605C7" w:rsidRDefault="001605C7" w:rsidP="003E3B1D">
      <w:pPr>
        <w:pStyle w:val="ListParagraph"/>
        <w:numPr>
          <w:ilvl w:val="0"/>
          <w:numId w:val="105"/>
        </w:numPr>
        <w:rPr>
          <w:lang w:eastAsia="en-AU"/>
        </w:rPr>
      </w:pPr>
      <w:r>
        <w:rPr>
          <w:lang w:eastAsia="en-AU"/>
        </w:rPr>
        <w:t>the chemical is known to cause:</w:t>
      </w:r>
    </w:p>
    <w:p w14:paraId="6299C9B6" w14:textId="77777777" w:rsidR="001605C7" w:rsidRPr="00713CCD" w:rsidRDefault="001605C7" w:rsidP="003E3B1D">
      <w:pPr>
        <w:pStyle w:val="ListParagraph"/>
        <w:numPr>
          <w:ilvl w:val="1"/>
          <w:numId w:val="105"/>
        </w:numPr>
        <w:rPr>
          <w:rFonts w:cstheme="minorHAnsi"/>
          <w:color w:val="262626"/>
          <w:lang w:val="en"/>
        </w:rPr>
      </w:pPr>
      <w:r w:rsidRPr="00713CCD">
        <w:rPr>
          <w:rFonts w:cstheme="minorHAnsi"/>
          <w:color w:val="262626"/>
          <w:lang w:val="en"/>
        </w:rPr>
        <w:t xml:space="preserve">toxic injury to an organism following short term aquatic exposure </w:t>
      </w:r>
      <w:r w:rsidR="0025750F" w:rsidRPr="00713CCD">
        <w:rPr>
          <w:rFonts w:cstheme="minorHAnsi"/>
          <w:color w:val="262626"/>
          <w:lang w:val="en"/>
        </w:rPr>
        <w:t>as described in chapter 4.1 of the GHS, with the chemical classified as acute aquatic toxicity (category 2)</w:t>
      </w:r>
      <w:r w:rsidR="00085E5A">
        <w:rPr>
          <w:rFonts w:cstheme="minorHAnsi"/>
          <w:color w:val="262626"/>
          <w:lang w:val="en"/>
        </w:rPr>
        <w:t>,</w:t>
      </w:r>
      <w:r w:rsidR="0025750F" w:rsidRPr="00713CCD">
        <w:rPr>
          <w:rFonts w:cstheme="minorHAnsi"/>
          <w:color w:val="262626"/>
          <w:lang w:val="en"/>
        </w:rPr>
        <w:t xml:space="preserve"> </w:t>
      </w:r>
      <w:r w:rsidRPr="00713CCD">
        <w:rPr>
          <w:rFonts w:cstheme="minorHAnsi"/>
          <w:color w:val="262626"/>
          <w:lang w:val="en"/>
        </w:rPr>
        <w:t>or</w:t>
      </w:r>
    </w:p>
    <w:p w14:paraId="40DC4134" w14:textId="77777777" w:rsidR="001605C7" w:rsidRPr="00713CCD" w:rsidRDefault="001605C7" w:rsidP="003E3B1D">
      <w:pPr>
        <w:pStyle w:val="ListParagraph"/>
        <w:numPr>
          <w:ilvl w:val="1"/>
          <w:numId w:val="105"/>
        </w:numPr>
        <w:rPr>
          <w:rFonts w:cstheme="minorHAnsi"/>
          <w:color w:val="262626"/>
          <w:lang w:val="en"/>
        </w:rPr>
      </w:pPr>
      <w:r w:rsidRPr="00713CCD">
        <w:rPr>
          <w:rFonts w:cstheme="minorHAnsi"/>
          <w:color w:val="262626"/>
          <w:lang w:val="en"/>
        </w:rPr>
        <w:t>adverse effects to an organism during aquatic exposures determined in relation to the life-cycle of the organism, as described in chapter 4.1 of the GHS, with the chemical classified as</w:t>
      </w:r>
      <w:r w:rsidR="0025750F" w:rsidRPr="00713CCD">
        <w:rPr>
          <w:rFonts w:cstheme="minorHAnsi"/>
          <w:color w:val="262626"/>
          <w:lang w:val="en"/>
        </w:rPr>
        <w:t xml:space="preserve"> chronic aquatic toxicity (category 2)</w:t>
      </w:r>
      <w:r w:rsidR="0042358D">
        <w:rPr>
          <w:rFonts w:cstheme="minorHAnsi"/>
          <w:color w:val="262626"/>
          <w:lang w:val="en"/>
        </w:rPr>
        <w:t>, or</w:t>
      </w:r>
      <w:r w:rsidRPr="00713CCD">
        <w:rPr>
          <w:rFonts w:cstheme="minorHAnsi"/>
          <w:color w:val="262626"/>
          <w:lang w:val="en"/>
        </w:rPr>
        <w:t xml:space="preserve"> </w:t>
      </w:r>
    </w:p>
    <w:p w14:paraId="5CBE4BEB" w14:textId="77777777" w:rsidR="002331CE" w:rsidRPr="00713CCD" w:rsidRDefault="002331CE" w:rsidP="003E3B1D">
      <w:pPr>
        <w:pStyle w:val="ListParagraph"/>
        <w:numPr>
          <w:ilvl w:val="0"/>
          <w:numId w:val="105"/>
        </w:numPr>
        <w:rPr>
          <w:rFonts w:cstheme="minorHAnsi"/>
          <w:color w:val="262626"/>
          <w:lang w:val="en"/>
        </w:rPr>
      </w:pPr>
      <w:r w:rsidRPr="00713CCD">
        <w:rPr>
          <w:rFonts w:cstheme="minorHAnsi"/>
          <w:color w:val="262626"/>
          <w:lang w:val="en"/>
        </w:rPr>
        <w:t>an in vivo a</w:t>
      </w:r>
      <w:r w:rsidR="00882521" w:rsidRPr="00713CCD">
        <w:rPr>
          <w:rFonts w:cstheme="minorHAnsi"/>
          <w:color w:val="262626"/>
          <w:lang w:val="en"/>
        </w:rPr>
        <w:t>cute study on the chemical</w:t>
      </w:r>
      <w:r w:rsidRPr="00713CCD">
        <w:rPr>
          <w:rFonts w:cstheme="minorHAnsi"/>
          <w:color w:val="262626"/>
          <w:lang w:val="en"/>
        </w:rPr>
        <w:t xml:space="preserve">: </w:t>
      </w:r>
    </w:p>
    <w:p w14:paraId="0B736305" w14:textId="10F8BED4"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conducted following an acceptable test guideline for acute toxicity to fish results in a 96h LC50 </w:t>
      </w:r>
      <w:r w:rsidR="009C369F" w:rsidRPr="00713CCD">
        <w:rPr>
          <w:rFonts w:cstheme="minorHAnsi"/>
          <w:color w:val="262626"/>
          <w:lang w:val="en"/>
        </w:rPr>
        <w:t>&gt;1mg/L but ≤10mg/L</w:t>
      </w:r>
      <w:r w:rsidR="00085E5A">
        <w:rPr>
          <w:rFonts w:cstheme="minorHAnsi"/>
          <w:color w:val="262626"/>
          <w:lang w:val="en"/>
        </w:rPr>
        <w:t>,</w:t>
      </w:r>
      <w:r w:rsidRPr="00713CCD">
        <w:rPr>
          <w:rFonts w:cstheme="minorHAnsi"/>
          <w:color w:val="262626"/>
          <w:lang w:val="en"/>
        </w:rPr>
        <w:t xml:space="preserve"> or</w:t>
      </w:r>
    </w:p>
    <w:p w14:paraId="64AA78D4" w14:textId="1832BE6F"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conducted following an acceptable test guideline for acute toxicity to invertebrates results in a 48h EC50 </w:t>
      </w:r>
      <w:r w:rsidR="009C369F" w:rsidRPr="00713CCD">
        <w:rPr>
          <w:rFonts w:cstheme="minorHAnsi"/>
          <w:color w:val="262626"/>
          <w:lang w:val="en"/>
        </w:rPr>
        <w:t>&gt;1mg/L but ≤10mg/L</w:t>
      </w:r>
      <w:r w:rsidR="00085E5A">
        <w:rPr>
          <w:rFonts w:cstheme="minorHAnsi"/>
          <w:color w:val="262626"/>
          <w:lang w:val="en"/>
        </w:rPr>
        <w:t>,</w:t>
      </w:r>
      <w:r w:rsidRPr="00713CCD">
        <w:rPr>
          <w:rFonts w:cstheme="minorHAnsi"/>
          <w:color w:val="262626"/>
          <w:lang w:val="en"/>
        </w:rPr>
        <w:t xml:space="preserve"> or</w:t>
      </w:r>
    </w:p>
    <w:p w14:paraId="7AEA37D3" w14:textId="2A390B1F"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conducted following an acceptable test guideline for acute toxicity to algae or other aquatic plants results in a 72 or 96h ErC50 </w:t>
      </w:r>
      <w:r w:rsidR="009C369F" w:rsidRPr="00713CCD">
        <w:rPr>
          <w:rFonts w:cstheme="minorHAnsi"/>
          <w:color w:val="262626"/>
          <w:lang w:val="en"/>
        </w:rPr>
        <w:t>&gt;1mg/L but ≤10mg/L</w:t>
      </w:r>
      <w:r w:rsidR="0042358D">
        <w:rPr>
          <w:rFonts w:cstheme="minorHAnsi"/>
          <w:color w:val="262626"/>
          <w:lang w:val="en"/>
        </w:rPr>
        <w:t>, or</w:t>
      </w:r>
    </w:p>
    <w:p w14:paraId="066C9F8E" w14:textId="77777777" w:rsidR="002331CE" w:rsidRPr="00713CCD" w:rsidRDefault="002331CE" w:rsidP="003E3B1D">
      <w:pPr>
        <w:pStyle w:val="ListParagraph"/>
        <w:numPr>
          <w:ilvl w:val="0"/>
          <w:numId w:val="105"/>
        </w:numPr>
        <w:rPr>
          <w:rFonts w:cstheme="minorHAnsi"/>
          <w:color w:val="262626"/>
          <w:lang w:val="en"/>
        </w:rPr>
      </w:pPr>
      <w:r w:rsidRPr="00713CCD">
        <w:rPr>
          <w:rFonts w:cstheme="minorHAnsi"/>
          <w:color w:val="262626"/>
          <w:lang w:val="en"/>
        </w:rPr>
        <w:t xml:space="preserve">an in vivo chronic </w:t>
      </w:r>
      <w:r w:rsidR="009C369F" w:rsidRPr="00713CCD">
        <w:rPr>
          <w:rFonts w:cstheme="minorHAnsi"/>
          <w:color w:val="262626"/>
          <w:lang w:val="en"/>
        </w:rPr>
        <w:t>study</w:t>
      </w:r>
      <w:r w:rsidRPr="00713CCD">
        <w:rPr>
          <w:rFonts w:cstheme="minorHAnsi"/>
          <w:color w:val="262626"/>
          <w:lang w:val="en"/>
        </w:rPr>
        <w:t xml:space="preserve"> on the chemical conducted following an acceptable test guideline for chronic toxicity to fish, chronic toxicity to invertebrates, or chronic toxicity to algae or other aquatic plants results in a: </w:t>
      </w:r>
    </w:p>
    <w:p w14:paraId="1031AE7B" w14:textId="77777777"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NOEC or EC</w:t>
      </w:r>
      <w:r w:rsidR="00CC2997" w:rsidRPr="00CC2997">
        <w:rPr>
          <w:rFonts w:cstheme="minorHAnsi"/>
          <w:color w:val="262626"/>
          <w:vertAlign w:val="subscript"/>
          <w:lang w:val="en"/>
        </w:rPr>
        <w:t>10</w:t>
      </w:r>
      <w:r w:rsidRPr="00713CCD">
        <w:rPr>
          <w:rFonts w:cstheme="minorHAnsi"/>
          <w:color w:val="262626"/>
          <w:lang w:val="en"/>
        </w:rPr>
        <w:t xml:space="preserve"> </w:t>
      </w:r>
      <w:r w:rsidR="009C369F" w:rsidRPr="00713CCD">
        <w:rPr>
          <w:rFonts w:cstheme="minorHAnsi"/>
          <w:color w:val="262626"/>
          <w:lang w:val="en"/>
        </w:rPr>
        <w:t xml:space="preserve">&gt;0.1mg/L but ≤1mg/L </w:t>
      </w:r>
      <w:r w:rsidRPr="00713CCD">
        <w:rPr>
          <w:rFonts w:cstheme="minorHAnsi"/>
          <w:color w:val="262626"/>
          <w:lang w:val="en"/>
        </w:rPr>
        <w:t>(for chemicals that are not readily biodegradable), or</w:t>
      </w:r>
    </w:p>
    <w:p w14:paraId="5CFF5862" w14:textId="77777777" w:rsidR="002331CE" w:rsidRPr="00713CCD" w:rsidRDefault="00CC2997" w:rsidP="003E3B1D">
      <w:pPr>
        <w:pStyle w:val="ListParagraph"/>
        <w:numPr>
          <w:ilvl w:val="1"/>
          <w:numId w:val="105"/>
        </w:numPr>
        <w:rPr>
          <w:rFonts w:cstheme="minorHAnsi"/>
          <w:color w:val="262626"/>
          <w:lang w:val="en"/>
        </w:rPr>
      </w:pPr>
      <w:r>
        <w:rPr>
          <w:rFonts w:cstheme="minorHAnsi"/>
          <w:color w:val="262626"/>
          <w:lang w:val="en"/>
        </w:rPr>
        <w:t>NOEC or EC</w:t>
      </w:r>
      <w:r w:rsidRPr="00CC2997">
        <w:rPr>
          <w:rFonts w:cstheme="minorHAnsi"/>
          <w:color w:val="262626"/>
          <w:vertAlign w:val="subscript"/>
          <w:lang w:val="en"/>
        </w:rPr>
        <w:t>10</w:t>
      </w:r>
      <w:r w:rsidR="002331CE" w:rsidRPr="00713CCD">
        <w:rPr>
          <w:rFonts w:cstheme="minorHAnsi"/>
          <w:color w:val="262626"/>
          <w:lang w:val="en"/>
        </w:rPr>
        <w:t xml:space="preserve"> </w:t>
      </w:r>
      <w:r w:rsidR="009C369F" w:rsidRPr="00713CCD">
        <w:rPr>
          <w:rFonts w:cstheme="minorHAnsi"/>
          <w:color w:val="262626"/>
          <w:lang w:val="en"/>
        </w:rPr>
        <w:t xml:space="preserve">&gt;0.01mg/L but ≤0.1mg/L </w:t>
      </w:r>
      <w:r w:rsidR="002331CE" w:rsidRPr="00713CCD">
        <w:rPr>
          <w:rFonts w:cstheme="minorHAnsi"/>
          <w:color w:val="262626"/>
          <w:lang w:val="en"/>
        </w:rPr>
        <w:t>(for chemicals that are readily biodegradable)</w:t>
      </w:r>
      <w:r w:rsidR="00AC17D1">
        <w:rPr>
          <w:rFonts w:cstheme="minorHAnsi"/>
          <w:color w:val="262626"/>
          <w:lang w:val="en"/>
        </w:rPr>
        <w:t>, or</w:t>
      </w:r>
    </w:p>
    <w:p w14:paraId="4AEE8E2E" w14:textId="77777777" w:rsidR="002331CE" w:rsidRPr="00713CCD" w:rsidRDefault="002331CE" w:rsidP="003E3B1D">
      <w:pPr>
        <w:pStyle w:val="ListParagraph"/>
        <w:numPr>
          <w:ilvl w:val="0"/>
          <w:numId w:val="105"/>
        </w:numPr>
        <w:rPr>
          <w:rFonts w:cstheme="minorHAnsi"/>
          <w:color w:val="262626"/>
          <w:lang w:val="en"/>
        </w:rPr>
      </w:pPr>
      <w:r w:rsidRPr="00713CCD">
        <w:rPr>
          <w:rFonts w:cstheme="minorHAnsi"/>
          <w:color w:val="262626"/>
          <w:lang w:val="en"/>
        </w:rPr>
        <w:t xml:space="preserve">a suitable in silico prediction for acute aquatic toxicity results in a prediction of:  </w:t>
      </w:r>
    </w:p>
    <w:p w14:paraId="3CD147BD" w14:textId="77777777"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for fish - 96h LC50 </w:t>
      </w:r>
      <w:r w:rsidR="009C369F" w:rsidRPr="00713CCD">
        <w:rPr>
          <w:rFonts w:cstheme="minorHAnsi"/>
          <w:color w:val="262626"/>
          <w:lang w:val="en"/>
        </w:rPr>
        <w:t>&gt;1mg/L but ≤10mg/L</w:t>
      </w:r>
      <w:r w:rsidR="0065630A">
        <w:rPr>
          <w:rFonts w:cstheme="minorHAnsi"/>
          <w:color w:val="262626"/>
          <w:lang w:val="en"/>
        </w:rPr>
        <w:t>,</w:t>
      </w:r>
      <w:r w:rsidRPr="00713CCD">
        <w:rPr>
          <w:rFonts w:cstheme="minorHAnsi"/>
          <w:color w:val="262626"/>
          <w:lang w:val="en"/>
        </w:rPr>
        <w:t xml:space="preserve"> or</w:t>
      </w:r>
    </w:p>
    <w:p w14:paraId="43B9ED02" w14:textId="77777777" w:rsidR="002331CE"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for invertebrates - 48h EC50 </w:t>
      </w:r>
      <w:r w:rsidR="009C369F" w:rsidRPr="00713CCD">
        <w:rPr>
          <w:rFonts w:cstheme="minorHAnsi"/>
          <w:color w:val="262626"/>
          <w:lang w:val="en"/>
        </w:rPr>
        <w:t>&gt;1mg/L but ≤10mg/L</w:t>
      </w:r>
      <w:r w:rsidR="0065630A">
        <w:rPr>
          <w:rFonts w:cstheme="minorHAnsi"/>
          <w:color w:val="262626"/>
          <w:lang w:val="en"/>
        </w:rPr>
        <w:t>,</w:t>
      </w:r>
      <w:r w:rsidRPr="00713CCD">
        <w:rPr>
          <w:rFonts w:cstheme="minorHAnsi"/>
          <w:color w:val="262626"/>
          <w:lang w:val="en"/>
        </w:rPr>
        <w:t xml:space="preserve"> or</w:t>
      </w:r>
    </w:p>
    <w:p w14:paraId="4EC64D47" w14:textId="77777777" w:rsidR="00713CCD" w:rsidRPr="00713CCD" w:rsidRDefault="002331CE" w:rsidP="003E3B1D">
      <w:pPr>
        <w:pStyle w:val="ListParagraph"/>
        <w:numPr>
          <w:ilvl w:val="1"/>
          <w:numId w:val="105"/>
        </w:numPr>
        <w:rPr>
          <w:rFonts w:cstheme="minorHAnsi"/>
          <w:color w:val="262626"/>
          <w:lang w:val="en"/>
        </w:rPr>
      </w:pPr>
      <w:r w:rsidRPr="00713CCD">
        <w:rPr>
          <w:rFonts w:cstheme="minorHAnsi"/>
          <w:color w:val="262626"/>
          <w:lang w:val="en"/>
        </w:rPr>
        <w:t xml:space="preserve">for algae or other aquatic plants - 72 or 96h ErC50 </w:t>
      </w:r>
      <w:r w:rsidR="009C369F" w:rsidRPr="00713CCD">
        <w:rPr>
          <w:rFonts w:cstheme="minorHAnsi"/>
          <w:color w:val="262626"/>
          <w:lang w:val="en"/>
        </w:rPr>
        <w:t>&gt;1mg/L but ≤10mg/L</w:t>
      </w:r>
      <w:r w:rsidR="00AC17D1">
        <w:rPr>
          <w:rFonts w:cstheme="minorHAnsi"/>
          <w:color w:val="262626"/>
          <w:lang w:val="en"/>
        </w:rPr>
        <w:t>, or</w:t>
      </w:r>
    </w:p>
    <w:p w14:paraId="288F77AF" w14:textId="77777777" w:rsidR="002331CE" w:rsidRPr="00713CCD" w:rsidRDefault="002331CE" w:rsidP="003320C7">
      <w:pPr>
        <w:pStyle w:val="ListParagraph"/>
        <w:numPr>
          <w:ilvl w:val="0"/>
          <w:numId w:val="0"/>
        </w:numPr>
        <w:ind w:left="720"/>
        <w:rPr>
          <w:rFonts w:cstheme="minorHAnsi"/>
          <w:color w:val="262626"/>
          <w:lang w:val="en"/>
        </w:rPr>
      </w:pPr>
      <w:r w:rsidRPr="00713CCD">
        <w:rPr>
          <w:rFonts w:cstheme="minorHAnsi"/>
          <w:color w:val="262626"/>
          <w:lang w:val="en"/>
        </w:rPr>
        <w:t xml:space="preserve">and the predictions have not been negated </w:t>
      </w:r>
      <w:r w:rsidR="00876871">
        <w:rPr>
          <w:rFonts w:cstheme="minorHAnsi"/>
          <w:color w:val="262626"/>
          <w:lang w:val="en"/>
        </w:rPr>
        <w:t xml:space="preserve">by </w:t>
      </w:r>
      <w:r w:rsidRPr="00713CCD">
        <w:rPr>
          <w:rFonts w:cstheme="minorHAnsi"/>
          <w:color w:val="262626"/>
          <w:lang w:val="en"/>
        </w:rPr>
        <w:t>in vivo studies conducted on the chemical for aquatic toxicity.</w:t>
      </w:r>
    </w:p>
    <w:p w14:paraId="22EF34B7" w14:textId="77777777" w:rsidR="00F40794" w:rsidRDefault="004F2F43" w:rsidP="00F1681A">
      <w:pPr>
        <w:pStyle w:val="Heading3"/>
        <w:ind w:left="709"/>
      </w:pPr>
      <w:r>
        <w:t>Section 30</w:t>
      </w:r>
      <w:r w:rsidR="00F40794">
        <w:t xml:space="preserve"> of the </w:t>
      </w:r>
      <w:r w:rsidR="009547E9">
        <w:t>IC General Rules</w:t>
      </w:r>
      <w:r w:rsidR="00F40794">
        <w:t xml:space="preserve"> - Information required to demonstrate the absence of hazard characteristics  </w:t>
      </w:r>
    </w:p>
    <w:p w14:paraId="4DC6168A" w14:textId="77777777" w:rsidR="00F1681A" w:rsidRDefault="00F40794" w:rsidP="00F1681A">
      <w:pPr>
        <w:rPr>
          <w:lang w:eastAsia="en-AU"/>
        </w:rPr>
      </w:pPr>
      <w:r>
        <w:rPr>
          <w:lang w:eastAsia="en-AU"/>
        </w:rPr>
        <w:t xml:space="preserve">For the purposes of </w:t>
      </w:r>
      <w:r w:rsidR="0065630A">
        <w:t xml:space="preserve">subparagraph </w:t>
      </w:r>
      <w:r w:rsidR="004F2F43">
        <w:t xml:space="preserve">30(2)(c)(iv) of the IC General Rules, </w:t>
      </w:r>
      <w:r>
        <w:rPr>
          <w:lang w:eastAsia="en-AU"/>
        </w:rPr>
        <w:t>the information required to demonstrate that a chemical does not have the hazard characteristic,</w:t>
      </w:r>
      <w:r w:rsidRPr="00D52C32">
        <w:rPr>
          <w:lang w:eastAsia="en-AU"/>
        </w:rPr>
        <w:t xml:space="preserve"> </w:t>
      </w:r>
      <w:r w:rsidRPr="00320079">
        <w:rPr>
          <w:b/>
          <w:lang w:eastAsia="en-AU"/>
        </w:rPr>
        <w:t>toxic to any aquatic life</w:t>
      </w:r>
      <w:r w:rsidR="004F2F43">
        <w:rPr>
          <w:lang w:eastAsia="en-AU"/>
        </w:rPr>
        <w:t>,</w:t>
      </w:r>
      <w:r w:rsidR="002C3A80">
        <w:rPr>
          <w:lang w:eastAsia="en-AU"/>
        </w:rPr>
        <w:t xml:space="preserve"> is at least one of the following:</w:t>
      </w:r>
      <w:r>
        <w:rPr>
          <w:lang w:eastAsia="en-AU"/>
        </w:rPr>
        <w:t xml:space="preserve"> </w:t>
      </w:r>
    </w:p>
    <w:p w14:paraId="435B7F9A" w14:textId="77777777" w:rsidR="002C3A80" w:rsidRPr="001A424A" w:rsidRDefault="00B36F8C" w:rsidP="003E3B1D">
      <w:pPr>
        <w:pStyle w:val="ListParagraph"/>
        <w:numPr>
          <w:ilvl w:val="0"/>
          <w:numId w:val="106"/>
        </w:numPr>
        <w:rPr>
          <w:lang w:eastAsia="en-AU"/>
        </w:rPr>
      </w:pPr>
      <w:r>
        <w:t>i</w:t>
      </w:r>
      <w:r w:rsidR="002C3A80">
        <w:t xml:space="preserve">nformation that </w:t>
      </w:r>
      <w:r w:rsidR="006D0D17">
        <w:t>demonstrates</w:t>
      </w:r>
      <w:r w:rsidR="002C3A80">
        <w:t xml:space="preserve"> that the chemical has a molecular weight </w:t>
      </w:r>
      <w:r w:rsidR="002C3A80" w:rsidRPr="00F1681A">
        <w:rPr>
          <w:rFonts w:cstheme="minorHAnsi"/>
          <w:color w:val="262626"/>
          <w:lang w:val="en"/>
        </w:rPr>
        <w:t>&gt;1,000g/mol and has a low cationic density, or</w:t>
      </w:r>
    </w:p>
    <w:p w14:paraId="283B1E20" w14:textId="77777777" w:rsidR="002C3A80" w:rsidRPr="00C9746F" w:rsidRDefault="00B36F8C" w:rsidP="003E3B1D">
      <w:pPr>
        <w:pStyle w:val="ListParagraph"/>
        <w:numPr>
          <w:ilvl w:val="0"/>
          <w:numId w:val="106"/>
        </w:numPr>
      </w:pPr>
      <w:r>
        <w:rPr>
          <w:rFonts w:cstheme="minorHAnsi"/>
          <w:color w:val="262626"/>
          <w:lang w:val="en"/>
        </w:rPr>
        <w:t>i</w:t>
      </w:r>
      <w:r w:rsidR="002C3A80" w:rsidRPr="00F1681A">
        <w:rPr>
          <w:rFonts w:cstheme="minorHAnsi"/>
          <w:color w:val="262626"/>
          <w:lang w:val="en"/>
        </w:rPr>
        <w:t xml:space="preserve">nformation that </w:t>
      </w:r>
      <w:r w:rsidR="006D0D17">
        <w:rPr>
          <w:rFonts w:cstheme="minorHAnsi"/>
          <w:color w:val="262626"/>
          <w:lang w:val="en"/>
        </w:rPr>
        <w:t>demonstrates</w:t>
      </w:r>
      <w:r w:rsidR="002C3A80" w:rsidRPr="00F1681A">
        <w:rPr>
          <w:rFonts w:cstheme="minorHAnsi"/>
          <w:color w:val="262626"/>
          <w:lang w:val="en"/>
        </w:rPr>
        <w:t xml:space="preserve"> that the chemical is a high molecular weight polymer that has a low cationic density, or</w:t>
      </w:r>
    </w:p>
    <w:p w14:paraId="7EFF69AB" w14:textId="77777777" w:rsidR="00C9746F" w:rsidRPr="001517CA" w:rsidRDefault="00B36F8C" w:rsidP="003E3B1D">
      <w:pPr>
        <w:pStyle w:val="ListParagraph"/>
        <w:numPr>
          <w:ilvl w:val="0"/>
          <w:numId w:val="106"/>
        </w:numPr>
      </w:pPr>
      <w:r>
        <w:lastRenderedPageBreak/>
        <w:t>i</w:t>
      </w:r>
      <w:r w:rsidR="00C9746F">
        <w:t xml:space="preserve">nformation that </w:t>
      </w:r>
      <w:r w:rsidR="006D0D17">
        <w:t>demonstrates</w:t>
      </w:r>
      <w:r w:rsidR="00C9746F">
        <w:t xml:space="preserve"> that the chemical is a substance covered by Entry 9 of Annex V </w:t>
      </w:r>
      <w:r w:rsidR="00A622DF">
        <w:t xml:space="preserve">of </w:t>
      </w:r>
      <w:r w:rsidR="00C9746F">
        <w:t>the REACH Regulation, or</w:t>
      </w:r>
    </w:p>
    <w:p w14:paraId="2785C03B" w14:textId="11741D80" w:rsidR="002C3A80" w:rsidRPr="00D60E0C" w:rsidRDefault="00B36F8C" w:rsidP="003E3B1D">
      <w:pPr>
        <w:pStyle w:val="ListParagraph"/>
        <w:numPr>
          <w:ilvl w:val="0"/>
          <w:numId w:val="106"/>
        </w:numPr>
      </w:pPr>
      <w:r w:rsidRPr="2F7D7CB0">
        <w:rPr>
          <w:color w:val="262626"/>
          <w:lang w:val="en"/>
        </w:rPr>
        <w:t>i</w:t>
      </w:r>
      <w:r w:rsidR="002C3A80" w:rsidRPr="2F7D7CB0">
        <w:rPr>
          <w:color w:val="262626"/>
          <w:lang w:val="en"/>
        </w:rPr>
        <w:t xml:space="preserve">f the chemical is not a biocidal active </w:t>
      </w:r>
      <w:r w:rsidR="00BB12B3" w:rsidRPr="2F7D7CB0">
        <w:rPr>
          <w:color w:val="262626"/>
          <w:lang w:val="en"/>
        </w:rPr>
        <w:t>and not a persistent,</w:t>
      </w:r>
      <w:r w:rsidR="002C3A80" w:rsidRPr="2F7D7CB0">
        <w:rPr>
          <w:color w:val="262626"/>
          <w:lang w:val="en"/>
        </w:rPr>
        <w:t xml:space="preserve"> highly branched </w:t>
      </w:r>
      <w:r w:rsidR="008F3A38" w:rsidRPr="18BCD895">
        <w:rPr>
          <w:color w:val="000000" w:themeColor="text1"/>
          <w:lang w:val="en"/>
        </w:rPr>
        <w:t xml:space="preserve">organic </w:t>
      </w:r>
      <w:r w:rsidR="002C3A80" w:rsidRPr="2F7D7CB0">
        <w:rPr>
          <w:color w:val="262626"/>
          <w:lang w:val="en"/>
        </w:rPr>
        <w:t>chemical</w:t>
      </w:r>
      <w:r w:rsidR="001E5368">
        <w:rPr>
          <w:rStyle w:val="FootnoteReference"/>
          <w:rFonts w:cstheme="minorHAnsi"/>
          <w:color w:val="262626"/>
          <w:lang w:val="en"/>
        </w:rPr>
        <w:footnoteReference w:id="16"/>
      </w:r>
      <w:r w:rsidR="002C3A80" w:rsidRPr="2F7D7CB0">
        <w:rPr>
          <w:color w:val="262626"/>
          <w:lang w:val="en"/>
        </w:rPr>
        <w:t xml:space="preserve"> – information on aquatic toxicity for all three trophic levels (fish, invertebrates and algae), from suitable in silico predictions on the chemical or in vivo studies on the chemical or from suitable read-across information conducted following acceptable test guidelines for aquatic toxicity, with the following results for all three trophic levels:</w:t>
      </w:r>
    </w:p>
    <w:p w14:paraId="512C5BB1" w14:textId="06D6AF82" w:rsidR="002C3A80" w:rsidRPr="00D60E0C" w:rsidRDefault="006B7357" w:rsidP="003E3B1D">
      <w:pPr>
        <w:pStyle w:val="ListParagraph"/>
        <w:numPr>
          <w:ilvl w:val="1"/>
          <w:numId w:val="106"/>
        </w:numPr>
      </w:pPr>
      <w:r>
        <w:rPr>
          <w:rFonts w:cstheme="minorHAnsi"/>
          <w:color w:val="262626"/>
          <w:lang w:val="en"/>
        </w:rPr>
        <w:t>a</w:t>
      </w:r>
      <w:r w:rsidR="002C3A80" w:rsidRPr="00F1681A">
        <w:rPr>
          <w:rFonts w:cstheme="minorHAnsi"/>
          <w:color w:val="262626"/>
          <w:lang w:val="en"/>
        </w:rPr>
        <w:t>cute aquatic toxicity &gt;10 mg/L (LC50 (fish), or EC50 (invertebrates) or ErC50 (algae)), or</w:t>
      </w:r>
    </w:p>
    <w:p w14:paraId="2DC68159" w14:textId="77777777" w:rsidR="002C3A80" w:rsidRDefault="006B7357" w:rsidP="003E3B1D">
      <w:pPr>
        <w:pStyle w:val="ListParagraph"/>
        <w:numPr>
          <w:ilvl w:val="1"/>
          <w:numId w:val="106"/>
        </w:numPr>
      </w:pPr>
      <w:r>
        <w:rPr>
          <w:rFonts w:cstheme="minorHAnsi"/>
          <w:color w:val="262626"/>
          <w:lang w:val="en"/>
        </w:rPr>
        <w:t>c</w:t>
      </w:r>
      <w:r w:rsidR="002C3A80" w:rsidRPr="00F1681A">
        <w:rPr>
          <w:rFonts w:cstheme="minorHAnsi"/>
          <w:color w:val="262626"/>
          <w:lang w:val="en"/>
        </w:rPr>
        <w:t xml:space="preserve">hronic aquatic toxicity </w:t>
      </w:r>
      <w:r w:rsidR="00CC2997">
        <w:rPr>
          <w:lang w:eastAsia="en-AU"/>
        </w:rPr>
        <w:t>NOEC or EC</w:t>
      </w:r>
      <w:r w:rsidR="00CC2997" w:rsidRPr="00CC2997">
        <w:rPr>
          <w:vertAlign w:val="subscript"/>
          <w:lang w:eastAsia="en-AU"/>
        </w:rPr>
        <w:t>10</w:t>
      </w:r>
      <w:r w:rsidR="002C3A80">
        <w:rPr>
          <w:lang w:eastAsia="en-AU"/>
        </w:rPr>
        <w:t xml:space="preserve"> &gt;1mg/L (for chemicals that are not readily biodegradable), or</w:t>
      </w:r>
    </w:p>
    <w:p w14:paraId="335D0A53" w14:textId="77777777" w:rsidR="002C3A80" w:rsidRDefault="006B7357" w:rsidP="003E3B1D">
      <w:pPr>
        <w:pStyle w:val="ListParagraph"/>
        <w:numPr>
          <w:ilvl w:val="1"/>
          <w:numId w:val="106"/>
        </w:numPr>
      </w:pPr>
      <w:r>
        <w:rPr>
          <w:rFonts w:cstheme="minorHAnsi"/>
          <w:color w:val="262626"/>
          <w:lang w:val="en"/>
        </w:rPr>
        <w:t>c</w:t>
      </w:r>
      <w:r w:rsidR="002C3A80" w:rsidRPr="00F1681A">
        <w:rPr>
          <w:rFonts w:cstheme="minorHAnsi"/>
          <w:color w:val="262626"/>
          <w:lang w:val="en"/>
        </w:rPr>
        <w:t xml:space="preserve">hronic aquatic toxicity </w:t>
      </w:r>
      <w:r w:rsidR="00CC2997">
        <w:rPr>
          <w:lang w:eastAsia="en-AU"/>
        </w:rPr>
        <w:t>NOEC or EC</w:t>
      </w:r>
      <w:r w:rsidR="00CC2997" w:rsidRPr="00CC2997">
        <w:rPr>
          <w:vertAlign w:val="subscript"/>
          <w:lang w:eastAsia="en-AU"/>
        </w:rPr>
        <w:t>10</w:t>
      </w:r>
      <w:r w:rsidR="002C3A80">
        <w:rPr>
          <w:lang w:eastAsia="en-AU"/>
        </w:rPr>
        <w:t xml:space="preserve"> &gt;0.1mg/L (for chemicals that are readily biodegradable)</w:t>
      </w:r>
      <w:r w:rsidR="00AC17D1">
        <w:rPr>
          <w:lang w:eastAsia="en-AU"/>
        </w:rPr>
        <w:t>, or</w:t>
      </w:r>
    </w:p>
    <w:p w14:paraId="1361E793" w14:textId="1D725B4F" w:rsidR="002C3A80" w:rsidRDefault="006B7357" w:rsidP="003E3B1D">
      <w:pPr>
        <w:pStyle w:val="ListParagraph"/>
        <w:numPr>
          <w:ilvl w:val="0"/>
          <w:numId w:val="106"/>
        </w:numPr>
        <w:rPr>
          <w:lang w:eastAsia="en-AU"/>
        </w:rPr>
      </w:pPr>
      <w:r>
        <w:rPr>
          <w:rFonts w:cstheme="minorHAnsi"/>
          <w:color w:val="262626"/>
          <w:lang w:val="en"/>
        </w:rPr>
        <w:t>t</w:t>
      </w:r>
      <w:r w:rsidR="002C3A80" w:rsidRPr="00F1681A">
        <w:rPr>
          <w:rFonts w:cstheme="minorHAnsi"/>
          <w:color w:val="262626"/>
          <w:lang w:val="en"/>
        </w:rPr>
        <w:t xml:space="preserve">est results for all three trophic levels (fish, invertebrates and algae) from in vivo studies on the chemical or from suitable read-across information, conducted following acceptable test guidelines for chronic aquatic toxicity </w:t>
      </w:r>
      <w:r w:rsidR="002C3A80">
        <w:rPr>
          <w:lang w:eastAsia="en-AU"/>
        </w:rPr>
        <w:t>with the following results for all three trophic levels:</w:t>
      </w:r>
    </w:p>
    <w:p w14:paraId="2DFDA894" w14:textId="77777777" w:rsidR="002C3A80" w:rsidRPr="00A56B9E" w:rsidRDefault="002C3A80" w:rsidP="003E3B1D">
      <w:pPr>
        <w:pStyle w:val="ListParagraph"/>
        <w:numPr>
          <w:ilvl w:val="1"/>
          <w:numId w:val="106"/>
        </w:numPr>
        <w:rPr>
          <w:lang w:eastAsia="en-AU"/>
        </w:rPr>
      </w:pPr>
      <w:r w:rsidRPr="00A56B9E">
        <w:rPr>
          <w:lang w:eastAsia="en-AU"/>
        </w:rPr>
        <w:t>NOEC or EC</w:t>
      </w:r>
      <w:r w:rsidR="00CC2997" w:rsidRPr="00CC2997">
        <w:rPr>
          <w:vertAlign w:val="subscript"/>
          <w:lang w:eastAsia="en-AU"/>
        </w:rPr>
        <w:t>10</w:t>
      </w:r>
      <w:r w:rsidRPr="00A56B9E">
        <w:rPr>
          <w:lang w:eastAsia="en-AU"/>
        </w:rPr>
        <w:t xml:space="preserve"> </w:t>
      </w:r>
      <w:r>
        <w:rPr>
          <w:lang w:eastAsia="en-AU"/>
        </w:rPr>
        <w:t>&gt;1</w:t>
      </w:r>
      <w:r w:rsidRPr="00A56B9E">
        <w:rPr>
          <w:lang w:eastAsia="en-AU"/>
        </w:rPr>
        <w:t>mg/L (for chemicals that are not readily biodegradable), or</w:t>
      </w:r>
    </w:p>
    <w:p w14:paraId="7738F5C0" w14:textId="77777777" w:rsidR="002C3A80" w:rsidRDefault="002C3A80" w:rsidP="003E3B1D">
      <w:pPr>
        <w:pStyle w:val="ListParagraph"/>
        <w:numPr>
          <w:ilvl w:val="1"/>
          <w:numId w:val="106"/>
        </w:numPr>
      </w:pPr>
      <w:r w:rsidRPr="00A56B9E">
        <w:rPr>
          <w:lang w:eastAsia="en-AU"/>
        </w:rPr>
        <w:t>NOEC or EC</w:t>
      </w:r>
      <w:r w:rsidR="00CC2997">
        <w:rPr>
          <w:vertAlign w:val="subscript"/>
          <w:lang w:eastAsia="en-AU"/>
        </w:rPr>
        <w:t>10</w:t>
      </w:r>
      <w:r w:rsidRPr="00A56B9E">
        <w:rPr>
          <w:lang w:eastAsia="en-AU"/>
        </w:rPr>
        <w:t xml:space="preserve"> </w:t>
      </w:r>
      <w:r>
        <w:rPr>
          <w:lang w:eastAsia="en-AU"/>
        </w:rPr>
        <w:t>&gt;</w:t>
      </w:r>
      <w:r w:rsidRPr="00A56B9E">
        <w:rPr>
          <w:lang w:eastAsia="en-AU"/>
        </w:rPr>
        <w:t>0.1mg/L (for chemicals that are readily biodegradable)</w:t>
      </w:r>
      <w:r w:rsidR="00AC17D1">
        <w:rPr>
          <w:lang w:eastAsia="en-AU"/>
        </w:rPr>
        <w:t>.</w:t>
      </w:r>
    </w:p>
    <w:p w14:paraId="5F38CB99" w14:textId="77777777" w:rsidR="00633E3F" w:rsidRDefault="00633E3F" w:rsidP="00633E3F">
      <w:pPr>
        <w:pStyle w:val="ListParagraph"/>
        <w:numPr>
          <w:ilvl w:val="0"/>
          <w:numId w:val="0"/>
        </w:numPr>
        <w:ind w:left="1440"/>
      </w:pPr>
    </w:p>
    <w:p w14:paraId="20E7885F" w14:textId="77777777" w:rsidR="00626D2C" w:rsidRDefault="00626D2C" w:rsidP="00626D2C">
      <w:pPr>
        <w:pStyle w:val="Heading2"/>
      </w:pPr>
      <w:bookmarkStart w:id="47" w:name="_Toc43890231"/>
      <w:r>
        <w:t xml:space="preserve">Polymer </w:t>
      </w:r>
      <w:r w:rsidR="00674F61">
        <w:t>that i</w:t>
      </w:r>
      <w:r>
        <w:t xml:space="preserve">s not </w:t>
      </w:r>
      <w:r w:rsidR="00674F61">
        <w:t>stable</w:t>
      </w:r>
      <w:r>
        <w:t xml:space="preserve"> – Environment hazard band A</w:t>
      </w:r>
      <w:bookmarkEnd w:id="47"/>
    </w:p>
    <w:p w14:paraId="6D676B8B" w14:textId="77777777" w:rsidR="00626D2C" w:rsidRDefault="00877BCF" w:rsidP="00F1681A">
      <w:pPr>
        <w:pStyle w:val="Heading3"/>
        <w:ind w:left="709"/>
      </w:pPr>
      <w:r>
        <w:t xml:space="preserve">Clause </w:t>
      </w:r>
      <w:r w:rsidR="00626D2C">
        <w:t xml:space="preserve">4 of Part 2, Schedule 1 </w:t>
      </w:r>
      <w:r w:rsidR="00C40C32">
        <w:t xml:space="preserve">to </w:t>
      </w:r>
      <w:r w:rsidR="00626D2C">
        <w:t xml:space="preserve">the </w:t>
      </w:r>
      <w:r w:rsidR="009547E9">
        <w:t>IC General Rules</w:t>
      </w:r>
      <w:r w:rsidR="00626D2C">
        <w:t xml:space="preserve"> </w:t>
      </w:r>
    </w:p>
    <w:p w14:paraId="339594D4" w14:textId="77777777" w:rsidR="00626D2C" w:rsidRDefault="00626D2C" w:rsidP="00F1681A">
      <w:pPr>
        <w:rPr>
          <w:rStyle w:val="normaltextrun"/>
          <w:color w:val="000000"/>
          <w:shd w:val="clear" w:color="auto" w:fill="FFFFFF"/>
        </w:rPr>
      </w:pPr>
      <w:r>
        <w:rPr>
          <w:rStyle w:val="normaltextrun"/>
          <w:color w:val="000000"/>
          <w:shd w:val="clear" w:color="auto" w:fill="FFFFFF"/>
        </w:rPr>
        <w:t xml:space="preserve">For the purposes of table item </w:t>
      </w:r>
      <w:r w:rsidR="00674F61">
        <w:rPr>
          <w:rStyle w:val="normaltextrun"/>
          <w:color w:val="000000"/>
          <w:shd w:val="clear" w:color="auto" w:fill="FFFFFF"/>
        </w:rPr>
        <w:t>11</w:t>
      </w:r>
      <w:r>
        <w:rPr>
          <w:rStyle w:val="normaltextrun"/>
          <w:color w:val="000000"/>
          <w:shd w:val="clear" w:color="auto" w:fill="FFFFFF"/>
        </w:rPr>
        <w:t xml:space="preserve"> of </w:t>
      </w:r>
      <w:r w:rsidR="004B4B0C">
        <w:rPr>
          <w:rStyle w:val="normaltextrun"/>
          <w:color w:val="000000"/>
          <w:shd w:val="clear" w:color="auto" w:fill="FFFFFF"/>
        </w:rPr>
        <w:t xml:space="preserve">Clause 4, </w:t>
      </w:r>
      <w:r>
        <w:rPr>
          <w:rStyle w:val="normaltextrun"/>
          <w:color w:val="000000"/>
          <w:shd w:val="clear" w:color="auto" w:fill="FFFFFF"/>
        </w:rPr>
        <w:t xml:space="preserve">Part 2, Schedule 1 </w:t>
      </w:r>
      <w:r w:rsidR="00C40C32">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0C7B610F" w14:textId="77777777" w:rsidR="007A3A56" w:rsidRDefault="00626D2C" w:rsidP="00F1681A">
      <w:pPr>
        <w:rPr>
          <w:lang w:eastAsia="en-AU"/>
        </w:rPr>
      </w:pPr>
      <w:r w:rsidRPr="00C40C32">
        <w:rPr>
          <w:b/>
          <w:lang w:eastAsia="en-AU"/>
        </w:rPr>
        <w:t xml:space="preserve">Polymer that </w:t>
      </w:r>
      <w:r w:rsidR="00674F61" w:rsidRPr="00C40C32">
        <w:rPr>
          <w:b/>
          <w:lang w:eastAsia="en-AU"/>
        </w:rPr>
        <w:t>i</w:t>
      </w:r>
      <w:r w:rsidRPr="00C40C32">
        <w:rPr>
          <w:b/>
          <w:lang w:eastAsia="en-AU"/>
        </w:rPr>
        <w:t xml:space="preserve">s not </w:t>
      </w:r>
      <w:r w:rsidR="00674F61" w:rsidRPr="00C40C32">
        <w:rPr>
          <w:b/>
          <w:lang w:eastAsia="en-AU"/>
        </w:rPr>
        <w:t>stable</w:t>
      </w:r>
      <w:r>
        <w:rPr>
          <w:lang w:eastAsia="en-AU"/>
        </w:rPr>
        <w:t xml:space="preserve"> means that </w:t>
      </w:r>
      <w:r w:rsidR="00674F61">
        <w:rPr>
          <w:lang w:eastAsia="en-AU"/>
        </w:rPr>
        <w:t>all of the following apply to the industrial chemical:</w:t>
      </w:r>
    </w:p>
    <w:p w14:paraId="74474055" w14:textId="77777777" w:rsidR="00674F61" w:rsidRPr="00F1681A" w:rsidRDefault="00674F61" w:rsidP="003E3B1D">
      <w:pPr>
        <w:pStyle w:val="ListParagraph"/>
        <w:numPr>
          <w:ilvl w:val="0"/>
          <w:numId w:val="107"/>
        </w:numPr>
        <w:rPr>
          <w:rStyle w:val="eop"/>
          <w:color w:val="000000"/>
          <w:shd w:val="clear" w:color="auto" w:fill="FFFFFF"/>
        </w:rPr>
      </w:pPr>
      <w:r w:rsidRPr="00F1681A">
        <w:rPr>
          <w:rStyle w:val="eop"/>
          <w:color w:val="000000"/>
          <w:shd w:val="clear" w:color="auto" w:fill="FFFFFF"/>
        </w:rPr>
        <w:t>the chemical is a polymer, and</w:t>
      </w:r>
    </w:p>
    <w:p w14:paraId="6C7BEC72" w14:textId="77777777" w:rsidR="00343DB4" w:rsidRDefault="00343DB4" w:rsidP="003E3B1D">
      <w:pPr>
        <w:pStyle w:val="ListParagraph"/>
        <w:numPr>
          <w:ilvl w:val="0"/>
          <w:numId w:val="107"/>
        </w:numPr>
      </w:pPr>
      <w:r w:rsidRPr="00F1681A">
        <w:rPr>
          <w:rStyle w:val="eop"/>
          <w:color w:val="000000"/>
          <w:shd w:val="clear" w:color="auto" w:fill="FFFFFF"/>
        </w:rPr>
        <w:t>the polymer substantially degrades, decomposes or depolymerises during use</w:t>
      </w:r>
      <w:r w:rsidR="0034721B">
        <w:rPr>
          <w:rStyle w:val="eop"/>
          <w:color w:val="000000"/>
          <w:shd w:val="clear" w:color="auto" w:fill="FFFFFF"/>
        </w:rPr>
        <w:t>;</w:t>
      </w:r>
      <w:r w:rsidRPr="00F1681A">
        <w:rPr>
          <w:rStyle w:val="eop"/>
          <w:color w:val="000000"/>
          <w:shd w:val="clear" w:color="auto" w:fill="FFFFFF"/>
        </w:rPr>
        <w:t xml:space="preserve"> </w:t>
      </w:r>
      <w:r w:rsidR="0034721B">
        <w:t>t</w:t>
      </w:r>
      <w:r>
        <w:t>hat is, the polymer is considerably, meaningfully or to a significantly large extent, changed into simpler, smaller molecular weight chemicals as the result of processes including, but not limited to:</w:t>
      </w:r>
    </w:p>
    <w:p w14:paraId="692ABD15" w14:textId="77777777" w:rsidR="00343DB4" w:rsidRDefault="0034721B" w:rsidP="003E3B1D">
      <w:pPr>
        <w:pStyle w:val="ListParagraph"/>
        <w:numPr>
          <w:ilvl w:val="1"/>
          <w:numId w:val="107"/>
        </w:numPr>
      </w:pPr>
      <w:r>
        <w:t>o</w:t>
      </w:r>
      <w:r w:rsidR="00343DB4">
        <w:t>xidation</w:t>
      </w:r>
    </w:p>
    <w:p w14:paraId="27A4CF95" w14:textId="77777777" w:rsidR="00343DB4" w:rsidRDefault="0034721B" w:rsidP="003E3B1D">
      <w:pPr>
        <w:pStyle w:val="ListParagraph"/>
        <w:numPr>
          <w:ilvl w:val="1"/>
          <w:numId w:val="107"/>
        </w:numPr>
      </w:pPr>
      <w:r>
        <w:t>h</w:t>
      </w:r>
      <w:r w:rsidR="00343DB4">
        <w:t>ydrolysis</w:t>
      </w:r>
    </w:p>
    <w:p w14:paraId="78BC51C1" w14:textId="77777777" w:rsidR="00343DB4" w:rsidRDefault="0034721B" w:rsidP="003E3B1D">
      <w:pPr>
        <w:pStyle w:val="ListParagraph"/>
        <w:numPr>
          <w:ilvl w:val="1"/>
          <w:numId w:val="107"/>
        </w:numPr>
      </w:pPr>
      <w:r>
        <w:t>h</w:t>
      </w:r>
      <w:r w:rsidR="00343DB4">
        <w:t>eat</w:t>
      </w:r>
    </w:p>
    <w:p w14:paraId="6B995604" w14:textId="77777777" w:rsidR="00343DB4" w:rsidRDefault="0034721B" w:rsidP="003E3B1D">
      <w:pPr>
        <w:pStyle w:val="ListParagraph"/>
        <w:numPr>
          <w:ilvl w:val="1"/>
          <w:numId w:val="107"/>
        </w:numPr>
      </w:pPr>
      <w:r>
        <w:t>s</w:t>
      </w:r>
      <w:r w:rsidR="00343DB4">
        <w:t>unlight</w:t>
      </w:r>
    </w:p>
    <w:p w14:paraId="7485CFDC" w14:textId="77777777" w:rsidR="00343DB4" w:rsidRDefault="0034721B" w:rsidP="003E3B1D">
      <w:pPr>
        <w:pStyle w:val="ListParagraph"/>
        <w:numPr>
          <w:ilvl w:val="1"/>
          <w:numId w:val="107"/>
        </w:numPr>
      </w:pPr>
      <w:r>
        <w:t>a</w:t>
      </w:r>
      <w:r w:rsidR="00343DB4">
        <w:t>ttack by solvents</w:t>
      </w:r>
    </w:p>
    <w:p w14:paraId="4C84273A" w14:textId="77777777" w:rsidR="00674F61" w:rsidRPr="00D75B44" w:rsidRDefault="0034721B" w:rsidP="003E3B1D">
      <w:pPr>
        <w:pStyle w:val="ListParagraph"/>
        <w:numPr>
          <w:ilvl w:val="1"/>
          <w:numId w:val="107"/>
        </w:numPr>
        <w:rPr>
          <w:color w:val="000000"/>
          <w:shd w:val="clear" w:color="auto" w:fill="FFFFFF"/>
        </w:rPr>
      </w:pPr>
      <w:r>
        <w:lastRenderedPageBreak/>
        <w:t>m</w:t>
      </w:r>
      <w:r w:rsidR="00343DB4">
        <w:t>icrobial action</w:t>
      </w:r>
      <w:r w:rsidR="0077378A">
        <w:t>.</w:t>
      </w:r>
    </w:p>
    <w:p w14:paraId="04E1C31A" w14:textId="77777777" w:rsidR="00D75B44" w:rsidRPr="00D75B44" w:rsidRDefault="00D75B44" w:rsidP="00D75B44">
      <w:pPr>
        <w:spacing w:before="0" w:after="200" w:line="276" w:lineRule="auto"/>
        <w:rPr>
          <w:color w:val="000000"/>
          <w:shd w:val="clear" w:color="auto" w:fill="FFFFFF"/>
        </w:rPr>
      </w:pPr>
      <w:r>
        <w:rPr>
          <w:color w:val="000000"/>
          <w:shd w:val="clear" w:color="auto" w:fill="FFFFFF"/>
        </w:rPr>
        <w:br w:type="page"/>
      </w:r>
    </w:p>
    <w:p w14:paraId="6406668E" w14:textId="77777777" w:rsidR="00343DB4" w:rsidRDefault="00343DB4" w:rsidP="00F1681A">
      <w:pPr>
        <w:pStyle w:val="Heading3"/>
        <w:ind w:left="709"/>
      </w:pPr>
      <w:r>
        <w:lastRenderedPageBreak/>
        <w:t xml:space="preserve">Section </w:t>
      </w:r>
      <w:r w:rsidR="004F2F43">
        <w:t>30</w:t>
      </w:r>
      <w:r>
        <w:t xml:space="preserve"> of the </w:t>
      </w:r>
      <w:r w:rsidR="009547E9">
        <w:t>IC General Rules</w:t>
      </w:r>
      <w:r>
        <w:t xml:space="preserve"> - Information required to demonstrate the absence of hazard characteristics  </w:t>
      </w:r>
    </w:p>
    <w:p w14:paraId="64993292" w14:textId="77777777" w:rsidR="00343DB4" w:rsidRDefault="00343DB4" w:rsidP="00F1681A">
      <w:pPr>
        <w:rPr>
          <w:lang w:eastAsia="en-AU"/>
        </w:rPr>
      </w:pPr>
      <w:r>
        <w:rPr>
          <w:lang w:eastAsia="en-AU"/>
        </w:rPr>
        <w:t xml:space="preserve">For the purposes of </w:t>
      </w:r>
      <w:r w:rsidR="0034721B">
        <w:t xml:space="preserve">subparagraph </w:t>
      </w:r>
      <w:r w:rsidR="004F2F43">
        <w:t>30(2)(c)(iv) of the IC General Rules,</w:t>
      </w:r>
      <w:r>
        <w:rPr>
          <w:lang w:eastAsia="en-AU"/>
        </w:rPr>
        <w:t xml:space="preserve"> the information required to demonstrate that a chemical does not have the hazard characteristic,</w:t>
      </w:r>
      <w:r w:rsidRPr="00D52C32">
        <w:rPr>
          <w:lang w:eastAsia="en-AU"/>
        </w:rPr>
        <w:t xml:space="preserve"> </w:t>
      </w:r>
      <w:r w:rsidRPr="006252B0">
        <w:rPr>
          <w:b/>
          <w:lang w:eastAsia="en-AU"/>
        </w:rPr>
        <w:t>polymer that is not stable</w:t>
      </w:r>
      <w:r>
        <w:rPr>
          <w:lang w:eastAsia="en-AU"/>
        </w:rPr>
        <w:t>, is</w:t>
      </w:r>
      <w:r w:rsidR="00776032">
        <w:rPr>
          <w:lang w:eastAsia="en-AU"/>
        </w:rPr>
        <w:t xml:space="preserve"> at least one of the following</w:t>
      </w:r>
      <w:r>
        <w:rPr>
          <w:lang w:eastAsia="en-AU"/>
        </w:rPr>
        <w:t>:</w:t>
      </w:r>
    </w:p>
    <w:p w14:paraId="6435F4D6" w14:textId="77777777" w:rsidR="00343DB4" w:rsidRDefault="00343DB4" w:rsidP="003E3B1D">
      <w:pPr>
        <w:pStyle w:val="ListParagraph"/>
        <w:numPr>
          <w:ilvl w:val="0"/>
          <w:numId w:val="108"/>
        </w:numPr>
      </w:pPr>
      <w:r>
        <w:t xml:space="preserve">information that </w:t>
      </w:r>
      <w:r w:rsidR="006D0D17">
        <w:t>demonstrates</w:t>
      </w:r>
      <w:r>
        <w:t xml:space="preserve"> that the polymer is </w:t>
      </w:r>
      <w:r w:rsidR="00776032">
        <w:t xml:space="preserve">protected from degradation by being </w:t>
      </w:r>
      <w:r>
        <w:t>encapsulated during use</w:t>
      </w:r>
      <w:r w:rsidR="00776032">
        <w:t>, or</w:t>
      </w:r>
    </w:p>
    <w:p w14:paraId="04FEA1DE" w14:textId="77777777" w:rsidR="00776032" w:rsidRPr="00CE1849" w:rsidRDefault="003320C7" w:rsidP="003E3B1D">
      <w:pPr>
        <w:pStyle w:val="ListParagraph"/>
        <w:numPr>
          <w:ilvl w:val="0"/>
          <w:numId w:val="108"/>
        </w:numPr>
      </w:pPr>
      <w:r>
        <w:t>i</w:t>
      </w:r>
      <w:r w:rsidR="00776032" w:rsidRPr="00CE1849">
        <w:t xml:space="preserve">nformation that </w:t>
      </w:r>
      <w:r w:rsidR="006D0D17">
        <w:t>demonstrates</w:t>
      </w:r>
      <w:r w:rsidR="00776032" w:rsidRPr="00CE1849">
        <w:t xml:space="preserve"> that all of the following applies to the polymer:</w:t>
      </w:r>
    </w:p>
    <w:p w14:paraId="3794793F"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it is not designed to be pyrolysed or burnt</w:t>
      </w:r>
      <w:r w:rsidR="00CE1849" w:rsidRPr="00F1681A">
        <w:rPr>
          <w:rFonts w:cstheme="minorHAnsi"/>
          <w:color w:val="262626"/>
          <w:lang w:val="en"/>
        </w:rPr>
        <w:t>, and</w:t>
      </w:r>
    </w:p>
    <w:p w14:paraId="55FC372F"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it is not designed or reasonably anticipated to substantially photodegrade</w:t>
      </w:r>
      <w:r w:rsidR="00CE1849" w:rsidRPr="00F1681A">
        <w:rPr>
          <w:rFonts w:cstheme="minorHAnsi"/>
          <w:color w:val="262626"/>
          <w:lang w:val="en"/>
        </w:rPr>
        <w:t>, and</w:t>
      </w:r>
    </w:p>
    <w:p w14:paraId="47DDE2FC"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it is not designed or reasonably anticipated to substantially biodegrade</w:t>
      </w:r>
      <w:r w:rsidR="00CE1849" w:rsidRPr="00F1681A">
        <w:rPr>
          <w:rFonts w:cstheme="minorHAnsi"/>
          <w:color w:val="262626"/>
          <w:lang w:val="en"/>
        </w:rPr>
        <w:t>, and</w:t>
      </w:r>
    </w:p>
    <w:p w14:paraId="2659C061"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it is not explosive</w:t>
      </w:r>
      <w:r w:rsidR="00CE1849" w:rsidRPr="00F1681A">
        <w:rPr>
          <w:rFonts w:cstheme="minorHAnsi"/>
          <w:color w:val="262626"/>
          <w:lang w:val="en"/>
        </w:rPr>
        <w:t>, and</w:t>
      </w:r>
    </w:p>
    <w:p w14:paraId="5C36131E"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 xml:space="preserve">it is hydrolytically stable (T½ </w:t>
      </w:r>
      <w:r w:rsidRPr="00F1681A">
        <w:rPr>
          <w:rFonts w:cs="Segoe UI"/>
          <w:color w:val="262626"/>
          <w:lang w:val="en"/>
        </w:rPr>
        <w:t>≥</w:t>
      </w:r>
      <w:r w:rsidRPr="00F1681A">
        <w:rPr>
          <w:rFonts w:cstheme="minorHAnsi"/>
          <w:color w:val="262626"/>
          <w:lang w:val="en"/>
        </w:rPr>
        <w:t>12 hours)</w:t>
      </w:r>
      <w:r w:rsidR="00CE1849" w:rsidRPr="00F1681A">
        <w:rPr>
          <w:rFonts w:cstheme="minorHAnsi"/>
          <w:color w:val="262626"/>
          <w:lang w:val="en"/>
        </w:rPr>
        <w:t>, and</w:t>
      </w:r>
    </w:p>
    <w:p w14:paraId="2188437C" w14:textId="77777777" w:rsidR="00497CC2" w:rsidRPr="00F1681A" w:rsidRDefault="00497CC2" w:rsidP="003E3B1D">
      <w:pPr>
        <w:pStyle w:val="ListParagraph"/>
        <w:numPr>
          <w:ilvl w:val="1"/>
          <w:numId w:val="108"/>
        </w:numPr>
        <w:rPr>
          <w:rFonts w:cstheme="minorHAnsi"/>
          <w:color w:val="262626"/>
          <w:lang w:val="en"/>
        </w:rPr>
      </w:pPr>
      <w:r w:rsidRPr="00F1681A">
        <w:rPr>
          <w:rFonts w:cstheme="minorHAnsi"/>
          <w:color w:val="262626"/>
          <w:lang w:val="en"/>
        </w:rPr>
        <w:t>it is not a biological polymer</w:t>
      </w:r>
      <w:r w:rsidR="00CE1849" w:rsidRPr="00F1681A">
        <w:rPr>
          <w:rFonts w:cstheme="minorHAnsi"/>
          <w:color w:val="262626"/>
          <w:lang w:val="en"/>
        </w:rPr>
        <w:t>, and</w:t>
      </w:r>
    </w:p>
    <w:p w14:paraId="0391C0DF" w14:textId="77777777" w:rsidR="00497CC2" w:rsidRPr="00F1681A" w:rsidRDefault="00661FE2" w:rsidP="003E3B1D">
      <w:pPr>
        <w:pStyle w:val="ListParagraph"/>
        <w:numPr>
          <w:ilvl w:val="1"/>
          <w:numId w:val="108"/>
        </w:numPr>
        <w:rPr>
          <w:rFonts w:cstheme="minorHAnsi"/>
          <w:color w:val="262626"/>
          <w:lang w:val="en"/>
        </w:rPr>
      </w:pPr>
      <w:r w:rsidRPr="00F1681A">
        <w:rPr>
          <w:rFonts w:cstheme="minorHAnsi"/>
          <w:color w:val="262626"/>
          <w:lang w:val="en"/>
        </w:rPr>
        <w:t>it is not</w:t>
      </w:r>
      <w:r w:rsidR="00497CC2" w:rsidRPr="00F1681A">
        <w:rPr>
          <w:rFonts w:cstheme="minorHAnsi"/>
          <w:color w:val="262626"/>
          <w:lang w:val="en"/>
        </w:rPr>
        <w:t xml:space="preserve"> a polysaccharide</w:t>
      </w:r>
      <w:r w:rsidR="00CE1849" w:rsidRPr="00F1681A">
        <w:rPr>
          <w:rFonts w:cstheme="minorHAnsi"/>
          <w:color w:val="262626"/>
          <w:lang w:val="en"/>
        </w:rPr>
        <w:t>, and</w:t>
      </w:r>
    </w:p>
    <w:p w14:paraId="09A0CFCE" w14:textId="77777777" w:rsidR="00497CC2" w:rsidRPr="00F1681A" w:rsidRDefault="00661FE2" w:rsidP="003E3B1D">
      <w:pPr>
        <w:pStyle w:val="ListParagraph"/>
        <w:numPr>
          <w:ilvl w:val="1"/>
          <w:numId w:val="108"/>
        </w:numPr>
        <w:rPr>
          <w:rFonts w:cstheme="minorHAnsi"/>
          <w:color w:val="262626"/>
          <w:lang w:val="en"/>
        </w:rPr>
      </w:pPr>
      <w:r w:rsidRPr="00F1681A">
        <w:rPr>
          <w:rFonts w:cstheme="minorHAnsi"/>
          <w:color w:val="262626"/>
          <w:lang w:val="en"/>
        </w:rPr>
        <w:t>if it is a</w:t>
      </w:r>
      <w:r w:rsidR="00497CC2" w:rsidRPr="00F1681A">
        <w:rPr>
          <w:rFonts w:cstheme="minorHAnsi"/>
          <w:color w:val="262626"/>
          <w:lang w:val="en"/>
        </w:rPr>
        <w:t xml:space="preserve"> polymer </w:t>
      </w:r>
      <w:r w:rsidRPr="00F1681A">
        <w:rPr>
          <w:rFonts w:cstheme="minorHAnsi"/>
          <w:color w:val="262626"/>
          <w:lang w:val="en"/>
        </w:rPr>
        <w:t xml:space="preserve">that </w:t>
      </w:r>
      <w:r w:rsidR="00497CC2" w:rsidRPr="00F1681A">
        <w:rPr>
          <w:rFonts w:cstheme="minorHAnsi"/>
          <w:color w:val="262626"/>
          <w:lang w:val="en"/>
        </w:rPr>
        <w:t xml:space="preserve">contains polyethylene glycol (PEG) functionalities and has a solubility in water of &gt;200 mg/L </w:t>
      </w:r>
      <w:r w:rsidRPr="00F1681A">
        <w:rPr>
          <w:rFonts w:cstheme="minorHAnsi"/>
          <w:color w:val="262626"/>
          <w:lang w:val="en"/>
        </w:rPr>
        <w:t xml:space="preserve">- measured data </w:t>
      </w:r>
      <w:r w:rsidR="006D0D17">
        <w:rPr>
          <w:rFonts w:cstheme="minorHAnsi"/>
          <w:color w:val="262626"/>
          <w:lang w:val="en"/>
        </w:rPr>
        <w:t>demonstrates</w:t>
      </w:r>
      <w:r w:rsidRPr="00F1681A">
        <w:rPr>
          <w:rFonts w:cstheme="minorHAnsi"/>
          <w:color w:val="262626"/>
          <w:lang w:val="en"/>
        </w:rPr>
        <w:t xml:space="preserve"> that the polymer does not substantially biodegrade</w:t>
      </w:r>
      <w:r w:rsidR="00CE1849" w:rsidRPr="00F1681A">
        <w:rPr>
          <w:rFonts w:cstheme="minorHAnsi"/>
          <w:color w:val="262626"/>
          <w:lang w:val="en"/>
        </w:rPr>
        <w:t>, and</w:t>
      </w:r>
    </w:p>
    <w:p w14:paraId="7950CC6D" w14:textId="77777777" w:rsidR="00446860" w:rsidRDefault="00092810" w:rsidP="003E3B1D">
      <w:pPr>
        <w:pStyle w:val="ListParagraph"/>
        <w:numPr>
          <w:ilvl w:val="1"/>
          <w:numId w:val="108"/>
        </w:numPr>
        <w:rPr>
          <w:rFonts w:cstheme="minorHAnsi"/>
          <w:color w:val="262626"/>
          <w:lang w:val="en"/>
        </w:rPr>
      </w:pPr>
      <w:r w:rsidRPr="00F1681A">
        <w:rPr>
          <w:rFonts w:cstheme="minorHAnsi"/>
          <w:color w:val="262626"/>
          <w:lang w:val="en"/>
        </w:rPr>
        <w:t>i</w:t>
      </w:r>
      <w:r w:rsidR="00661FE2" w:rsidRPr="00F1681A">
        <w:rPr>
          <w:rFonts w:cstheme="minorHAnsi"/>
          <w:color w:val="262626"/>
          <w:lang w:val="en"/>
        </w:rPr>
        <w:t xml:space="preserve">f it is a </w:t>
      </w:r>
      <w:r w:rsidR="00497CC2" w:rsidRPr="00F1681A">
        <w:rPr>
          <w:rFonts w:cstheme="minorHAnsi"/>
          <w:color w:val="262626"/>
          <w:lang w:val="en"/>
        </w:rPr>
        <w:t xml:space="preserve">polymer </w:t>
      </w:r>
      <w:r w:rsidR="00661FE2" w:rsidRPr="00F1681A">
        <w:rPr>
          <w:rFonts w:cstheme="minorHAnsi"/>
          <w:color w:val="262626"/>
          <w:lang w:val="en"/>
        </w:rPr>
        <w:t xml:space="preserve">that </w:t>
      </w:r>
      <w:r w:rsidR="00497CC2" w:rsidRPr="00F1681A">
        <w:rPr>
          <w:rFonts w:cstheme="minorHAnsi"/>
          <w:color w:val="262626"/>
          <w:lang w:val="en"/>
        </w:rPr>
        <w:t xml:space="preserve">contains polypropylene glycol (PPG) functionalities and has a solubility in water of &gt;200 mg/L </w:t>
      </w:r>
      <w:r w:rsidR="00661FE2" w:rsidRPr="00F1681A">
        <w:rPr>
          <w:rFonts w:cstheme="minorHAnsi"/>
          <w:color w:val="262626"/>
          <w:lang w:val="en"/>
        </w:rPr>
        <w:t>- measured</w:t>
      </w:r>
      <w:r w:rsidR="00497CC2" w:rsidRPr="00F1681A">
        <w:rPr>
          <w:rFonts w:cstheme="minorHAnsi"/>
          <w:color w:val="262626"/>
          <w:lang w:val="en"/>
        </w:rPr>
        <w:t xml:space="preserve"> data </w:t>
      </w:r>
      <w:r w:rsidR="006D0D17">
        <w:rPr>
          <w:rFonts w:cstheme="minorHAnsi"/>
          <w:color w:val="262626"/>
          <w:lang w:val="en"/>
        </w:rPr>
        <w:t>demonstrates</w:t>
      </w:r>
      <w:r w:rsidR="00497CC2" w:rsidRPr="00F1681A">
        <w:rPr>
          <w:rFonts w:cstheme="minorHAnsi"/>
          <w:color w:val="262626"/>
          <w:lang w:val="en"/>
        </w:rPr>
        <w:t xml:space="preserve"> </w:t>
      </w:r>
      <w:r w:rsidR="00661FE2" w:rsidRPr="00F1681A">
        <w:rPr>
          <w:rFonts w:cstheme="minorHAnsi"/>
          <w:color w:val="262626"/>
          <w:lang w:val="en"/>
        </w:rPr>
        <w:t xml:space="preserve">that </w:t>
      </w:r>
      <w:r w:rsidR="00497CC2" w:rsidRPr="00F1681A">
        <w:rPr>
          <w:rFonts w:cstheme="minorHAnsi"/>
          <w:color w:val="262626"/>
          <w:lang w:val="en"/>
        </w:rPr>
        <w:t>the polymer does not substantially biodegrade</w:t>
      </w:r>
      <w:r w:rsidR="00CE1849" w:rsidRPr="00F1681A">
        <w:rPr>
          <w:rFonts w:cstheme="minorHAnsi"/>
          <w:color w:val="262626"/>
          <w:lang w:val="en"/>
        </w:rPr>
        <w:t>.</w:t>
      </w:r>
    </w:p>
    <w:p w14:paraId="2BBF7373" w14:textId="77777777" w:rsidR="0077378A" w:rsidRPr="00F1681A" w:rsidRDefault="0077378A" w:rsidP="0077378A">
      <w:pPr>
        <w:pStyle w:val="ListParagraph"/>
        <w:numPr>
          <w:ilvl w:val="0"/>
          <w:numId w:val="0"/>
        </w:numPr>
        <w:ind w:left="1440"/>
        <w:rPr>
          <w:rFonts w:cstheme="minorHAnsi"/>
          <w:color w:val="262626"/>
          <w:lang w:val="en"/>
        </w:rPr>
      </w:pPr>
    </w:p>
    <w:p w14:paraId="6ABCD45F" w14:textId="77777777" w:rsidR="00446860" w:rsidRDefault="00446860" w:rsidP="00446860">
      <w:pPr>
        <w:pStyle w:val="Heading2"/>
      </w:pPr>
      <w:bookmarkStart w:id="48" w:name="_Toc43890232"/>
      <w:r>
        <w:t>Bioaccumulation potential – Environment hazard band A</w:t>
      </w:r>
      <w:bookmarkEnd w:id="48"/>
    </w:p>
    <w:p w14:paraId="692C394B" w14:textId="77777777" w:rsidR="00446860" w:rsidRDefault="00877BCF" w:rsidP="00F1681A">
      <w:pPr>
        <w:pStyle w:val="Heading3"/>
        <w:ind w:left="709"/>
      </w:pPr>
      <w:r>
        <w:t xml:space="preserve">Clause </w:t>
      </w:r>
      <w:r w:rsidR="00446860">
        <w:t xml:space="preserve">4 of Part 2, Schedule 1 </w:t>
      </w:r>
      <w:r w:rsidR="00081FBC">
        <w:t xml:space="preserve">to </w:t>
      </w:r>
      <w:r w:rsidR="00446860">
        <w:t xml:space="preserve">the </w:t>
      </w:r>
      <w:r w:rsidR="009547E9">
        <w:t>IC General Rules</w:t>
      </w:r>
      <w:r w:rsidR="00446860">
        <w:t xml:space="preserve"> </w:t>
      </w:r>
    </w:p>
    <w:p w14:paraId="609EEAF4" w14:textId="77777777" w:rsidR="00446860" w:rsidRDefault="00446860" w:rsidP="00F1681A">
      <w:pPr>
        <w:rPr>
          <w:rStyle w:val="normaltextrun"/>
          <w:color w:val="000000"/>
          <w:shd w:val="clear" w:color="auto" w:fill="FFFFFF"/>
        </w:rPr>
      </w:pPr>
      <w:r>
        <w:rPr>
          <w:rStyle w:val="normaltextrun"/>
          <w:color w:val="000000"/>
          <w:shd w:val="clear" w:color="auto" w:fill="FFFFFF"/>
        </w:rPr>
        <w:t xml:space="preserve">For the purposes of table item 12 of </w:t>
      </w:r>
      <w:r w:rsidR="00081FBC">
        <w:rPr>
          <w:rStyle w:val="normaltextrun"/>
          <w:color w:val="000000"/>
          <w:shd w:val="clear" w:color="auto" w:fill="FFFFFF"/>
        </w:rPr>
        <w:t xml:space="preserve">Clause 4, </w:t>
      </w:r>
      <w:r>
        <w:rPr>
          <w:rStyle w:val="normaltextrun"/>
          <w:color w:val="000000"/>
          <w:shd w:val="clear" w:color="auto" w:fill="FFFFFF"/>
        </w:rPr>
        <w:t xml:space="preserve">Part 2, Schedule 1 </w:t>
      </w:r>
      <w:r w:rsidR="00081FBC">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4BA88462" w14:textId="77777777" w:rsidR="00343DB4" w:rsidRDefault="00446860" w:rsidP="00F1681A">
      <w:pPr>
        <w:rPr>
          <w:lang w:eastAsia="en-AU"/>
        </w:rPr>
      </w:pPr>
      <w:r w:rsidRPr="00081FBC">
        <w:rPr>
          <w:b/>
          <w:lang w:eastAsia="en-AU"/>
        </w:rPr>
        <w:t>Bioaccumulation potential</w:t>
      </w:r>
      <w:r>
        <w:rPr>
          <w:lang w:eastAsia="en-AU"/>
        </w:rPr>
        <w:t xml:space="preserve"> means that at least one of the following applies to the industrial chemical:</w:t>
      </w:r>
    </w:p>
    <w:p w14:paraId="1AEB731A" w14:textId="77777777" w:rsidR="00446860" w:rsidRPr="00F1681A" w:rsidRDefault="00092810" w:rsidP="003E3B1D">
      <w:pPr>
        <w:pStyle w:val="ListParagraph"/>
        <w:numPr>
          <w:ilvl w:val="0"/>
          <w:numId w:val="109"/>
        </w:numPr>
        <w:rPr>
          <w:color w:val="262626" w:themeColor="text1" w:themeTint="D9"/>
        </w:rPr>
      </w:pPr>
      <w:r w:rsidRPr="00F1681A">
        <w:rPr>
          <w:color w:val="262626" w:themeColor="text1" w:themeTint="D9"/>
          <w:lang w:val="en"/>
        </w:rPr>
        <w:t xml:space="preserve">it has a </w:t>
      </w:r>
      <w:r w:rsidR="00446860" w:rsidRPr="00F1681A">
        <w:rPr>
          <w:color w:val="262626" w:themeColor="text1" w:themeTint="D9"/>
          <w:lang w:val="en"/>
        </w:rPr>
        <w:t>bioconcentrati</w:t>
      </w:r>
      <w:r w:rsidR="00A51918" w:rsidRPr="00F1681A">
        <w:rPr>
          <w:color w:val="262626" w:themeColor="text1" w:themeTint="D9"/>
          <w:lang w:val="en"/>
        </w:rPr>
        <w:t>on factor (BCF) ≥500</w:t>
      </w:r>
      <w:r w:rsidR="00446860" w:rsidRPr="00F1681A">
        <w:rPr>
          <w:color w:val="262626" w:themeColor="text1" w:themeTint="D9"/>
          <w:lang w:val="en"/>
        </w:rPr>
        <w:t>, or</w:t>
      </w:r>
    </w:p>
    <w:p w14:paraId="55AB7B92" w14:textId="77777777" w:rsidR="00446860" w:rsidRPr="00F1681A" w:rsidRDefault="00092810" w:rsidP="003E3B1D">
      <w:pPr>
        <w:pStyle w:val="ListParagraph"/>
        <w:numPr>
          <w:ilvl w:val="0"/>
          <w:numId w:val="109"/>
        </w:numPr>
        <w:rPr>
          <w:color w:val="262626" w:themeColor="text1" w:themeTint="D9"/>
        </w:rPr>
      </w:pPr>
      <w:r w:rsidRPr="00F1681A">
        <w:rPr>
          <w:color w:val="262626" w:themeColor="text1" w:themeTint="D9"/>
          <w:lang w:val="en"/>
        </w:rPr>
        <w:t xml:space="preserve">it has a </w:t>
      </w:r>
      <w:r w:rsidR="00446860" w:rsidRPr="00F1681A">
        <w:rPr>
          <w:color w:val="262626" w:themeColor="text1" w:themeTint="D9"/>
          <w:lang w:val="en"/>
        </w:rPr>
        <w:t>bioaccumulati</w:t>
      </w:r>
      <w:r w:rsidR="00A51918" w:rsidRPr="00F1681A">
        <w:rPr>
          <w:color w:val="262626" w:themeColor="text1" w:themeTint="D9"/>
          <w:lang w:val="en"/>
        </w:rPr>
        <w:t>on factor (BAF) ≥500</w:t>
      </w:r>
      <w:r w:rsidR="00446860" w:rsidRPr="00F1681A">
        <w:rPr>
          <w:color w:val="262626" w:themeColor="text1" w:themeTint="D9"/>
          <w:lang w:val="en"/>
        </w:rPr>
        <w:t>, or</w:t>
      </w:r>
    </w:p>
    <w:p w14:paraId="2EB062B0" w14:textId="77777777" w:rsidR="00446860" w:rsidRPr="00F1681A" w:rsidRDefault="00092810" w:rsidP="003E3B1D">
      <w:pPr>
        <w:pStyle w:val="ListParagraph"/>
        <w:numPr>
          <w:ilvl w:val="0"/>
          <w:numId w:val="109"/>
        </w:numPr>
        <w:rPr>
          <w:color w:val="262626" w:themeColor="text1" w:themeTint="D9"/>
        </w:rPr>
      </w:pPr>
      <w:r w:rsidRPr="00F1681A">
        <w:rPr>
          <w:color w:val="262626" w:themeColor="text1" w:themeTint="D9"/>
          <w:lang w:val="en"/>
        </w:rPr>
        <w:t xml:space="preserve">it has a </w:t>
      </w:r>
      <w:r w:rsidR="00446860" w:rsidRPr="00F1681A">
        <w:rPr>
          <w:color w:val="262626" w:themeColor="text1" w:themeTint="D9"/>
          <w:lang w:val="en"/>
        </w:rPr>
        <w:t>partition coeff</w:t>
      </w:r>
      <w:r w:rsidR="00A51918" w:rsidRPr="00F1681A">
        <w:rPr>
          <w:color w:val="262626" w:themeColor="text1" w:themeTint="D9"/>
          <w:lang w:val="en"/>
        </w:rPr>
        <w:t>icient (log Kow) ≥4.0</w:t>
      </w:r>
      <w:r w:rsidR="00446860" w:rsidRPr="00F1681A">
        <w:rPr>
          <w:color w:val="262626" w:themeColor="text1" w:themeTint="D9"/>
          <w:lang w:val="en"/>
        </w:rPr>
        <w:t xml:space="preserve"> (</w:t>
      </w:r>
      <w:r w:rsidR="00F27B7F">
        <w:rPr>
          <w:color w:val="262626" w:themeColor="text1" w:themeTint="D9"/>
          <w:lang w:val="en"/>
        </w:rPr>
        <w:t>unless a measured BAF or BCF is &lt;500</w:t>
      </w:r>
      <w:r w:rsidR="00446860" w:rsidRPr="00F1681A">
        <w:rPr>
          <w:color w:val="262626" w:themeColor="text1" w:themeTint="D9"/>
          <w:lang w:val="en"/>
        </w:rPr>
        <w:t>)</w:t>
      </w:r>
      <w:r w:rsidR="00AC17D1">
        <w:rPr>
          <w:color w:val="262626" w:themeColor="text1" w:themeTint="D9"/>
          <w:lang w:val="en"/>
        </w:rPr>
        <w:t>.</w:t>
      </w:r>
    </w:p>
    <w:p w14:paraId="3FC6BAD3" w14:textId="77777777" w:rsidR="00092810" w:rsidRPr="00092810" w:rsidRDefault="00092810" w:rsidP="00092810">
      <w:pPr>
        <w:spacing w:before="0" w:after="0"/>
        <w:rPr>
          <w:color w:val="262626" w:themeColor="text1" w:themeTint="D9"/>
        </w:rPr>
      </w:pPr>
    </w:p>
    <w:p w14:paraId="45FA1608" w14:textId="77777777" w:rsidR="00446860" w:rsidRDefault="004F2F43" w:rsidP="00F1681A">
      <w:pPr>
        <w:pStyle w:val="Heading3"/>
        <w:ind w:left="709"/>
      </w:pPr>
      <w:r>
        <w:t>Section 30</w:t>
      </w:r>
      <w:r w:rsidR="00446860">
        <w:t xml:space="preserve"> of the </w:t>
      </w:r>
      <w:r w:rsidR="009547E9">
        <w:t>IC General Rules</w:t>
      </w:r>
      <w:r w:rsidR="00446860">
        <w:t xml:space="preserve"> - Information required to demonstrate the absence of hazard characteristics  </w:t>
      </w:r>
    </w:p>
    <w:p w14:paraId="262C0188" w14:textId="77777777" w:rsidR="00446860" w:rsidRDefault="00446860" w:rsidP="00F1681A">
      <w:pPr>
        <w:rPr>
          <w:lang w:eastAsia="en-AU"/>
        </w:rPr>
      </w:pPr>
      <w:r>
        <w:rPr>
          <w:lang w:eastAsia="en-AU"/>
        </w:rPr>
        <w:t xml:space="preserve">For the purposes of </w:t>
      </w:r>
      <w:r w:rsidR="00123229">
        <w:t xml:space="preserve">subparagraph </w:t>
      </w:r>
      <w:r w:rsidR="004F2F43">
        <w:t>30(2)(c)(iv) of the IC General Rules,</w:t>
      </w:r>
      <w:r>
        <w:rPr>
          <w:lang w:eastAsia="en-AU"/>
        </w:rPr>
        <w:t xml:space="preserve"> the information required to demonstrate that a chemical does not have the hazard characteristic, </w:t>
      </w:r>
      <w:r w:rsidRPr="00AC17D1">
        <w:rPr>
          <w:b/>
          <w:lang w:eastAsia="en-AU"/>
        </w:rPr>
        <w:t>bioaccumulation potential</w:t>
      </w:r>
      <w:r>
        <w:rPr>
          <w:lang w:eastAsia="en-AU"/>
        </w:rPr>
        <w:t>, is at least one of the following:</w:t>
      </w:r>
    </w:p>
    <w:p w14:paraId="014382F8" w14:textId="77777777" w:rsidR="00446860" w:rsidRDefault="0041667A" w:rsidP="003E3B1D">
      <w:pPr>
        <w:pStyle w:val="ListParagraph"/>
        <w:numPr>
          <w:ilvl w:val="0"/>
          <w:numId w:val="110"/>
        </w:numPr>
      </w:pPr>
      <w:r>
        <w:lastRenderedPageBreak/>
        <w:t>i</w:t>
      </w:r>
      <w:r w:rsidR="00446860">
        <w:t xml:space="preserve">nformation that </w:t>
      </w:r>
      <w:r w:rsidR="006D0D17">
        <w:t>demonstrates</w:t>
      </w:r>
      <w:r w:rsidR="00446860">
        <w:t xml:space="preserve"> that the chemical is an inorganic chemical</w:t>
      </w:r>
      <w:r w:rsidR="00CE1849">
        <w:t>, or</w:t>
      </w:r>
    </w:p>
    <w:p w14:paraId="16041F4A" w14:textId="77777777" w:rsidR="00446860" w:rsidRDefault="0041667A" w:rsidP="003E3B1D">
      <w:pPr>
        <w:pStyle w:val="ListParagraph"/>
        <w:numPr>
          <w:ilvl w:val="0"/>
          <w:numId w:val="110"/>
        </w:numPr>
      </w:pPr>
      <w:r>
        <w:t>i</w:t>
      </w:r>
      <w:r w:rsidR="00446860">
        <w:t xml:space="preserve">nformation that </w:t>
      </w:r>
      <w:r w:rsidR="006D0D17">
        <w:t>demonstrates</w:t>
      </w:r>
      <w:r w:rsidR="00446860">
        <w:t xml:space="preserve"> that the chemical has a high molecular weight</w:t>
      </w:r>
      <w:r w:rsidR="00CE1849">
        <w:t>, or</w:t>
      </w:r>
    </w:p>
    <w:p w14:paraId="37312064" w14:textId="77777777" w:rsidR="00446860" w:rsidRDefault="0041667A" w:rsidP="003E3B1D">
      <w:pPr>
        <w:pStyle w:val="ListParagraph"/>
        <w:numPr>
          <w:ilvl w:val="0"/>
          <w:numId w:val="110"/>
        </w:numPr>
      </w:pPr>
      <w:r>
        <w:t>i</w:t>
      </w:r>
      <w:r w:rsidR="00446860">
        <w:t xml:space="preserve">nformation that </w:t>
      </w:r>
      <w:r w:rsidR="006D0D17">
        <w:t>demonstrates</w:t>
      </w:r>
      <w:r w:rsidR="00446860">
        <w:t xml:space="preserve"> that the chemical is a high molecular weight polymer with:</w:t>
      </w:r>
    </w:p>
    <w:p w14:paraId="72B47EBE" w14:textId="77777777" w:rsidR="00446860" w:rsidRDefault="00446860" w:rsidP="003E3B1D">
      <w:pPr>
        <w:pStyle w:val="ListParagraph"/>
        <w:numPr>
          <w:ilvl w:val="1"/>
          <w:numId w:val="110"/>
        </w:numPr>
      </w:pPr>
      <w:r>
        <w:t>&lt; 25% low molecular weight oligomeric species &lt;1,000g/mol</w:t>
      </w:r>
    </w:p>
    <w:p w14:paraId="116F4273" w14:textId="77777777" w:rsidR="00446860" w:rsidRDefault="00446860" w:rsidP="003E3B1D">
      <w:pPr>
        <w:pStyle w:val="ListParagraph"/>
        <w:numPr>
          <w:ilvl w:val="1"/>
          <w:numId w:val="110"/>
        </w:numPr>
      </w:pPr>
      <w:r>
        <w:t>&lt;10% low molecular weight oligomeric species &lt;500g/mol</w:t>
      </w:r>
      <w:r w:rsidR="003C53E8">
        <w:t>, or</w:t>
      </w:r>
    </w:p>
    <w:p w14:paraId="74550054" w14:textId="77777777" w:rsidR="00446860" w:rsidRDefault="0041667A" w:rsidP="003E3B1D">
      <w:pPr>
        <w:pStyle w:val="ListParagraph"/>
        <w:numPr>
          <w:ilvl w:val="0"/>
          <w:numId w:val="110"/>
        </w:numPr>
      </w:pPr>
      <w:r>
        <w:t>i</w:t>
      </w:r>
      <w:r w:rsidR="00446860">
        <w:t xml:space="preserve">nformation that </w:t>
      </w:r>
      <w:r w:rsidR="006D0D17">
        <w:t>demonstrates</w:t>
      </w:r>
      <w:r w:rsidR="00446860">
        <w:t xml:space="preserve"> that the chemical has a solubility in water that is &gt;5g/L</w:t>
      </w:r>
      <w:r w:rsidR="00092810">
        <w:t>,</w:t>
      </w:r>
      <w:r w:rsidR="00446860">
        <w:t xml:space="preserve"> </w:t>
      </w:r>
      <w:r w:rsidR="00092810">
        <w:t>measured following an acceptable test guideline for water solubility</w:t>
      </w:r>
      <w:r w:rsidR="00CE1849">
        <w:t>, or</w:t>
      </w:r>
    </w:p>
    <w:p w14:paraId="7BFA8C73" w14:textId="77777777" w:rsidR="00446860" w:rsidRDefault="008F03FB" w:rsidP="003E3B1D">
      <w:pPr>
        <w:pStyle w:val="ListParagraph"/>
        <w:numPr>
          <w:ilvl w:val="0"/>
          <w:numId w:val="110"/>
        </w:numPr>
      </w:pPr>
      <w:r>
        <w:t>i</w:t>
      </w:r>
      <w:r w:rsidR="00446860">
        <w:t xml:space="preserve">nformation that </w:t>
      </w:r>
      <w:r w:rsidR="006D0D17">
        <w:t>demonstrates</w:t>
      </w:r>
      <w:r w:rsidR="00446860">
        <w:t xml:space="preserve"> that the chemical is a gas that is not expected to partition to the aquatic compartment</w:t>
      </w:r>
      <w:r w:rsidR="00CE1849">
        <w:t>, or</w:t>
      </w:r>
    </w:p>
    <w:p w14:paraId="55EB1462" w14:textId="29F62B39" w:rsidR="00F1681A" w:rsidRDefault="008F03FB" w:rsidP="003E3B1D">
      <w:pPr>
        <w:pStyle w:val="ListParagraph"/>
        <w:numPr>
          <w:ilvl w:val="0"/>
          <w:numId w:val="110"/>
        </w:numPr>
      </w:pPr>
      <w:r>
        <w:t>i</w:t>
      </w:r>
      <w:r w:rsidR="00233D5F">
        <w:t>f the chemical is not a highly branched organic chemical</w:t>
      </w:r>
      <w:r w:rsidRPr="18BCD895">
        <w:rPr>
          <w:rStyle w:val="FootnoteReference"/>
        </w:rPr>
        <w:footnoteReference w:id="17"/>
      </w:r>
      <w:r w:rsidR="00233D5F">
        <w:t xml:space="preserve"> – a test result from </w:t>
      </w:r>
      <w:r w:rsidR="00691902">
        <w:t xml:space="preserve">a study on the chemical or </w:t>
      </w:r>
      <w:r w:rsidR="00233D5F">
        <w:t>suitable read across information, conducted following an acceptable test guideline for ready biodegradability</w:t>
      </w:r>
      <w:r w:rsidR="00691902">
        <w:t>,</w:t>
      </w:r>
      <w:r w:rsidR="00233D5F">
        <w:t xml:space="preserve"> which meets at least one of the following degradation pass levels during the period specified in the test method:</w:t>
      </w:r>
    </w:p>
    <w:p w14:paraId="3679D024" w14:textId="77777777" w:rsidR="00F1681A" w:rsidRDefault="00233D5F" w:rsidP="003E3B1D">
      <w:pPr>
        <w:pStyle w:val="ListParagraph"/>
        <w:numPr>
          <w:ilvl w:val="1"/>
          <w:numId w:val="110"/>
        </w:numPr>
      </w:pPr>
      <w:r w:rsidRPr="00CE1849">
        <w:t>tests based on dissolved organic carbon (DOC) - ≥ 70% DOC removal, or</w:t>
      </w:r>
    </w:p>
    <w:p w14:paraId="7A32B510" w14:textId="77777777" w:rsidR="00233D5F" w:rsidRPr="00CE1849" w:rsidRDefault="00233D5F" w:rsidP="003E3B1D">
      <w:pPr>
        <w:pStyle w:val="ListParagraph"/>
        <w:numPr>
          <w:ilvl w:val="1"/>
          <w:numId w:val="110"/>
        </w:numPr>
      </w:pPr>
      <w:r w:rsidRPr="00CE1849">
        <w:t xml:space="preserve">tests based on carbon dioxide generation - ≥ 60% theoretical carbon dioxide, or </w:t>
      </w:r>
    </w:p>
    <w:p w14:paraId="06592BAA" w14:textId="77777777" w:rsidR="00233D5F" w:rsidRPr="00CE1849" w:rsidRDefault="00233D5F" w:rsidP="003E3B1D">
      <w:pPr>
        <w:pStyle w:val="ListParagraph"/>
        <w:numPr>
          <w:ilvl w:val="1"/>
          <w:numId w:val="110"/>
        </w:numPr>
        <w:rPr>
          <w:lang w:eastAsia="en-AU"/>
        </w:rPr>
      </w:pPr>
      <w:r w:rsidRPr="00CE1849">
        <w:t>tests based on oxygen depletion - ≥ 60% theoretical oxygen demand</w:t>
      </w:r>
      <w:r w:rsidR="00CE1849">
        <w:t>, or</w:t>
      </w:r>
    </w:p>
    <w:p w14:paraId="25ECCE2F" w14:textId="77777777" w:rsidR="00233D5F" w:rsidRPr="00CE1849" w:rsidRDefault="00691902" w:rsidP="003E3B1D">
      <w:pPr>
        <w:pStyle w:val="ListParagraph"/>
        <w:numPr>
          <w:ilvl w:val="0"/>
          <w:numId w:val="110"/>
        </w:numPr>
      </w:pPr>
      <w:r>
        <w:t xml:space="preserve">a </w:t>
      </w:r>
      <w:r w:rsidR="00526BFD">
        <w:t>t</w:t>
      </w:r>
      <w:r w:rsidR="00233D5F" w:rsidRPr="00CE1849">
        <w:t>est result from a study on the chemical, conducted following an acceptable test guideline for ready biodegradability</w:t>
      </w:r>
      <w:r w:rsidR="00424A0A">
        <w:t>,</w:t>
      </w:r>
      <w:r w:rsidR="00233D5F" w:rsidRPr="00CE1849">
        <w:t xml:space="preserve"> which meets at least one of the following degradation pass levels during the period specified in the test method:</w:t>
      </w:r>
    </w:p>
    <w:p w14:paraId="08AEA81C" w14:textId="77777777" w:rsidR="00233D5F" w:rsidRPr="00CE1849" w:rsidRDefault="00233D5F" w:rsidP="003E3B1D">
      <w:pPr>
        <w:pStyle w:val="ListParagraph"/>
        <w:numPr>
          <w:ilvl w:val="1"/>
          <w:numId w:val="110"/>
        </w:numPr>
      </w:pPr>
      <w:r w:rsidRPr="00CE1849">
        <w:t>tests based on dissolved organic carbon (DOC) - ≥ 70% DOC removal, or</w:t>
      </w:r>
    </w:p>
    <w:p w14:paraId="2F73F524" w14:textId="77777777" w:rsidR="00233D5F" w:rsidRPr="00CE1849" w:rsidRDefault="00233D5F" w:rsidP="003E3B1D">
      <w:pPr>
        <w:pStyle w:val="ListParagraph"/>
        <w:numPr>
          <w:ilvl w:val="1"/>
          <w:numId w:val="110"/>
        </w:numPr>
      </w:pPr>
      <w:r w:rsidRPr="00CE1849">
        <w:t xml:space="preserve">tests based on carbon dioxide generation - ≥ 60% theoretical carbon dioxide, or </w:t>
      </w:r>
    </w:p>
    <w:p w14:paraId="0E903E0C" w14:textId="77777777" w:rsidR="00CE1849" w:rsidRPr="00CE1849" w:rsidRDefault="00233D5F" w:rsidP="003E3B1D">
      <w:pPr>
        <w:pStyle w:val="ListParagraph"/>
        <w:numPr>
          <w:ilvl w:val="1"/>
          <w:numId w:val="110"/>
        </w:numPr>
      </w:pPr>
      <w:r w:rsidRPr="00CE1849">
        <w:t>tests based on oxygen depletion - ≥ 60% theoretical oxygen demand</w:t>
      </w:r>
      <w:r w:rsidR="00CE1849">
        <w:t>, or</w:t>
      </w:r>
    </w:p>
    <w:p w14:paraId="4EA90F47" w14:textId="77777777" w:rsidR="00092810" w:rsidRPr="00092810" w:rsidRDefault="00424A0A" w:rsidP="003E3B1D">
      <w:pPr>
        <w:pStyle w:val="ListParagraph"/>
        <w:numPr>
          <w:ilvl w:val="0"/>
          <w:numId w:val="110"/>
        </w:numPr>
      </w:pPr>
      <w:r>
        <w:t>a</w:t>
      </w:r>
      <w:r w:rsidR="00092810" w:rsidRPr="00092810">
        <w:t xml:space="preserve"> measured value from a study on the chemical or from suitable read-across information, conducted following an acceptable test guideline for partition coefficient, for which log Kow &lt;4.</w:t>
      </w:r>
      <w:r w:rsidR="001744EE">
        <w:t>0</w:t>
      </w:r>
      <w:r w:rsidR="00CE1849">
        <w:t>, or</w:t>
      </w:r>
      <w:r w:rsidR="00092810" w:rsidRPr="00092810">
        <w:t xml:space="preserve"> </w:t>
      </w:r>
    </w:p>
    <w:p w14:paraId="46BBE41E" w14:textId="77777777" w:rsidR="00092810" w:rsidRPr="00092810" w:rsidRDefault="00424A0A" w:rsidP="003E3B1D">
      <w:pPr>
        <w:pStyle w:val="ListParagraph"/>
        <w:numPr>
          <w:ilvl w:val="0"/>
          <w:numId w:val="110"/>
        </w:numPr>
      </w:pPr>
      <w:r>
        <w:t>a</w:t>
      </w:r>
      <w:r w:rsidR="00092810" w:rsidRPr="00092810">
        <w:t xml:space="preserve"> suitable in silico prediction for partition coefficient of the chemical using KOWWIN on the chemical for log Kow &lt; 4.</w:t>
      </w:r>
      <w:r w:rsidR="001744EE">
        <w:t>0</w:t>
      </w:r>
      <w:r w:rsidR="00092810" w:rsidRPr="00092810">
        <w:t xml:space="preserve"> (that is not negated by a measured log Kow)</w:t>
      </w:r>
      <w:r w:rsidR="00CE1849">
        <w:t>, or</w:t>
      </w:r>
    </w:p>
    <w:p w14:paraId="312B3E1F" w14:textId="77777777" w:rsidR="001744EE" w:rsidRDefault="00424A0A" w:rsidP="003E3B1D">
      <w:pPr>
        <w:pStyle w:val="ListParagraph"/>
        <w:numPr>
          <w:ilvl w:val="0"/>
          <w:numId w:val="110"/>
        </w:numPr>
      </w:pPr>
      <w:r>
        <w:t>a t</w:t>
      </w:r>
      <w:r w:rsidR="001744EE">
        <w:t>est result from an in vivo study on the chemical or from suitable read-across information, conducted following an acceptable test guideline for bioconcentration, for which the BCF &lt;500</w:t>
      </w:r>
      <w:r w:rsidR="00CE1849">
        <w:t>, or</w:t>
      </w:r>
    </w:p>
    <w:p w14:paraId="62FB0254" w14:textId="77777777" w:rsidR="001744EE" w:rsidRDefault="00424A0A" w:rsidP="003E3B1D">
      <w:pPr>
        <w:pStyle w:val="ListParagraph"/>
        <w:numPr>
          <w:ilvl w:val="0"/>
          <w:numId w:val="110"/>
        </w:numPr>
        <w:rPr>
          <w:lang w:eastAsia="en-AU"/>
        </w:rPr>
      </w:pPr>
      <w:r>
        <w:t>a t</w:t>
      </w:r>
      <w:r w:rsidR="001744EE">
        <w:t>est result from an in vivo study on the chemical or from suitable read-across information, conducted following an acceptable test guideline for bioaccumulation, for which the BAF &lt;500</w:t>
      </w:r>
      <w:r w:rsidR="00CE1849">
        <w:t>.</w:t>
      </w:r>
    </w:p>
    <w:p w14:paraId="52952CE7" w14:textId="77777777" w:rsidR="00446860" w:rsidRDefault="00446860" w:rsidP="00446860">
      <w:pPr>
        <w:rPr>
          <w:lang w:eastAsia="en-AU"/>
        </w:rPr>
      </w:pPr>
    </w:p>
    <w:p w14:paraId="3FE87255" w14:textId="77777777" w:rsidR="00E955D6" w:rsidRDefault="004F2F43" w:rsidP="00E955D6">
      <w:pPr>
        <w:pStyle w:val="Heading2"/>
      </w:pPr>
      <w:bookmarkStart w:id="49" w:name="_Toc43890233"/>
      <w:r>
        <w:lastRenderedPageBreak/>
        <w:t>Industrial c</w:t>
      </w:r>
      <w:r w:rsidR="00E955D6">
        <w:t>hemical (other than a polymer) that does not meet the criteria for ready biodegradability – Environment hazard band A</w:t>
      </w:r>
      <w:bookmarkEnd w:id="49"/>
    </w:p>
    <w:p w14:paraId="53770D9B" w14:textId="77777777" w:rsidR="00E955D6" w:rsidRDefault="00877BCF" w:rsidP="00F1681A">
      <w:pPr>
        <w:pStyle w:val="Heading3"/>
        <w:ind w:left="709"/>
      </w:pPr>
      <w:r>
        <w:t xml:space="preserve">Clause </w:t>
      </w:r>
      <w:r w:rsidR="00E955D6">
        <w:t xml:space="preserve">4 of Part 2, Schedule 1 </w:t>
      </w:r>
      <w:r w:rsidR="00EE674C">
        <w:t xml:space="preserve">to </w:t>
      </w:r>
      <w:r w:rsidR="00E955D6">
        <w:t xml:space="preserve">the </w:t>
      </w:r>
      <w:r w:rsidR="009547E9">
        <w:t>IC General Rules</w:t>
      </w:r>
      <w:r w:rsidR="00E955D6">
        <w:t xml:space="preserve"> </w:t>
      </w:r>
    </w:p>
    <w:p w14:paraId="1951CE46" w14:textId="77777777" w:rsidR="00E955D6" w:rsidRDefault="00E955D6" w:rsidP="00F1681A">
      <w:pPr>
        <w:rPr>
          <w:rStyle w:val="normaltextrun"/>
          <w:color w:val="000000"/>
          <w:shd w:val="clear" w:color="auto" w:fill="FFFFFF"/>
        </w:rPr>
      </w:pPr>
      <w:r>
        <w:rPr>
          <w:rStyle w:val="normaltextrun"/>
          <w:color w:val="000000"/>
          <w:shd w:val="clear" w:color="auto" w:fill="FFFFFF"/>
        </w:rPr>
        <w:t xml:space="preserve">For the purposes of table item 13 of </w:t>
      </w:r>
      <w:r w:rsidR="005A2BC7">
        <w:rPr>
          <w:rStyle w:val="normaltextrun"/>
          <w:color w:val="000000"/>
          <w:shd w:val="clear" w:color="auto" w:fill="FFFFFF"/>
        </w:rPr>
        <w:t xml:space="preserve">Clause 4, </w:t>
      </w:r>
      <w:r>
        <w:rPr>
          <w:rStyle w:val="normaltextrun"/>
          <w:color w:val="000000"/>
          <w:shd w:val="clear" w:color="auto" w:fill="FFFFFF"/>
        </w:rPr>
        <w:t xml:space="preserve">Part 2, Schedule 1 </w:t>
      </w:r>
      <w:r w:rsidR="00EE674C">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72631A89" w14:textId="77777777" w:rsidR="00E955D6" w:rsidRDefault="00966864" w:rsidP="00F1681A">
      <w:pPr>
        <w:rPr>
          <w:lang w:eastAsia="en-AU"/>
        </w:rPr>
      </w:pPr>
      <w:r w:rsidRPr="00EE674C">
        <w:rPr>
          <w:b/>
          <w:lang w:eastAsia="en-AU"/>
        </w:rPr>
        <w:t>Industrial c</w:t>
      </w:r>
      <w:r w:rsidR="00E955D6" w:rsidRPr="00EE674C">
        <w:rPr>
          <w:b/>
          <w:lang w:eastAsia="en-AU"/>
        </w:rPr>
        <w:t>hemical (other than a polymer) that does not meet the criteria for ready biodegradability</w:t>
      </w:r>
      <w:r>
        <w:rPr>
          <w:lang w:eastAsia="en-AU"/>
        </w:rPr>
        <w:t>,</w:t>
      </w:r>
      <w:r w:rsidR="00E955D6">
        <w:rPr>
          <w:lang w:eastAsia="en-AU"/>
        </w:rPr>
        <w:t xml:space="preserve"> means</w:t>
      </w:r>
      <w:r w:rsidR="00FA76EE">
        <w:rPr>
          <w:lang w:eastAsia="en-AU"/>
        </w:rPr>
        <w:t xml:space="preserve"> that a study </w:t>
      </w:r>
      <w:r w:rsidR="00C40D55">
        <w:rPr>
          <w:lang w:eastAsia="en-AU"/>
        </w:rPr>
        <w:t xml:space="preserve">on the chemical, </w:t>
      </w:r>
      <w:r w:rsidR="00FA76EE">
        <w:rPr>
          <w:lang w:eastAsia="en-AU"/>
        </w:rPr>
        <w:t xml:space="preserve">conducted following </w:t>
      </w:r>
      <w:r w:rsidR="00C40D55">
        <w:rPr>
          <w:lang w:eastAsia="en-AU"/>
        </w:rPr>
        <w:t>an acceptable test guideline for ready biodegradability</w:t>
      </w:r>
      <w:r w:rsidR="003E631E">
        <w:rPr>
          <w:lang w:eastAsia="en-AU"/>
        </w:rPr>
        <w:t>,</w:t>
      </w:r>
      <w:r w:rsidR="00FA76EE">
        <w:rPr>
          <w:lang w:eastAsia="en-AU"/>
        </w:rPr>
        <w:t xml:space="preserve"> results in at least one of the following</w:t>
      </w:r>
      <w:r w:rsidR="00C40D55">
        <w:rPr>
          <w:lang w:eastAsia="en-AU"/>
        </w:rPr>
        <w:t>, as relevant to the test method used</w:t>
      </w:r>
      <w:r w:rsidR="00FF16E1">
        <w:rPr>
          <w:lang w:eastAsia="en-AU"/>
        </w:rPr>
        <w:t>, and within the period specified in the test method</w:t>
      </w:r>
      <w:r w:rsidR="00FA76EE">
        <w:rPr>
          <w:lang w:eastAsia="en-AU"/>
        </w:rPr>
        <w:t>:</w:t>
      </w:r>
    </w:p>
    <w:p w14:paraId="5EFDE211" w14:textId="77777777" w:rsidR="00FA76EE" w:rsidRDefault="00C40D55" w:rsidP="003E3B1D">
      <w:pPr>
        <w:pStyle w:val="ListParagraph"/>
        <w:numPr>
          <w:ilvl w:val="0"/>
          <w:numId w:val="111"/>
        </w:numPr>
      </w:pPr>
      <w:r w:rsidRPr="00F1681A">
        <w:rPr>
          <w:rFonts w:cs="Segoe UI"/>
        </w:rPr>
        <w:t>≤</w:t>
      </w:r>
      <w:r w:rsidR="00FA76EE">
        <w:t>70% dissolved organic carbon (DOC) removal, or</w:t>
      </w:r>
    </w:p>
    <w:p w14:paraId="4CD6A062" w14:textId="77777777" w:rsidR="00FA76EE" w:rsidRDefault="00C40D55" w:rsidP="003E3B1D">
      <w:pPr>
        <w:pStyle w:val="ListParagraph"/>
        <w:numPr>
          <w:ilvl w:val="0"/>
          <w:numId w:val="111"/>
        </w:numPr>
      </w:pPr>
      <w:r w:rsidRPr="00F1681A">
        <w:rPr>
          <w:rFonts w:cs="Segoe UI"/>
        </w:rPr>
        <w:t>≤</w:t>
      </w:r>
      <w:r w:rsidR="00FA76EE">
        <w:t xml:space="preserve"> 60% theoretical carbon dioxide</w:t>
      </w:r>
      <w:r>
        <w:t>, or</w:t>
      </w:r>
      <w:r w:rsidR="00FA76EE">
        <w:t xml:space="preserve"> </w:t>
      </w:r>
    </w:p>
    <w:p w14:paraId="60D3B341" w14:textId="77777777" w:rsidR="00FA76EE" w:rsidRDefault="00C40D55" w:rsidP="003E3B1D">
      <w:pPr>
        <w:pStyle w:val="ListParagraph"/>
        <w:numPr>
          <w:ilvl w:val="0"/>
          <w:numId w:val="111"/>
        </w:numPr>
      </w:pPr>
      <w:r w:rsidRPr="00F1681A">
        <w:rPr>
          <w:rFonts w:cs="Segoe UI"/>
        </w:rPr>
        <w:t>≤</w:t>
      </w:r>
      <w:r w:rsidR="00FA76EE">
        <w:t>60% theoretical oxygen demand</w:t>
      </w:r>
      <w:r>
        <w:t>.</w:t>
      </w:r>
    </w:p>
    <w:p w14:paraId="3490B4C8" w14:textId="77777777" w:rsidR="00741F5D" w:rsidRDefault="00741F5D" w:rsidP="00F1681A">
      <w:pPr>
        <w:pStyle w:val="Heading3"/>
        <w:ind w:left="709"/>
      </w:pPr>
      <w:r>
        <w:t>Section 3</w:t>
      </w:r>
      <w:r w:rsidR="00966864">
        <w:t>0</w:t>
      </w:r>
      <w:r>
        <w:t xml:space="preserve"> of the </w:t>
      </w:r>
      <w:r w:rsidR="009547E9">
        <w:t>IC General Rules</w:t>
      </w:r>
      <w:r>
        <w:t xml:space="preserve"> - Information required to demonstrate the absence of hazard characteristics  </w:t>
      </w:r>
    </w:p>
    <w:p w14:paraId="2E743346" w14:textId="77777777" w:rsidR="00741F5D" w:rsidRDefault="00741F5D" w:rsidP="00F1681A">
      <w:pPr>
        <w:rPr>
          <w:lang w:eastAsia="en-AU"/>
        </w:rPr>
      </w:pPr>
      <w:r>
        <w:rPr>
          <w:lang w:eastAsia="en-AU"/>
        </w:rPr>
        <w:t xml:space="preserve">For the purposes of </w:t>
      </w:r>
      <w:r w:rsidR="00885270">
        <w:t xml:space="preserve">subparagraph </w:t>
      </w:r>
      <w:r w:rsidR="00966864">
        <w:t>30(2)(c)(iv) of the IC General Rules,</w:t>
      </w:r>
      <w:r>
        <w:rPr>
          <w:lang w:eastAsia="en-AU"/>
        </w:rPr>
        <w:t xml:space="preserve"> the information required to demonstrate that a chemical does not have the hazard characteristic,</w:t>
      </w:r>
      <w:r w:rsidR="00966864">
        <w:rPr>
          <w:lang w:eastAsia="en-AU"/>
        </w:rPr>
        <w:t xml:space="preserve"> </w:t>
      </w:r>
      <w:r w:rsidR="00966864" w:rsidRPr="0033724D">
        <w:rPr>
          <w:b/>
          <w:lang w:eastAsia="en-AU"/>
        </w:rPr>
        <w:t>industrial</w:t>
      </w:r>
      <w:r w:rsidRPr="0033724D">
        <w:rPr>
          <w:b/>
          <w:lang w:eastAsia="en-AU"/>
        </w:rPr>
        <w:t xml:space="preserve"> chemical (other than a polymer) that does not meet the criteria for ready biodegradability</w:t>
      </w:r>
      <w:r>
        <w:rPr>
          <w:lang w:eastAsia="en-AU"/>
        </w:rPr>
        <w:t>, is at least one of the following:</w:t>
      </w:r>
    </w:p>
    <w:p w14:paraId="3ADFDD5F" w14:textId="77777777" w:rsidR="00741F5D" w:rsidRDefault="00BA46A7" w:rsidP="003E3B1D">
      <w:pPr>
        <w:pStyle w:val="ListParagraph"/>
        <w:numPr>
          <w:ilvl w:val="0"/>
          <w:numId w:val="112"/>
        </w:numPr>
      </w:pPr>
      <w:r>
        <w:t>i</w:t>
      </w:r>
      <w:r w:rsidR="00741F5D">
        <w:t xml:space="preserve">nformation </w:t>
      </w:r>
      <w:r>
        <w:t xml:space="preserve">that </w:t>
      </w:r>
      <w:r w:rsidR="006D0D17">
        <w:t>demonstrates</w:t>
      </w:r>
      <w:r w:rsidR="00741F5D">
        <w:t xml:space="preserve"> that the chemical is highly volatile and </w:t>
      </w:r>
      <w:r w:rsidR="00FE2F5A">
        <w:t>it is</w:t>
      </w:r>
      <w:r w:rsidR="00741F5D">
        <w:t xml:space="preserve"> expect</w:t>
      </w:r>
      <w:r w:rsidR="00FE2F5A">
        <w:t>ed</w:t>
      </w:r>
      <w:r w:rsidR="00741F5D">
        <w:t xml:space="preserve"> to predominately partition to the air compartment</w:t>
      </w:r>
      <w:r w:rsidR="00472A03">
        <w:t>, or</w:t>
      </w:r>
    </w:p>
    <w:p w14:paraId="393C504A" w14:textId="77777777" w:rsidR="00741F5D" w:rsidRPr="000847C4" w:rsidRDefault="00BA46A7" w:rsidP="003E3B1D">
      <w:pPr>
        <w:pStyle w:val="ListParagraph"/>
        <w:numPr>
          <w:ilvl w:val="0"/>
          <w:numId w:val="112"/>
        </w:numPr>
      </w:pPr>
      <w:r>
        <w:t>i</w:t>
      </w:r>
      <w:r w:rsidR="00741F5D">
        <w:t xml:space="preserve">nformation </w:t>
      </w:r>
      <w:r>
        <w:t xml:space="preserve">that </w:t>
      </w:r>
      <w:r w:rsidR="006D0D17">
        <w:t>demonstrate</w:t>
      </w:r>
      <w:r>
        <w:t>s</w:t>
      </w:r>
      <w:r w:rsidR="00741F5D">
        <w:t xml:space="preserve"> that it is </w:t>
      </w:r>
      <w:r w:rsidR="00741F5D" w:rsidRPr="000847C4">
        <w:t>an inorganic chemical</w:t>
      </w:r>
      <w:r w:rsidR="00472A03">
        <w:t>, or</w:t>
      </w:r>
    </w:p>
    <w:p w14:paraId="59E10B5C" w14:textId="77777777" w:rsidR="00741F5D" w:rsidRPr="000847C4" w:rsidRDefault="00BA46A7" w:rsidP="003E3B1D">
      <w:pPr>
        <w:pStyle w:val="ListParagraph"/>
        <w:numPr>
          <w:ilvl w:val="0"/>
          <w:numId w:val="112"/>
        </w:numPr>
      </w:pPr>
      <w:r>
        <w:t>i</w:t>
      </w:r>
      <w:r w:rsidR="00741F5D" w:rsidRPr="000847C4">
        <w:t xml:space="preserve">nformation </w:t>
      </w:r>
      <w:r>
        <w:t>that</w:t>
      </w:r>
      <w:r w:rsidRPr="000847C4">
        <w:t xml:space="preserve"> </w:t>
      </w:r>
      <w:r w:rsidR="006D0D17">
        <w:t>demonstrate</w:t>
      </w:r>
      <w:r>
        <w:t>s</w:t>
      </w:r>
      <w:r w:rsidR="00741F5D" w:rsidRPr="000847C4">
        <w:t xml:space="preserve"> that it is a biological chemical</w:t>
      </w:r>
      <w:r w:rsidR="00472A03">
        <w:t>, or</w:t>
      </w:r>
      <w:r w:rsidR="00741F5D" w:rsidRPr="000847C4">
        <w:t xml:space="preserve"> </w:t>
      </w:r>
    </w:p>
    <w:p w14:paraId="297DB884" w14:textId="4C2CE219" w:rsidR="00233D5F" w:rsidRPr="00233D5F" w:rsidRDefault="00BA46A7" w:rsidP="003E3B1D">
      <w:pPr>
        <w:pStyle w:val="ListParagraph"/>
        <w:numPr>
          <w:ilvl w:val="0"/>
          <w:numId w:val="112"/>
        </w:numPr>
      </w:pPr>
      <w:r>
        <w:t>i</w:t>
      </w:r>
      <w:r w:rsidR="00233D5F" w:rsidRPr="00233D5F">
        <w:t>f the chemical is not a highly branched organic chemical</w:t>
      </w:r>
      <w:r w:rsidR="000A4AAA">
        <w:rPr>
          <w:rStyle w:val="FootnoteReference"/>
        </w:rPr>
        <w:footnoteReference w:id="18"/>
      </w:r>
      <w:r w:rsidR="00233D5F" w:rsidRPr="00233D5F">
        <w:t xml:space="preserve"> – a test result from </w:t>
      </w:r>
      <w:r w:rsidR="00062C64">
        <w:t>a study on the chemical or</w:t>
      </w:r>
      <w:r w:rsidR="00233D5F" w:rsidRPr="00233D5F">
        <w:t xml:space="preserve"> suitable read across information, conducted following an acceptable test guideline for ready biodegradability</w:t>
      </w:r>
      <w:r w:rsidR="00062C64">
        <w:t>,</w:t>
      </w:r>
      <w:r w:rsidR="00233D5F" w:rsidRPr="00233D5F">
        <w:t xml:space="preserve"> which meets at least one of the following degradation pass levels during the period specified in the test method:</w:t>
      </w:r>
    </w:p>
    <w:p w14:paraId="571C6F9A" w14:textId="77777777" w:rsidR="00F1681A" w:rsidRDefault="00233D5F" w:rsidP="003E3B1D">
      <w:pPr>
        <w:pStyle w:val="ListParagraph"/>
        <w:numPr>
          <w:ilvl w:val="1"/>
          <w:numId w:val="112"/>
        </w:numPr>
      </w:pPr>
      <w:r w:rsidRPr="00233D5F">
        <w:t>tests based on dissolved organic carbon (DOC) - ≥70% DOC removal, or</w:t>
      </w:r>
    </w:p>
    <w:p w14:paraId="78F24401" w14:textId="77777777" w:rsidR="00233D5F" w:rsidRPr="00233D5F" w:rsidRDefault="00233D5F" w:rsidP="003E3B1D">
      <w:pPr>
        <w:pStyle w:val="ListParagraph"/>
        <w:numPr>
          <w:ilvl w:val="1"/>
          <w:numId w:val="112"/>
        </w:numPr>
      </w:pPr>
      <w:r w:rsidRPr="00233D5F">
        <w:t>tests based on carbon dioxide generation - ≥ 60% theoretical carbon dioxide</w:t>
      </w:r>
    </w:p>
    <w:p w14:paraId="0127CB22" w14:textId="77777777" w:rsidR="00233D5F" w:rsidRPr="00233D5F" w:rsidRDefault="00233D5F" w:rsidP="003E3B1D">
      <w:pPr>
        <w:pStyle w:val="ListParagraph"/>
        <w:numPr>
          <w:ilvl w:val="1"/>
          <w:numId w:val="112"/>
        </w:numPr>
        <w:rPr>
          <w:lang w:eastAsia="en-AU"/>
        </w:rPr>
      </w:pPr>
      <w:r w:rsidRPr="00233D5F">
        <w:t>tests based on oxygen depletion -≥ 60% theoretical oxygen demand</w:t>
      </w:r>
      <w:r w:rsidR="00472A03">
        <w:t>, or</w:t>
      </w:r>
    </w:p>
    <w:p w14:paraId="6EA89910" w14:textId="77777777" w:rsidR="000847C4" w:rsidRPr="000847C4" w:rsidRDefault="00062C64" w:rsidP="003E3B1D">
      <w:pPr>
        <w:pStyle w:val="ListParagraph"/>
        <w:numPr>
          <w:ilvl w:val="0"/>
          <w:numId w:val="112"/>
        </w:numPr>
      </w:pPr>
      <w:r>
        <w:t>a t</w:t>
      </w:r>
      <w:r w:rsidR="00830C22" w:rsidRPr="000847C4">
        <w:t>est result from a study on the chemical, conducted following an acceptable test guideline for ready biodegradability</w:t>
      </w:r>
      <w:r>
        <w:t>,</w:t>
      </w:r>
      <w:r w:rsidR="00830C22" w:rsidRPr="000847C4">
        <w:t xml:space="preserve"> </w:t>
      </w:r>
      <w:r w:rsidR="000847C4" w:rsidRPr="000847C4">
        <w:t>which meets at least one of the following degradation pass levels during the period specified in the test method:</w:t>
      </w:r>
    </w:p>
    <w:p w14:paraId="5504E01E" w14:textId="77777777" w:rsidR="000847C4" w:rsidRPr="000847C4" w:rsidRDefault="000847C4" w:rsidP="003E3B1D">
      <w:pPr>
        <w:pStyle w:val="ListParagraph"/>
        <w:numPr>
          <w:ilvl w:val="1"/>
          <w:numId w:val="112"/>
        </w:numPr>
      </w:pPr>
      <w:r w:rsidRPr="000847C4">
        <w:t>tests based on dissolved organic carbon (DOC) - ≥70% DOC removal, or</w:t>
      </w:r>
    </w:p>
    <w:p w14:paraId="3716B418" w14:textId="77777777" w:rsidR="00233D5F" w:rsidRDefault="000847C4" w:rsidP="003E3B1D">
      <w:pPr>
        <w:pStyle w:val="ListParagraph"/>
        <w:numPr>
          <w:ilvl w:val="1"/>
          <w:numId w:val="112"/>
        </w:numPr>
      </w:pPr>
      <w:r w:rsidRPr="000847C4">
        <w:lastRenderedPageBreak/>
        <w:t xml:space="preserve">tests based on carbon dioxide generation - ≥60% theoretical carbon dioxide, or </w:t>
      </w:r>
    </w:p>
    <w:p w14:paraId="7D07C459" w14:textId="77777777" w:rsidR="00FE3D35" w:rsidRDefault="000847C4" w:rsidP="003E3B1D">
      <w:pPr>
        <w:pStyle w:val="ListParagraph"/>
        <w:numPr>
          <w:ilvl w:val="1"/>
          <w:numId w:val="112"/>
        </w:numPr>
      </w:pPr>
      <w:r w:rsidRPr="000847C4">
        <w:t>tests based on oxygen depletion - ≥60% theoretical oxygen demand</w:t>
      </w:r>
      <w:r w:rsidR="00472A03">
        <w:t>.</w:t>
      </w:r>
    </w:p>
    <w:p w14:paraId="2E047D0C" w14:textId="77777777" w:rsidR="0077378A" w:rsidRDefault="0077378A" w:rsidP="0077378A">
      <w:pPr>
        <w:pStyle w:val="ListParagraph"/>
        <w:numPr>
          <w:ilvl w:val="0"/>
          <w:numId w:val="0"/>
        </w:numPr>
        <w:ind w:left="1440"/>
      </w:pPr>
    </w:p>
    <w:p w14:paraId="7D3E12CB" w14:textId="77777777" w:rsidR="00A51918" w:rsidRDefault="00A51918" w:rsidP="00A51918">
      <w:pPr>
        <w:pStyle w:val="Heading2"/>
      </w:pPr>
      <w:bookmarkStart w:id="50" w:name="_Toc43890234"/>
      <w:r w:rsidRPr="000847C4">
        <w:t>Harmful to any aquatic life – Environment</w:t>
      </w:r>
      <w:r>
        <w:t xml:space="preserve"> hazard band </w:t>
      </w:r>
      <w:r w:rsidR="00FE3D35">
        <w:t>A</w:t>
      </w:r>
      <w:bookmarkEnd w:id="50"/>
    </w:p>
    <w:p w14:paraId="5163E2FE" w14:textId="77777777" w:rsidR="00A51918" w:rsidRDefault="00877BCF" w:rsidP="00F1681A">
      <w:pPr>
        <w:pStyle w:val="Heading3"/>
        <w:ind w:left="709"/>
      </w:pPr>
      <w:r>
        <w:t xml:space="preserve">Clause </w:t>
      </w:r>
      <w:r w:rsidR="00A51918">
        <w:t xml:space="preserve">4 of Part 2, Schedule 1 </w:t>
      </w:r>
      <w:r w:rsidR="00062C64">
        <w:t xml:space="preserve">to </w:t>
      </w:r>
      <w:r w:rsidR="00A51918">
        <w:t xml:space="preserve">the </w:t>
      </w:r>
      <w:r w:rsidR="009547E9">
        <w:t>IC General Rules</w:t>
      </w:r>
      <w:r w:rsidR="00A51918">
        <w:t xml:space="preserve"> </w:t>
      </w:r>
    </w:p>
    <w:p w14:paraId="0007FDD3" w14:textId="7227EAD4" w:rsidR="00A51918" w:rsidRDefault="00A51918" w:rsidP="00F1681A">
      <w:pPr>
        <w:rPr>
          <w:rStyle w:val="normaltextrun"/>
          <w:color w:val="000000"/>
          <w:shd w:val="clear" w:color="auto" w:fill="FFFFFF"/>
        </w:rPr>
      </w:pPr>
      <w:r>
        <w:rPr>
          <w:rStyle w:val="normaltextrun"/>
          <w:color w:val="000000"/>
          <w:shd w:val="clear" w:color="auto" w:fill="FFFFFF"/>
        </w:rPr>
        <w:t>For t</w:t>
      </w:r>
      <w:r w:rsidR="00F66E7F">
        <w:rPr>
          <w:rStyle w:val="normaltextrun"/>
          <w:color w:val="000000"/>
          <w:shd w:val="clear" w:color="auto" w:fill="FFFFFF"/>
        </w:rPr>
        <w:t>he purposes of table item 14 of</w:t>
      </w:r>
      <w:r w:rsidR="00062C64">
        <w:rPr>
          <w:rStyle w:val="normaltextrun"/>
          <w:color w:val="000000"/>
          <w:shd w:val="clear" w:color="auto" w:fill="FFFFFF"/>
        </w:rPr>
        <w:t xml:space="preserve"> Clause 4, </w:t>
      </w:r>
      <w:r>
        <w:rPr>
          <w:rStyle w:val="normaltextrun"/>
          <w:color w:val="000000"/>
          <w:shd w:val="clear" w:color="auto" w:fill="FFFFFF"/>
        </w:rPr>
        <w:t>Part 2</w:t>
      </w:r>
      <w:r w:rsidR="0FDD9A8B">
        <w:rPr>
          <w:rStyle w:val="normaltextrun"/>
          <w:color w:val="000000"/>
          <w:shd w:val="clear" w:color="auto" w:fill="FFFFFF"/>
        </w:rPr>
        <w:t xml:space="preserve">, </w:t>
      </w:r>
      <w:r>
        <w:rPr>
          <w:rStyle w:val="normaltextrun"/>
          <w:color w:val="000000"/>
          <w:shd w:val="clear" w:color="auto" w:fill="FFFFFF"/>
        </w:rPr>
        <w:t xml:space="preserve">Schedule 1 </w:t>
      </w:r>
      <w:r w:rsidR="00062C64">
        <w:rPr>
          <w:rStyle w:val="normaltextrun"/>
          <w:color w:val="000000"/>
          <w:shd w:val="clear" w:color="auto" w:fill="FFFFFF"/>
        </w:rPr>
        <w:t xml:space="preserve">to </w:t>
      </w:r>
      <w:r w:rsidR="0062271E">
        <w:rPr>
          <w:rStyle w:val="normaltextrun"/>
          <w:color w:val="000000"/>
          <w:shd w:val="clear" w:color="auto" w:fill="FFFFFF"/>
        </w:rPr>
        <w:t>the IC General Rules</w:t>
      </w:r>
      <w:r>
        <w:rPr>
          <w:rStyle w:val="normaltextrun"/>
          <w:color w:val="000000"/>
          <w:shd w:val="clear" w:color="auto" w:fill="FFFFFF"/>
        </w:rPr>
        <w:t>:</w:t>
      </w:r>
    </w:p>
    <w:p w14:paraId="4DA12912" w14:textId="77777777" w:rsidR="00A51918" w:rsidRDefault="00623E78" w:rsidP="00F1681A">
      <w:pPr>
        <w:rPr>
          <w:rStyle w:val="eop"/>
          <w:color w:val="000000"/>
          <w:shd w:val="clear" w:color="auto" w:fill="FFFFFF"/>
        </w:rPr>
      </w:pPr>
      <w:r w:rsidRPr="00623E78">
        <w:rPr>
          <w:rStyle w:val="normaltextrun"/>
          <w:b/>
          <w:color w:val="000000"/>
          <w:shd w:val="clear" w:color="auto" w:fill="FFFFFF"/>
        </w:rPr>
        <w:t xml:space="preserve">Harmful </w:t>
      </w:r>
      <w:r w:rsidR="00A51918" w:rsidRPr="00623E78">
        <w:rPr>
          <w:rStyle w:val="normaltextrun"/>
          <w:b/>
          <w:color w:val="000000"/>
          <w:shd w:val="clear" w:color="auto" w:fill="FFFFFF"/>
        </w:rPr>
        <w:t>to any aquatic life</w:t>
      </w:r>
      <w:r w:rsidR="00A51918">
        <w:rPr>
          <w:rStyle w:val="normaltextrun"/>
          <w:color w:val="000000"/>
          <w:shd w:val="clear" w:color="auto" w:fill="FFFFFF"/>
        </w:rPr>
        <w:t xml:space="preserve"> means that any of the following apply to the industrial chemical:</w:t>
      </w:r>
      <w:r w:rsidR="00A51918">
        <w:rPr>
          <w:rStyle w:val="eop"/>
          <w:color w:val="000000"/>
          <w:shd w:val="clear" w:color="auto" w:fill="FFFFFF"/>
        </w:rPr>
        <w:t> </w:t>
      </w:r>
    </w:p>
    <w:p w14:paraId="3AB171D4" w14:textId="77777777" w:rsidR="00F1681A" w:rsidRDefault="00A51918" w:rsidP="003E3B1D">
      <w:pPr>
        <w:pStyle w:val="ListParagraph"/>
        <w:numPr>
          <w:ilvl w:val="0"/>
          <w:numId w:val="113"/>
        </w:numPr>
        <w:rPr>
          <w:lang w:eastAsia="en-AU"/>
        </w:rPr>
      </w:pPr>
      <w:r>
        <w:rPr>
          <w:lang w:eastAsia="en-AU"/>
        </w:rPr>
        <w:t>the chemical is known to cause:</w:t>
      </w:r>
    </w:p>
    <w:p w14:paraId="4468B4C5" w14:textId="77777777" w:rsidR="00A51918" w:rsidRPr="00F1681A" w:rsidRDefault="00A51918" w:rsidP="003E3B1D">
      <w:pPr>
        <w:pStyle w:val="ListParagraph"/>
        <w:numPr>
          <w:ilvl w:val="1"/>
          <w:numId w:val="113"/>
        </w:numPr>
        <w:rPr>
          <w:lang w:eastAsia="en-AU"/>
        </w:rPr>
      </w:pPr>
      <w:r w:rsidRPr="00F1681A">
        <w:rPr>
          <w:rFonts w:cstheme="minorHAnsi"/>
          <w:color w:val="262626"/>
          <w:lang w:val="en"/>
        </w:rPr>
        <w:t xml:space="preserve">toxic injury to an organism following short term aquatic exposure </w:t>
      </w:r>
      <w:r w:rsidR="00472A03" w:rsidRPr="00F1681A">
        <w:rPr>
          <w:rFonts w:cstheme="minorHAnsi"/>
          <w:color w:val="262626"/>
          <w:lang w:val="en"/>
        </w:rPr>
        <w:t xml:space="preserve">, as described in chapter 4.1 of the GHS, with the chemical classified as acute aquatic toxicity (category 3), </w:t>
      </w:r>
      <w:r w:rsidRPr="00F1681A">
        <w:rPr>
          <w:rFonts w:cstheme="minorHAnsi"/>
          <w:color w:val="262626"/>
          <w:lang w:val="en"/>
        </w:rPr>
        <w:t>or</w:t>
      </w:r>
    </w:p>
    <w:p w14:paraId="7FEBD2D6" w14:textId="77777777" w:rsidR="00A51918" w:rsidRPr="00F1681A" w:rsidRDefault="00A51918" w:rsidP="003E3B1D">
      <w:pPr>
        <w:pStyle w:val="ListParagraph"/>
        <w:numPr>
          <w:ilvl w:val="1"/>
          <w:numId w:val="113"/>
        </w:numPr>
        <w:rPr>
          <w:rFonts w:cstheme="minorHAnsi"/>
          <w:color w:val="262626"/>
          <w:lang w:val="en"/>
        </w:rPr>
      </w:pPr>
      <w:r w:rsidRPr="00F1681A">
        <w:rPr>
          <w:rFonts w:cstheme="minorHAnsi"/>
          <w:color w:val="262626"/>
          <w:lang w:val="en"/>
        </w:rPr>
        <w:t>adverse effects to an organism during aquatic exposures determined in relation to the life-cycle of the organism, as described in chapter 4.1 of the GHS, with the chemical classified as</w:t>
      </w:r>
      <w:r w:rsidR="00472A03" w:rsidRPr="00F1681A">
        <w:rPr>
          <w:rFonts w:cstheme="minorHAnsi"/>
          <w:color w:val="262626"/>
          <w:lang w:val="en"/>
        </w:rPr>
        <w:t xml:space="preserve"> chronic aquatic toxicity (category 3 or 4)</w:t>
      </w:r>
      <w:r w:rsidR="0077378A">
        <w:rPr>
          <w:rFonts w:cstheme="minorHAnsi"/>
          <w:color w:val="262626"/>
          <w:lang w:val="en"/>
        </w:rPr>
        <w:t>, or</w:t>
      </w:r>
    </w:p>
    <w:p w14:paraId="150463D1" w14:textId="77777777" w:rsidR="00A36F5C" w:rsidRPr="00F1681A" w:rsidRDefault="00A36F5C" w:rsidP="003E3B1D">
      <w:pPr>
        <w:pStyle w:val="ListParagraph"/>
        <w:numPr>
          <w:ilvl w:val="0"/>
          <w:numId w:val="113"/>
        </w:numPr>
        <w:rPr>
          <w:rFonts w:cstheme="minorHAnsi"/>
          <w:color w:val="262626"/>
          <w:lang w:val="en"/>
        </w:rPr>
      </w:pPr>
      <w:r w:rsidRPr="00F1681A">
        <w:rPr>
          <w:rFonts w:cstheme="minorHAnsi"/>
          <w:color w:val="262626"/>
          <w:lang w:val="en"/>
        </w:rPr>
        <w:t xml:space="preserve">an in vivo acute study on the chemical: </w:t>
      </w:r>
    </w:p>
    <w:p w14:paraId="6475F701" w14:textId="34822590"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conducted following an acceptable test guideline for acute toxicity to fish results in a 96h LC50 &gt;10mg/L but ≤100mg/L</w:t>
      </w:r>
      <w:r w:rsidR="00B54126">
        <w:rPr>
          <w:rFonts w:cstheme="minorHAnsi"/>
          <w:color w:val="262626"/>
          <w:lang w:val="en"/>
        </w:rPr>
        <w:t>,</w:t>
      </w:r>
      <w:r w:rsidRPr="00F1681A">
        <w:rPr>
          <w:rFonts w:cstheme="minorHAnsi"/>
          <w:color w:val="262626"/>
          <w:lang w:val="en"/>
        </w:rPr>
        <w:t xml:space="preserve"> or</w:t>
      </w:r>
    </w:p>
    <w:p w14:paraId="1C91D667" w14:textId="293E6F54"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conducted following an acceptable test guideline for acute toxicity to invertebrates results in a 48h EC50 &gt;10mg/L but ≤100mg/L</w:t>
      </w:r>
      <w:r w:rsidR="00C91D6F">
        <w:rPr>
          <w:rFonts w:cstheme="minorHAnsi"/>
          <w:color w:val="262626"/>
          <w:lang w:val="en"/>
        </w:rPr>
        <w:t>,</w:t>
      </w:r>
      <w:r w:rsidRPr="00F1681A">
        <w:rPr>
          <w:rFonts w:cstheme="minorHAnsi"/>
          <w:color w:val="262626"/>
          <w:lang w:val="en"/>
        </w:rPr>
        <w:t xml:space="preserve"> or</w:t>
      </w:r>
    </w:p>
    <w:p w14:paraId="21DAFC9F" w14:textId="385B2939"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conducted following an acceptable test guideline for acute toxicity to algae or other aquatic plants results in a 72 or 96h ErC50 &gt;10mg/L but ≤100mg/L</w:t>
      </w:r>
      <w:r w:rsidR="004A27F7">
        <w:rPr>
          <w:rFonts w:cstheme="minorHAnsi"/>
          <w:color w:val="262626"/>
          <w:lang w:val="en"/>
        </w:rPr>
        <w:t>, or</w:t>
      </w:r>
    </w:p>
    <w:p w14:paraId="691A1303" w14:textId="77777777" w:rsidR="00A36F5C" w:rsidRPr="00F1681A" w:rsidRDefault="00A36F5C" w:rsidP="003E3B1D">
      <w:pPr>
        <w:pStyle w:val="ListParagraph"/>
        <w:numPr>
          <w:ilvl w:val="0"/>
          <w:numId w:val="113"/>
        </w:numPr>
        <w:rPr>
          <w:rFonts w:cstheme="minorHAnsi"/>
          <w:color w:val="262626"/>
          <w:lang w:val="en"/>
        </w:rPr>
      </w:pPr>
      <w:r w:rsidRPr="00F1681A">
        <w:rPr>
          <w:rFonts w:cstheme="minorHAnsi"/>
          <w:color w:val="262626"/>
          <w:lang w:val="en"/>
        </w:rPr>
        <w:t xml:space="preserve">an in vivo chronic study on the chemical conducted following an acceptable test guideline for chronic toxicity to fish, chronic toxicity to invertebrates, or chronic toxicity to algae or other aquatic plants results in a: </w:t>
      </w:r>
    </w:p>
    <w:p w14:paraId="28583D39" w14:textId="77777777" w:rsidR="00A36F5C" w:rsidRPr="00F1681A" w:rsidRDefault="0093616A" w:rsidP="003E3B1D">
      <w:pPr>
        <w:pStyle w:val="ListParagraph"/>
        <w:numPr>
          <w:ilvl w:val="1"/>
          <w:numId w:val="113"/>
        </w:numPr>
        <w:rPr>
          <w:rFonts w:cstheme="minorHAnsi"/>
          <w:color w:val="262626"/>
          <w:lang w:val="en"/>
        </w:rPr>
      </w:pPr>
      <w:r>
        <w:rPr>
          <w:rFonts w:cstheme="minorHAnsi"/>
          <w:color w:val="262626"/>
          <w:lang w:val="en"/>
        </w:rPr>
        <w:t>NOEC or EC</w:t>
      </w:r>
      <w:r w:rsidRPr="0093616A">
        <w:rPr>
          <w:rFonts w:cstheme="minorHAnsi"/>
          <w:color w:val="262626"/>
          <w:vertAlign w:val="subscript"/>
          <w:lang w:val="en"/>
        </w:rPr>
        <w:t>10</w:t>
      </w:r>
      <w:r w:rsidR="00A36F5C" w:rsidRPr="00F1681A">
        <w:rPr>
          <w:rFonts w:cstheme="minorHAnsi"/>
          <w:color w:val="262626"/>
          <w:lang w:val="en"/>
        </w:rPr>
        <w:t xml:space="preserve"> &gt;0.</w:t>
      </w:r>
      <w:r w:rsidR="007A6923" w:rsidRPr="00F1681A">
        <w:rPr>
          <w:rFonts w:cstheme="minorHAnsi"/>
          <w:color w:val="262626"/>
          <w:lang w:val="en"/>
        </w:rPr>
        <w:t>1</w:t>
      </w:r>
      <w:r w:rsidR="00A36F5C" w:rsidRPr="00F1681A">
        <w:rPr>
          <w:rFonts w:cstheme="minorHAnsi"/>
          <w:color w:val="262626"/>
          <w:lang w:val="en"/>
        </w:rPr>
        <w:t>mg/L but ≤</w:t>
      </w:r>
      <w:r w:rsidR="007A6923" w:rsidRPr="00F1681A">
        <w:rPr>
          <w:rFonts w:cstheme="minorHAnsi"/>
          <w:color w:val="262626"/>
          <w:lang w:val="en"/>
        </w:rPr>
        <w:t>1</w:t>
      </w:r>
      <w:r w:rsidR="00A36F5C" w:rsidRPr="00F1681A">
        <w:rPr>
          <w:rFonts w:cstheme="minorHAnsi"/>
          <w:color w:val="262626"/>
          <w:lang w:val="en"/>
        </w:rPr>
        <w:t>mg/L (for chemicals that are readily biodegradable)</w:t>
      </w:r>
      <w:r w:rsidR="004A27F7">
        <w:rPr>
          <w:rFonts w:cstheme="minorHAnsi"/>
          <w:color w:val="262626"/>
          <w:lang w:val="en"/>
        </w:rPr>
        <w:t>, or</w:t>
      </w:r>
    </w:p>
    <w:p w14:paraId="5C317318" w14:textId="77777777" w:rsidR="00F1681A" w:rsidRPr="00F1681A" w:rsidRDefault="00A36F5C" w:rsidP="003E3B1D">
      <w:pPr>
        <w:pStyle w:val="ListParagraph"/>
        <w:numPr>
          <w:ilvl w:val="0"/>
          <w:numId w:val="113"/>
        </w:numPr>
        <w:rPr>
          <w:rFonts w:cstheme="minorHAnsi"/>
          <w:color w:val="262626"/>
          <w:lang w:val="en"/>
        </w:rPr>
      </w:pPr>
      <w:r w:rsidRPr="00F1681A">
        <w:rPr>
          <w:rFonts w:cstheme="minorHAnsi"/>
          <w:color w:val="262626"/>
          <w:lang w:val="en"/>
        </w:rPr>
        <w:t>a suitable in silico prediction for acute aquatic toxicity results in a prediction of:</w:t>
      </w:r>
      <w:r w:rsidR="00F1681A" w:rsidRPr="00F1681A">
        <w:rPr>
          <w:rFonts w:cstheme="minorHAnsi"/>
          <w:color w:val="262626"/>
          <w:lang w:val="en"/>
        </w:rPr>
        <w:t xml:space="preserve">  </w:t>
      </w:r>
    </w:p>
    <w:p w14:paraId="7019532E" w14:textId="77777777"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for fish - 96h LC50 &gt;10mg/L but ≤100mg/L</w:t>
      </w:r>
      <w:r w:rsidR="00C91D6F">
        <w:rPr>
          <w:rFonts w:cstheme="minorHAnsi"/>
          <w:color w:val="262626"/>
          <w:lang w:val="en"/>
        </w:rPr>
        <w:t>,</w:t>
      </w:r>
      <w:r w:rsidRPr="00F1681A">
        <w:rPr>
          <w:rFonts w:cstheme="minorHAnsi"/>
          <w:color w:val="262626"/>
          <w:lang w:val="en"/>
        </w:rPr>
        <w:t xml:space="preserve"> or</w:t>
      </w:r>
    </w:p>
    <w:p w14:paraId="16990865" w14:textId="77777777"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for invertebrates - 48h EC50 &gt;10mg/L but ≤100mg/L</w:t>
      </w:r>
      <w:r w:rsidR="00C91D6F">
        <w:rPr>
          <w:rFonts w:cstheme="minorHAnsi"/>
          <w:color w:val="262626"/>
          <w:lang w:val="en"/>
        </w:rPr>
        <w:t>,</w:t>
      </w:r>
      <w:r w:rsidRPr="00F1681A">
        <w:rPr>
          <w:rFonts w:cstheme="minorHAnsi"/>
          <w:color w:val="262626"/>
          <w:lang w:val="en"/>
        </w:rPr>
        <w:t xml:space="preserve"> or</w:t>
      </w:r>
    </w:p>
    <w:p w14:paraId="07E3C7C3" w14:textId="77777777" w:rsidR="00A36F5C" w:rsidRPr="00F1681A" w:rsidRDefault="00A36F5C" w:rsidP="003E3B1D">
      <w:pPr>
        <w:pStyle w:val="ListParagraph"/>
        <w:numPr>
          <w:ilvl w:val="1"/>
          <w:numId w:val="113"/>
        </w:numPr>
        <w:rPr>
          <w:rFonts w:cstheme="minorHAnsi"/>
          <w:color w:val="262626"/>
          <w:lang w:val="en"/>
        </w:rPr>
      </w:pPr>
      <w:r w:rsidRPr="00F1681A">
        <w:rPr>
          <w:rFonts w:cstheme="minorHAnsi"/>
          <w:color w:val="262626"/>
          <w:lang w:val="en"/>
        </w:rPr>
        <w:t>for algae or other aquatic plants - 72 or 96h ErC50 &gt;10mg/L but ≤100mg/L.</w:t>
      </w:r>
    </w:p>
    <w:p w14:paraId="487338BD" w14:textId="77777777" w:rsidR="00A36F5C" w:rsidRPr="00F1681A" w:rsidRDefault="00A36F5C" w:rsidP="003320C7">
      <w:pPr>
        <w:pStyle w:val="ListParagraph"/>
        <w:numPr>
          <w:ilvl w:val="0"/>
          <w:numId w:val="0"/>
        </w:numPr>
        <w:ind w:left="720"/>
        <w:rPr>
          <w:rFonts w:cstheme="minorHAnsi"/>
          <w:color w:val="262626"/>
          <w:lang w:val="en"/>
        </w:rPr>
      </w:pPr>
      <w:r w:rsidRPr="00F1681A">
        <w:rPr>
          <w:rFonts w:cstheme="minorHAnsi"/>
          <w:color w:val="262626"/>
          <w:lang w:val="en"/>
        </w:rPr>
        <w:t xml:space="preserve">and the predictions have not been negated </w:t>
      </w:r>
      <w:r w:rsidR="00876871">
        <w:rPr>
          <w:rFonts w:cstheme="minorHAnsi"/>
          <w:color w:val="262626"/>
          <w:lang w:val="en"/>
        </w:rPr>
        <w:t xml:space="preserve">by </w:t>
      </w:r>
      <w:r w:rsidRPr="00F1681A">
        <w:rPr>
          <w:rFonts w:cstheme="minorHAnsi"/>
          <w:color w:val="262626"/>
          <w:lang w:val="en"/>
        </w:rPr>
        <w:t>in vivo studies conducted on the chemical for aquatic toxicity.</w:t>
      </w:r>
    </w:p>
    <w:p w14:paraId="07548DA5" w14:textId="77777777" w:rsidR="00A51918" w:rsidRDefault="00966864" w:rsidP="00F1681A">
      <w:pPr>
        <w:pStyle w:val="Heading3"/>
        <w:ind w:left="709"/>
      </w:pPr>
      <w:r>
        <w:t xml:space="preserve">Section </w:t>
      </w:r>
      <w:r w:rsidR="00A51918">
        <w:t>3</w:t>
      </w:r>
      <w:r>
        <w:t>0</w:t>
      </w:r>
      <w:r w:rsidR="00A51918">
        <w:t xml:space="preserve"> of the </w:t>
      </w:r>
      <w:r w:rsidR="009547E9">
        <w:t>IC General Rules</w:t>
      </w:r>
      <w:r w:rsidR="00A51918">
        <w:t xml:space="preserve"> - Information required to demonstrate the absence of hazard characteristics  </w:t>
      </w:r>
    </w:p>
    <w:p w14:paraId="51CAA465" w14:textId="44D9186B" w:rsidR="00A51918" w:rsidRDefault="00A51918" w:rsidP="00F1681A">
      <w:pPr>
        <w:rPr>
          <w:lang w:eastAsia="en-AU"/>
        </w:rPr>
      </w:pPr>
      <w:r>
        <w:rPr>
          <w:lang w:eastAsia="en-AU"/>
        </w:rPr>
        <w:t xml:space="preserve">For the purposes of </w:t>
      </w:r>
      <w:r w:rsidR="00C91D6F">
        <w:t xml:space="preserve">subparagraph </w:t>
      </w:r>
      <w:r w:rsidR="00966864">
        <w:t>30(2)(c)(iv) of the IC General Rules,</w:t>
      </w:r>
      <w:r>
        <w:rPr>
          <w:lang w:eastAsia="en-AU"/>
        </w:rPr>
        <w:t xml:space="preserve"> the information required to demonstrate that a chemical does not have the hazard characteristic,</w:t>
      </w:r>
      <w:r w:rsidRPr="00D52C32">
        <w:rPr>
          <w:lang w:eastAsia="en-AU"/>
        </w:rPr>
        <w:t xml:space="preserve"> </w:t>
      </w:r>
      <w:r w:rsidR="00896B08">
        <w:rPr>
          <w:b/>
          <w:lang w:eastAsia="en-AU"/>
        </w:rPr>
        <w:t>harmful</w:t>
      </w:r>
      <w:r w:rsidR="00896B08" w:rsidRPr="005A0D5C">
        <w:rPr>
          <w:b/>
          <w:lang w:eastAsia="en-AU"/>
        </w:rPr>
        <w:t xml:space="preserve"> </w:t>
      </w:r>
      <w:r w:rsidRPr="005A0D5C">
        <w:rPr>
          <w:b/>
          <w:lang w:eastAsia="en-AU"/>
        </w:rPr>
        <w:t>to any aquatic life</w:t>
      </w:r>
      <w:r>
        <w:rPr>
          <w:lang w:eastAsia="en-AU"/>
        </w:rPr>
        <w:t xml:space="preserve">, </w:t>
      </w:r>
      <w:r w:rsidR="0067798B">
        <w:rPr>
          <w:lang w:eastAsia="en-AU"/>
        </w:rPr>
        <w:t>is at least one of the following:</w:t>
      </w:r>
    </w:p>
    <w:p w14:paraId="66118C08" w14:textId="77777777" w:rsidR="0067798B" w:rsidRPr="001A424A" w:rsidRDefault="00B374E3" w:rsidP="003E3B1D">
      <w:pPr>
        <w:pStyle w:val="ListParagraph"/>
        <w:numPr>
          <w:ilvl w:val="0"/>
          <w:numId w:val="114"/>
        </w:numPr>
      </w:pPr>
      <w:r>
        <w:lastRenderedPageBreak/>
        <w:t>i</w:t>
      </w:r>
      <w:r w:rsidR="0067798B">
        <w:t xml:space="preserve">nformation that </w:t>
      </w:r>
      <w:r w:rsidR="006D0D17">
        <w:t>demonstrates</w:t>
      </w:r>
      <w:r w:rsidR="0067798B">
        <w:t xml:space="preserve"> that the chemical has a molecular weight </w:t>
      </w:r>
      <w:r w:rsidR="0067798B" w:rsidRPr="00F1681A">
        <w:rPr>
          <w:rFonts w:cstheme="minorHAnsi"/>
          <w:color w:val="262626"/>
          <w:lang w:val="en"/>
        </w:rPr>
        <w:t>&gt;1,000g/mol and has a low cationic density, or</w:t>
      </w:r>
    </w:p>
    <w:p w14:paraId="4A360AD6" w14:textId="77777777" w:rsidR="0067798B" w:rsidRPr="00C9746F" w:rsidRDefault="00B374E3" w:rsidP="003E3B1D">
      <w:pPr>
        <w:pStyle w:val="ListParagraph"/>
        <w:numPr>
          <w:ilvl w:val="0"/>
          <w:numId w:val="114"/>
        </w:numPr>
      </w:pPr>
      <w:r>
        <w:rPr>
          <w:rFonts w:cstheme="minorHAnsi"/>
          <w:color w:val="262626"/>
          <w:lang w:val="en"/>
        </w:rPr>
        <w:t>i</w:t>
      </w:r>
      <w:r w:rsidR="0067798B" w:rsidRPr="00F1681A">
        <w:rPr>
          <w:rFonts w:cstheme="minorHAnsi"/>
          <w:color w:val="262626"/>
          <w:lang w:val="en"/>
        </w:rPr>
        <w:t xml:space="preserve">nformation that </w:t>
      </w:r>
      <w:r w:rsidR="006D0D17">
        <w:rPr>
          <w:rFonts w:cstheme="minorHAnsi"/>
          <w:color w:val="262626"/>
          <w:lang w:val="en"/>
        </w:rPr>
        <w:t>demonstrates</w:t>
      </w:r>
      <w:r w:rsidR="0067798B" w:rsidRPr="00F1681A">
        <w:rPr>
          <w:rFonts w:cstheme="minorHAnsi"/>
          <w:color w:val="262626"/>
          <w:lang w:val="en"/>
        </w:rPr>
        <w:t xml:space="preserve"> that the chemical is a high molecular weight polymer that has a low cationic density, or</w:t>
      </w:r>
    </w:p>
    <w:p w14:paraId="164A9E38" w14:textId="77777777" w:rsidR="00C9746F" w:rsidRPr="001517CA" w:rsidRDefault="00F85A64" w:rsidP="003E3B1D">
      <w:pPr>
        <w:pStyle w:val="ListParagraph"/>
        <w:numPr>
          <w:ilvl w:val="0"/>
          <w:numId w:val="114"/>
        </w:numPr>
      </w:pPr>
      <w:r>
        <w:t>i</w:t>
      </w:r>
      <w:r w:rsidR="00C9746F">
        <w:t xml:space="preserve">nformation that </w:t>
      </w:r>
      <w:r w:rsidR="006D0D17">
        <w:t>demonstrates</w:t>
      </w:r>
      <w:r w:rsidR="00C9746F">
        <w:t xml:space="preserve"> that the chemical is a substance covered by Entry 9 of Annex V </w:t>
      </w:r>
      <w:r w:rsidR="00C76440">
        <w:t xml:space="preserve">of </w:t>
      </w:r>
      <w:r w:rsidR="00C9746F">
        <w:t>the REACH Regulation, or</w:t>
      </w:r>
    </w:p>
    <w:p w14:paraId="47A48217" w14:textId="63697406" w:rsidR="0067798B" w:rsidRPr="00D60E0C" w:rsidRDefault="00634D30" w:rsidP="003E3B1D">
      <w:pPr>
        <w:pStyle w:val="ListParagraph"/>
        <w:numPr>
          <w:ilvl w:val="0"/>
          <w:numId w:val="114"/>
        </w:numPr>
      </w:pPr>
      <w:r w:rsidRPr="2F7D7CB0">
        <w:rPr>
          <w:color w:val="262626"/>
          <w:lang w:val="en"/>
        </w:rPr>
        <w:t>i</w:t>
      </w:r>
      <w:r w:rsidR="0067798B" w:rsidRPr="2F7D7CB0">
        <w:rPr>
          <w:color w:val="262626"/>
          <w:lang w:val="en"/>
        </w:rPr>
        <w:t xml:space="preserve">f the chemical is not a biocidal active </w:t>
      </w:r>
      <w:r w:rsidR="00BB12B3" w:rsidRPr="2F7D7CB0">
        <w:rPr>
          <w:color w:val="262626"/>
          <w:lang w:val="en"/>
        </w:rPr>
        <w:t xml:space="preserve">and not a persistent, </w:t>
      </w:r>
      <w:r w:rsidR="0067798B" w:rsidRPr="2F7D7CB0">
        <w:rPr>
          <w:color w:val="262626"/>
          <w:lang w:val="en"/>
        </w:rPr>
        <w:t xml:space="preserve">highly branched </w:t>
      </w:r>
      <w:r w:rsidR="008F3A38" w:rsidRPr="18BCD895">
        <w:rPr>
          <w:color w:val="000000" w:themeColor="text1"/>
          <w:lang w:val="en"/>
        </w:rPr>
        <w:t xml:space="preserve">organic </w:t>
      </w:r>
      <w:r w:rsidR="0067798B" w:rsidRPr="2F7D7CB0">
        <w:rPr>
          <w:color w:val="262626"/>
          <w:lang w:val="en"/>
        </w:rPr>
        <w:t>chemical</w:t>
      </w:r>
      <w:r w:rsidR="00341FAE">
        <w:rPr>
          <w:rStyle w:val="FootnoteReference"/>
          <w:rFonts w:cstheme="minorHAnsi"/>
          <w:color w:val="262626"/>
          <w:lang w:val="en"/>
        </w:rPr>
        <w:footnoteReference w:id="19"/>
      </w:r>
      <w:r w:rsidR="0067798B" w:rsidRPr="2F7D7CB0">
        <w:rPr>
          <w:color w:val="262626"/>
          <w:lang w:val="en"/>
        </w:rPr>
        <w:t xml:space="preserve"> – information on aquatic toxicity for all three trophic levels (fish, invertebrates and algae), from suitable in silico predictions on the chemical or in vivo studies on the chemical or from suitable read-across information conducted following acceptable test guidelines for aquatic toxicity, with the following results for all three trophic levels:</w:t>
      </w:r>
    </w:p>
    <w:p w14:paraId="0D1F8B98" w14:textId="37B0FECA" w:rsidR="0067798B" w:rsidRPr="00D60E0C" w:rsidRDefault="00634D30" w:rsidP="003E3B1D">
      <w:pPr>
        <w:pStyle w:val="ListParagraph"/>
        <w:numPr>
          <w:ilvl w:val="1"/>
          <w:numId w:val="114"/>
        </w:numPr>
      </w:pPr>
      <w:r>
        <w:rPr>
          <w:rFonts w:cstheme="minorHAnsi"/>
          <w:color w:val="262626"/>
          <w:lang w:val="en"/>
        </w:rPr>
        <w:t>a</w:t>
      </w:r>
      <w:r w:rsidR="0067798B" w:rsidRPr="00F1681A">
        <w:rPr>
          <w:rFonts w:cstheme="minorHAnsi"/>
          <w:color w:val="262626"/>
          <w:lang w:val="en"/>
        </w:rPr>
        <w:t>cute aquatic toxicity &gt;100 mg/L (LC50 (fish), or EC50 (invertebrates) or ErC50 (algae)), or</w:t>
      </w:r>
    </w:p>
    <w:p w14:paraId="0E3AF487" w14:textId="77777777" w:rsidR="0067798B" w:rsidRDefault="00634D30" w:rsidP="003E3B1D">
      <w:pPr>
        <w:pStyle w:val="ListParagraph"/>
        <w:numPr>
          <w:ilvl w:val="1"/>
          <w:numId w:val="114"/>
        </w:numPr>
      </w:pPr>
      <w:r>
        <w:rPr>
          <w:rFonts w:cstheme="minorHAnsi"/>
          <w:color w:val="262626"/>
          <w:lang w:val="en"/>
        </w:rPr>
        <w:t>c</w:t>
      </w:r>
      <w:r w:rsidR="0067798B" w:rsidRPr="00F1681A">
        <w:rPr>
          <w:rFonts w:cstheme="minorHAnsi"/>
          <w:color w:val="262626"/>
          <w:lang w:val="en"/>
        </w:rPr>
        <w:t xml:space="preserve">hronic aquatic toxicity </w:t>
      </w:r>
      <w:r w:rsidR="0067798B">
        <w:rPr>
          <w:lang w:eastAsia="en-AU"/>
        </w:rPr>
        <w:t>NOEC or EC</w:t>
      </w:r>
      <w:r w:rsidR="0093616A" w:rsidRPr="0093616A">
        <w:rPr>
          <w:vertAlign w:val="subscript"/>
          <w:lang w:eastAsia="en-AU"/>
        </w:rPr>
        <w:t>10</w:t>
      </w:r>
      <w:r w:rsidR="0067798B">
        <w:rPr>
          <w:lang w:eastAsia="en-AU"/>
        </w:rPr>
        <w:t xml:space="preserve"> &gt;1mg/L (for chemicals that are readily biodegradable)</w:t>
      </w:r>
      <w:r w:rsidR="004A27F7">
        <w:rPr>
          <w:lang w:eastAsia="en-AU"/>
        </w:rPr>
        <w:t>, or</w:t>
      </w:r>
    </w:p>
    <w:p w14:paraId="06C39C43" w14:textId="11F2175A" w:rsidR="0067798B" w:rsidRDefault="00634D30" w:rsidP="003E3B1D">
      <w:pPr>
        <w:pStyle w:val="ListParagraph"/>
        <w:numPr>
          <w:ilvl w:val="0"/>
          <w:numId w:val="114"/>
        </w:numPr>
        <w:rPr>
          <w:lang w:eastAsia="en-AU"/>
        </w:rPr>
      </w:pPr>
      <w:r>
        <w:rPr>
          <w:rFonts w:cstheme="minorHAnsi"/>
          <w:color w:val="262626"/>
          <w:lang w:val="en"/>
        </w:rPr>
        <w:t>t</w:t>
      </w:r>
      <w:r w:rsidR="0067798B" w:rsidRPr="00F1681A">
        <w:rPr>
          <w:rFonts w:cstheme="minorHAnsi"/>
          <w:color w:val="262626"/>
          <w:lang w:val="en"/>
        </w:rPr>
        <w:t xml:space="preserve">est results for all three trophic levels (fish, invertebrates and algae) from in vivo studies on the chemical or from suitable read-across information, conducted following acceptable test guidelines for chronic aquatic toxicity </w:t>
      </w:r>
      <w:r w:rsidR="0067798B">
        <w:rPr>
          <w:lang w:eastAsia="en-AU"/>
        </w:rPr>
        <w:t>with the following results for all three trophic levels:</w:t>
      </w:r>
    </w:p>
    <w:p w14:paraId="194E792E" w14:textId="77777777" w:rsidR="0067798B" w:rsidRDefault="0093616A" w:rsidP="003E3B1D">
      <w:pPr>
        <w:pStyle w:val="ListParagraph"/>
        <w:numPr>
          <w:ilvl w:val="1"/>
          <w:numId w:val="114"/>
        </w:numPr>
      </w:pPr>
      <w:r>
        <w:rPr>
          <w:lang w:eastAsia="en-AU"/>
        </w:rPr>
        <w:t>NOEC or EC</w:t>
      </w:r>
      <w:r w:rsidRPr="0093616A">
        <w:rPr>
          <w:vertAlign w:val="subscript"/>
          <w:lang w:eastAsia="en-AU"/>
        </w:rPr>
        <w:t>10</w:t>
      </w:r>
      <w:r w:rsidR="0067798B" w:rsidRPr="00A56B9E">
        <w:rPr>
          <w:lang w:eastAsia="en-AU"/>
        </w:rPr>
        <w:t xml:space="preserve"> </w:t>
      </w:r>
      <w:r w:rsidR="0067798B">
        <w:rPr>
          <w:lang w:eastAsia="en-AU"/>
        </w:rPr>
        <w:t>&gt;</w:t>
      </w:r>
      <w:r w:rsidR="0067798B" w:rsidRPr="00A56B9E">
        <w:rPr>
          <w:lang w:eastAsia="en-AU"/>
        </w:rPr>
        <w:t> </w:t>
      </w:r>
      <w:r w:rsidR="0067798B">
        <w:rPr>
          <w:lang w:eastAsia="en-AU"/>
        </w:rPr>
        <w:t>1</w:t>
      </w:r>
      <w:r w:rsidR="0067798B" w:rsidRPr="00A56B9E">
        <w:rPr>
          <w:lang w:eastAsia="en-AU"/>
        </w:rPr>
        <w:t>mg/L (for chemicals that are readily biodegradable)</w:t>
      </w:r>
      <w:r w:rsidR="004A27F7">
        <w:rPr>
          <w:lang w:eastAsia="en-AU"/>
        </w:rPr>
        <w:t>.</w:t>
      </w:r>
    </w:p>
    <w:p w14:paraId="728B8E15" w14:textId="77777777" w:rsidR="00741F5D" w:rsidRDefault="00741F5D" w:rsidP="00741F5D">
      <w:pPr>
        <w:rPr>
          <w:lang w:eastAsia="en-AU"/>
        </w:rPr>
      </w:pPr>
    </w:p>
    <w:p w14:paraId="6ED6BA8E" w14:textId="77777777" w:rsidR="006F61C9" w:rsidRDefault="006F61C9" w:rsidP="006F61C9">
      <w:pPr>
        <w:pStyle w:val="Heading1"/>
        <w:rPr>
          <w:rFonts w:cs="Segoe UI"/>
        </w:rPr>
      </w:pPr>
      <w:bookmarkStart w:id="51" w:name="_Toc43890235"/>
      <w:r>
        <w:rPr>
          <w:rFonts w:cs="Segoe UI"/>
        </w:rPr>
        <w:t xml:space="preserve">Definitions of terms in Schedule 2 </w:t>
      </w:r>
      <w:r w:rsidR="00156037">
        <w:rPr>
          <w:rFonts w:cs="Segoe UI"/>
        </w:rPr>
        <w:t>to</w:t>
      </w:r>
      <w:r>
        <w:rPr>
          <w:rFonts w:cs="Segoe UI"/>
        </w:rPr>
        <w:t xml:space="preserve"> the </w:t>
      </w:r>
      <w:r w:rsidR="009547E9">
        <w:rPr>
          <w:rFonts w:cs="Segoe UI"/>
        </w:rPr>
        <w:t>IC General Rules</w:t>
      </w:r>
      <w:bookmarkEnd w:id="51"/>
      <w:r>
        <w:rPr>
          <w:rFonts w:cs="Segoe UI"/>
        </w:rPr>
        <w:t xml:space="preserve"> </w:t>
      </w:r>
    </w:p>
    <w:p w14:paraId="3EBFCE66" w14:textId="77777777" w:rsidR="006F61C9" w:rsidRPr="00BD06B3" w:rsidRDefault="002511D2" w:rsidP="006F61C9">
      <w:pPr>
        <w:pStyle w:val="Heading2"/>
      </w:pPr>
      <w:bookmarkStart w:id="52" w:name="_Toc43890236"/>
      <w:r>
        <w:t xml:space="preserve">Clause </w:t>
      </w:r>
      <w:r w:rsidR="006F61C9">
        <w:t xml:space="preserve">1 of Part 1, Schedule 2 </w:t>
      </w:r>
      <w:r w:rsidR="00634D30">
        <w:t xml:space="preserve">to </w:t>
      </w:r>
      <w:r w:rsidR="006F61C9">
        <w:t xml:space="preserve">the </w:t>
      </w:r>
      <w:r w:rsidR="009547E9">
        <w:t>IC General Rules</w:t>
      </w:r>
      <w:bookmarkEnd w:id="52"/>
    </w:p>
    <w:p w14:paraId="5F5DFFC9" w14:textId="77777777" w:rsidR="00F41138" w:rsidRPr="00F41138" w:rsidRDefault="006F61C9" w:rsidP="000D0955">
      <w:pPr>
        <w:pStyle w:val="Heading3"/>
        <w:ind w:left="709"/>
      </w:pPr>
      <w:r>
        <w:t>Polymer is stable</w:t>
      </w:r>
    </w:p>
    <w:p w14:paraId="342AAEF7" w14:textId="77777777" w:rsidR="006F7D0B" w:rsidRDefault="006F7D0B" w:rsidP="000D0955">
      <w:pPr>
        <w:rPr>
          <w:rStyle w:val="normaltextrun"/>
          <w:color w:val="000000"/>
          <w:shd w:val="clear" w:color="auto" w:fill="FFFFFF"/>
        </w:rPr>
      </w:pPr>
      <w:r>
        <w:rPr>
          <w:rStyle w:val="normaltextrun"/>
          <w:color w:val="000000"/>
          <w:shd w:val="clear" w:color="auto" w:fill="FFFFFF"/>
        </w:rPr>
        <w:t xml:space="preserve">For the purposes of paragraph (d) of </w:t>
      </w:r>
      <w:r w:rsidR="00BF26AB">
        <w:rPr>
          <w:rStyle w:val="normaltextrun"/>
          <w:color w:val="000000"/>
          <w:shd w:val="clear" w:color="auto" w:fill="FFFFFF"/>
        </w:rPr>
        <w:t xml:space="preserve">Clause 1, </w:t>
      </w:r>
      <w:r>
        <w:rPr>
          <w:rStyle w:val="normaltextrun"/>
          <w:color w:val="000000"/>
          <w:shd w:val="clear" w:color="auto" w:fill="FFFFFF"/>
        </w:rPr>
        <w:t xml:space="preserve">Part 1, Schedule 2 of </w:t>
      </w:r>
      <w:r w:rsidR="0062271E">
        <w:rPr>
          <w:rStyle w:val="normaltextrun"/>
          <w:color w:val="000000"/>
          <w:shd w:val="clear" w:color="auto" w:fill="FFFFFF"/>
        </w:rPr>
        <w:t>the IC General Rules</w:t>
      </w:r>
      <w:r>
        <w:rPr>
          <w:rStyle w:val="normaltextrun"/>
          <w:color w:val="000000"/>
          <w:shd w:val="clear" w:color="auto" w:fill="FFFFFF"/>
        </w:rPr>
        <w:t>:</w:t>
      </w:r>
    </w:p>
    <w:p w14:paraId="6487179D" w14:textId="77777777" w:rsidR="006F7D0B" w:rsidRDefault="006F7D0B" w:rsidP="000D0955">
      <w:pPr>
        <w:rPr>
          <w:lang w:eastAsia="en-AU"/>
        </w:rPr>
      </w:pPr>
      <w:r w:rsidRPr="00BC5D1D">
        <w:rPr>
          <w:b/>
          <w:lang w:eastAsia="en-AU"/>
        </w:rPr>
        <w:t>Polymer is stable</w:t>
      </w:r>
      <w:r>
        <w:rPr>
          <w:lang w:eastAsia="en-AU"/>
        </w:rPr>
        <w:t xml:space="preserve"> means that all of the following apply to the industrial chemical:</w:t>
      </w:r>
    </w:p>
    <w:p w14:paraId="2DA1D2BB" w14:textId="77777777" w:rsidR="006F7D0B" w:rsidRPr="000D0955" w:rsidRDefault="006F7D0B" w:rsidP="003E3B1D">
      <w:pPr>
        <w:pStyle w:val="ListParagraph"/>
        <w:numPr>
          <w:ilvl w:val="0"/>
          <w:numId w:val="115"/>
        </w:numPr>
        <w:rPr>
          <w:rStyle w:val="eop"/>
          <w:color w:val="000000"/>
          <w:shd w:val="clear" w:color="auto" w:fill="FFFFFF"/>
        </w:rPr>
      </w:pPr>
      <w:r w:rsidRPr="000D0955">
        <w:rPr>
          <w:rStyle w:val="eop"/>
          <w:color w:val="000000"/>
          <w:shd w:val="clear" w:color="auto" w:fill="FFFFFF"/>
        </w:rPr>
        <w:t>the chemical is a polymer, and</w:t>
      </w:r>
    </w:p>
    <w:p w14:paraId="341E0A9A" w14:textId="77777777" w:rsidR="006F7D0B" w:rsidRDefault="006F7D0B" w:rsidP="003E3B1D">
      <w:pPr>
        <w:pStyle w:val="ListParagraph"/>
        <w:numPr>
          <w:ilvl w:val="0"/>
          <w:numId w:val="115"/>
        </w:numPr>
      </w:pPr>
      <w:r w:rsidRPr="000D0955">
        <w:rPr>
          <w:rStyle w:val="eop"/>
          <w:color w:val="000000"/>
          <w:shd w:val="clear" w:color="auto" w:fill="FFFFFF"/>
        </w:rPr>
        <w:t>the polymer does not substantially degrade, decompose or depolymerise during use</w:t>
      </w:r>
      <w:r w:rsidR="00B36FE4">
        <w:rPr>
          <w:rStyle w:val="eop"/>
          <w:color w:val="000000"/>
          <w:shd w:val="clear" w:color="auto" w:fill="FFFFFF"/>
        </w:rPr>
        <w:t>;</w:t>
      </w:r>
      <w:r w:rsidRPr="000D0955">
        <w:rPr>
          <w:rStyle w:val="eop"/>
          <w:color w:val="000000"/>
          <w:shd w:val="clear" w:color="auto" w:fill="FFFFFF"/>
        </w:rPr>
        <w:t xml:space="preserve"> </w:t>
      </w:r>
      <w:r w:rsidR="00B36FE4">
        <w:t>t</w:t>
      </w:r>
      <w:r>
        <w:t xml:space="preserve">hat is, the polymer is not considerably, meaningfully or to a significantly large extent, </w:t>
      </w:r>
      <w:r>
        <w:lastRenderedPageBreak/>
        <w:t>changed into simpler, smaller molecular weight chemicals as the result of processes including, but not limited to:</w:t>
      </w:r>
    </w:p>
    <w:p w14:paraId="7F899866" w14:textId="77777777" w:rsidR="006F7D0B" w:rsidRDefault="00B36FE4" w:rsidP="003E3B1D">
      <w:pPr>
        <w:pStyle w:val="ListParagraph"/>
        <w:numPr>
          <w:ilvl w:val="1"/>
          <w:numId w:val="115"/>
        </w:numPr>
      </w:pPr>
      <w:r>
        <w:t>o</w:t>
      </w:r>
      <w:r w:rsidR="006F7D0B">
        <w:t>xidation</w:t>
      </w:r>
    </w:p>
    <w:p w14:paraId="5CA874D1" w14:textId="77777777" w:rsidR="006F7D0B" w:rsidRDefault="00B36FE4" w:rsidP="003E3B1D">
      <w:pPr>
        <w:pStyle w:val="ListParagraph"/>
        <w:numPr>
          <w:ilvl w:val="1"/>
          <w:numId w:val="115"/>
        </w:numPr>
      </w:pPr>
      <w:r>
        <w:t>h</w:t>
      </w:r>
      <w:r w:rsidR="006F7D0B">
        <w:t>ydrolysis</w:t>
      </w:r>
    </w:p>
    <w:p w14:paraId="45966831" w14:textId="77777777" w:rsidR="006F7D0B" w:rsidRDefault="00B36FE4" w:rsidP="003E3B1D">
      <w:pPr>
        <w:pStyle w:val="ListParagraph"/>
        <w:numPr>
          <w:ilvl w:val="1"/>
          <w:numId w:val="115"/>
        </w:numPr>
      </w:pPr>
      <w:r>
        <w:t>h</w:t>
      </w:r>
      <w:r w:rsidR="006F7D0B">
        <w:t>eat</w:t>
      </w:r>
    </w:p>
    <w:p w14:paraId="3627F9B7" w14:textId="77777777" w:rsidR="006F7D0B" w:rsidRDefault="00B36FE4" w:rsidP="003E3B1D">
      <w:pPr>
        <w:pStyle w:val="ListParagraph"/>
        <w:numPr>
          <w:ilvl w:val="1"/>
          <w:numId w:val="115"/>
        </w:numPr>
      </w:pPr>
      <w:r>
        <w:t>s</w:t>
      </w:r>
      <w:r w:rsidR="006F7D0B">
        <w:t>unlight</w:t>
      </w:r>
    </w:p>
    <w:p w14:paraId="36A3BA1F" w14:textId="77777777" w:rsidR="006F7D0B" w:rsidRDefault="00B36FE4" w:rsidP="003E3B1D">
      <w:pPr>
        <w:pStyle w:val="ListParagraph"/>
        <w:numPr>
          <w:ilvl w:val="1"/>
          <w:numId w:val="115"/>
        </w:numPr>
      </w:pPr>
      <w:r>
        <w:t>a</w:t>
      </w:r>
      <w:r w:rsidR="006F7D0B">
        <w:t>ttack by solvents</w:t>
      </w:r>
    </w:p>
    <w:p w14:paraId="42280C88" w14:textId="77777777" w:rsidR="006F7D0B" w:rsidRPr="000D0955" w:rsidRDefault="00B36FE4" w:rsidP="003E3B1D">
      <w:pPr>
        <w:pStyle w:val="ListParagraph"/>
        <w:numPr>
          <w:ilvl w:val="1"/>
          <w:numId w:val="115"/>
        </w:numPr>
        <w:rPr>
          <w:color w:val="000000"/>
          <w:shd w:val="clear" w:color="auto" w:fill="FFFFFF"/>
        </w:rPr>
      </w:pPr>
      <w:r>
        <w:t>m</w:t>
      </w:r>
      <w:r w:rsidR="006F7D0B">
        <w:t>icrobial action</w:t>
      </w:r>
      <w:r w:rsidR="004A27F7">
        <w:t>.</w:t>
      </w:r>
    </w:p>
    <w:p w14:paraId="15758C02" w14:textId="77777777" w:rsidR="00BE0262" w:rsidRDefault="00BE0262">
      <w:pPr>
        <w:spacing w:before="0" w:after="200" w:line="276" w:lineRule="auto"/>
      </w:pPr>
      <w:r>
        <w:br w:type="page"/>
      </w:r>
    </w:p>
    <w:p w14:paraId="5988F0F5" w14:textId="77777777" w:rsidR="00CF5645" w:rsidRDefault="002423CF" w:rsidP="002423CF">
      <w:pPr>
        <w:pStyle w:val="Heading1"/>
      </w:pPr>
      <w:bookmarkStart w:id="53" w:name="_Toc43890237"/>
      <w:r>
        <w:lastRenderedPageBreak/>
        <w:t>Appendi</w:t>
      </w:r>
      <w:r w:rsidR="00CF5645">
        <w:t>ces</w:t>
      </w:r>
      <w:bookmarkEnd w:id="53"/>
    </w:p>
    <w:p w14:paraId="7590C4BC" w14:textId="77777777" w:rsidR="002423CF" w:rsidRDefault="00CC0FAF" w:rsidP="00CF5645">
      <w:pPr>
        <w:pStyle w:val="Heading2"/>
      </w:pPr>
      <w:bookmarkStart w:id="54" w:name="_Toc43890238"/>
      <w:r>
        <w:t>List of chemicals with high hazards for categorisation</w:t>
      </w:r>
      <w:bookmarkEnd w:id="54"/>
      <w:r>
        <w:t xml:space="preserve"> </w:t>
      </w:r>
      <w:r w:rsidR="00820ED1">
        <w:t xml:space="preserve"> </w:t>
      </w:r>
    </w:p>
    <w:p w14:paraId="4DD8696A" w14:textId="77777777" w:rsidR="002423CF" w:rsidRDefault="00820ED1" w:rsidP="000D0955">
      <w:r>
        <w:t xml:space="preserve">The </w:t>
      </w:r>
      <w:r w:rsidR="00E26FC6">
        <w:t>list of chemicals with high hazards for categorisation</w:t>
      </w:r>
      <w:r w:rsidR="00C308AA">
        <w:t xml:space="preserve"> </w:t>
      </w:r>
      <w:r>
        <w:t>consists of chemicals that are present on the following information sources:</w:t>
      </w:r>
    </w:p>
    <w:p w14:paraId="0250F0F0" w14:textId="77777777" w:rsidR="000D0955" w:rsidRPr="000D0955" w:rsidRDefault="00963848" w:rsidP="003E3B1D">
      <w:pPr>
        <w:pStyle w:val="ListParagraph"/>
        <w:numPr>
          <w:ilvl w:val="0"/>
          <w:numId w:val="116"/>
        </w:numPr>
        <w:spacing w:line="360" w:lineRule="atLeast"/>
        <w:rPr>
          <w:color w:val="7F7F7F" w:themeColor="background1" w:themeShade="7F"/>
        </w:rPr>
      </w:pPr>
      <w:hyperlink r:id="rId31">
        <w:r w:rsidR="309386B6" w:rsidRPr="309386B6">
          <w:rPr>
            <w:rStyle w:val="Hyperlink"/>
          </w:rPr>
          <w:t>Safe Work Australia’s Hazardous Chemical Information System (HCIS)</w:t>
        </w:r>
      </w:hyperlink>
      <w:r w:rsidR="309386B6">
        <w:t xml:space="preserve"> — list of substances classified for physical-chemical and (eco)toxicological </w:t>
      </w:r>
      <w:r w:rsidR="0043374C">
        <w:t>hazards.</w:t>
      </w:r>
      <w:r w:rsidR="29BE8257">
        <w:t xml:space="preserve"> Included substances are those classified</w:t>
      </w:r>
      <w:r w:rsidR="309386B6">
        <w:t xml:space="preserve"> for CMR and PBT</w:t>
      </w:r>
      <w:r w:rsidR="00917053">
        <w:t>.</w:t>
      </w:r>
    </w:p>
    <w:p w14:paraId="7637CA1A" w14:textId="77777777" w:rsidR="00820ED1" w:rsidRPr="000D0955" w:rsidRDefault="00820ED1" w:rsidP="003E3B1D">
      <w:pPr>
        <w:pStyle w:val="ListParagraph"/>
        <w:numPr>
          <w:ilvl w:val="0"/>
          <w:numId w:val="116"/>
        </w:numPr>
        <w:spacing w:line="360" w:lineRule="atLeast"/>
        <w:rPr>
          <w:color w:val="7F7F7F" w:themeColor="background1" w:themeShade="7F"/>
        </w:rPr>
      </w:pPr>
      <w:r w:rsidRPr="00593641">
        <w:t>European Chemicals Agency (ECHA) Harmonised Classification and Labelling of Hazardous Substances (</w:t>
      </w:r>
      <w:hyperlink r:id="rId32">
        <w:r w:rsidR="29BE8257" w:rsidRPr="29BE8257">
          <w:rPr>
            <w:rStyle w:val="Hyperlink"/>
          </w:rPr>
          <w:t>Annex VI to the CLP Regulation</w:t>
        </w:r>
      </w:hyperlink>
      <w:r w:rsidRPr="00593641">
        <w:t xml:space="preserve">) — list of substances classified for </w:t>
      </w:r>
      <w:r w:rsidR="29BE8257">
        <w:t>physical-chemical</w:t>
      </w:r>
      <w:r w:rsidR="0043374C">
        <w:t xml:space="preserve"> and (eco)toxicological hazards.</w:t>
      </w:r>
      <w:r w:rsidR="29BE8257">
        <w:t xml:space="preserve"> Included substances are those classified for </w:t>
      </w:r>
      <w:r w:rsidRPr="00593641">
        <w:t>CMR and PBT</w:t>
      </w:r>
      <w:r w:rsidR="00917053">
        <w:t>.</w:t>
      </w:r>
    </w:p>
    <w:p w14:paraId="55513A03" w14:textId="77777777" w:rsidR="00820ED1" w:rsidRPr="00593641" w:rsidRDefault="00963848" w:rsidP="003E3B1D">
      <w:pPr>
        <w:pStyle w:val="ListParagraph"/>
        <w:numPr>
          <w:ilvl w:val="0"/>
          <w:numId w:val="116"/>
        </w:numPr>
        <w:spacing w:line="360" w:lineRule="atLeast"/>
      </w:pPr>
      <w:hyperlink r:id="rId33" w:tgtFrame="_blank" w:tooltip="Opens in a new tab/window" w:history="1">
        <w:r w:rsidR="00820ED1" w:rsidRPr="00593641">
          <w:rPr>
            <w:rStyle w:val="Hyperlink"/>
          </w:rPr>
          <w:t>European Union Substances of Very High Concern (EU SVHC)</w:t>
        </w:r>
      </w:hyperlink>
      <w:r w:rsidR="00820ED1" w:rsidRPr="00593641">
        <w:t xml:space="preserve"> — list of </w:t>
      </w:r>
      <w:r w:rsidR="00257872">
        <w:t>CMR</w:t>
      </w:r>
      <w:r w:rsidR="00820ED1" w:rsidRPr="00593641">
        <w:t>, PBT and vPvB substance</w:t>
      </w:r>
      <w:r w:rsidR="00C308AA">
        <w:t xml:space="preserve">, or substances with equivalent concern. Included substances are those that are </w:t>
      </w:r>
      <w:r w:rsidR="00257872">
        <w:t>identified as CMR</w:t>
      </w:r>
      <w:r w:rsidR="00C308AA">
        <w:t>, PBT</w:t>
      </w:r>
      <w:r w:rsidR="00257872">
        <w:t>,</w:t>
      </w:r>
      <w:r w:rsidR="00C308AA">
        <w:t xml:space="preserve"> vPvB</w:t>
      </w:r>
      <w:r w:rsidR="00257872">
        <w:t>, or having endocrine disrupting properties</w:t>
      </w:r>
      <w:r w:rsidR="00C308AA">
        <w:t>.</w:t>
      </w:r>
    </w:p>
    <w:p w14:paraId="282B6B85" w14:textId="77777777" w:rsidR="4FCE0AAF" w:rsidRPr="000D0955" w:rsidRDefault="00963848" w:rsidP="003E3B1D">
      <w:pPr>
        <w:pStyle w:val="ListParagraph"/>
        <w:numPr>
          <w:ilvl w:val="0"/>
          <w:numId w:val="116"/>
        </w:numPr>
        <w:spacing w:line="360" w:lineRule="atLeast"/>
        <w:rPr>
          <w:color w:val="7F7F7F" w:themeColor="background1" w:themeShade="7F"/>
        </w:rPr>
      </w:pPr>
      <w:hyperlink r:id="rId34">
        <w:r w:rsidR="21E8E91E" w:rsidRPr="21E8E91E">
          <w:rPr>
            <w:rStyle w:val="Hyperlink"/>
          </w:rPr>
          <w:t>United States National Toxicology Program (US NTP) Report on Carcinogens</w:t>
        </w:r>
      </w:hyperlink>
      <w:r w:rsidR="4FCE0AAF">
        <w:t xml:space="preserve"> — </w:t>
      </w:r>
      <w:r w:rsidR="0043374C">
        <w:t>list of carcinogenic substances.</w:t>
      </w:r>
      <w:r w:rsidR="4FCE0AAF">
        <w:t xml:space="preserve"> Included substances are those that are </w:t>
      </w:r>
      <w:r w:rsidR="00C76440">
        <w:t xml:space="preserve">known </w:t>
      </w:r>
      <w:r w:rsidR="4FCE0AAF">
        <w:t>human carcinogen</w:t>
      </w:r>
      <w:r w:rsidR="004A27F7">
        <w:t>s</w:t>
      </w:r>
      <w:r w:rsidR="4FCE0AAF">
        <w:t xml:space="preserve"> and </w:t>
      </w:r>
      <w:r w:rsidR="00C76440">
        <w:t xml:space="preserve">reasonably </w:t>
      </w:r>
      <w:r w:rsidR="004A27F7">
        <w:rPr>
          <w:rFonts w:eastAsia="Segoe UI" w:cs="Segoe UI"/>
        </w:rPr>
        <w:t>anticipated to be</w:t>
      </w:r>
      <w:r w:rsidR="4FCE0AAF" w:rsidRPr="000D0955">
        <w:rPr>
          <w:rFonts w:eastAsia="Segoe UI" w:cs="Segoe UI"/>
        </w:rPr>
        <w:t xml:space="preserve"> human carcinogen</w:t>
      </w:r>
      <w:r w:rsidR="004A27F7">
        <w:rPr>
          <w:rFonts w:eastAsia="Segoe UI" w:cs="Segoe UI"/>
        </w:rPr>
        <w:t>s</w:t>
      </w:r>
      <w:r w:rsidR="00917053">
        <w:rPr>
          <w:rFonts w:eastAsia="Segoe UI" w:cs="Segoe UI"/>
        </w:rPr>
        <w:t>.</w:t>
      </w:r>
    </w:p>
    <w:p w14:paraId="24C88C68" w14:textId="77777777" w:rsidR="00820ED1" w:rsidRPr="00593641" w:rsidRDefault="00963848" w:rsidP="003E3B1D">
      <w:pPr>
        <w:pStyle w:val="ListParagraph"/>
        <w:numPr>
          <w:ilvl w:val="0"/>
          <w:numId w:val="116"/>
        </w:numPr>
        <w:spacing w:line="360" w:lineRule="atLeast"/>
      </w:pPr>
      <w:hyperlink r:id="rId35">
        <w:r w:rsidR="29BE8257" w:rsidRPr="29BE8257">
          <w:rPr>
            <w:rStyle w:val="Hyperlink"/>
          </w:rPr>
          <w:t>International Agency for Research on Cancer (IARC) Monographs</w:t>
        </w:r>
      </w:hyperlink>
      <w:r w:rsidR="0043374C">
        <w:t> — list of carcinogens.</w:t>
      </w:r>
      <w:r w:rsidR="29BE8257">
        <w:t xml:space="preserve"> Included substances are </w:t>
      </w:r>
      <w:r w:rsidR="21E8E91E">
        <w:t>carcinogens classified</w:t>
      </w:r>
      <w:r w:rsidR="29BE8257">
        <w:t xml:space="preserve"> in Groups </w:t>
      </w:r>
      <w:r w:rsidR="4E994ADA">
        <w:t>1, 2A and 2B</w:t>
      </w:r>
      <w:r w:rsidR="001209F7">
        <w:t>.</w:t>
      </w:r>
    </w:p>
    <w:p w14:paraId="3CBF495F" w14:textId="391B1ADF" w:rsidR="00820ED1" w:rsidRDefault="00963848" w:rsidP="003E3B1D">
      <w:pPr>
        <w:pStyle w:val="ListParagraph"/>
        <w:numPr>
          <w:ilvl w:val="0"/>
          <w:numId w:val="116"/>
        </w:numPr>
        <w:spacing w:line="360" w:lineRule="atLeast"/>
      </w:pPr>
      <w:hyperlink r:id="rId36">
        <w:r w:rsidR="22913D48" w:rsidRPr="26E6BBF7">
          <w:rPr>
            <w:rStyle w:val="Hyperlink"/>
          </w:rPr>
          <w:t>European Commission Endocrine Disruptors Strategy</w:t>
        </w:r>
      </w:hyperlink>
      <w:r w:rsidR="22913D48">
        <w:t xml:space="preserve"> — list of substances </w:t>
      </w:r>
      <w:r w:rsidR="411DE4DD">
        <w:t>investigated for potential endocrine activity. Included substances are those listed in Category 1, identified as having endocrine activity in at least one animal study.</w:t>
      </w:r>
    </w:p>
    <w:p w14:paraId="116EA851" w14:textId="77777777" w:rsidR="004902BD" w:rsidRPr="00593641" w:rsidRDefault="00963848" w:rsidP="003E3B1D">
      <w:pPr>
        <w:pStyle w:val="ListParagraph"/>
        <w:numPr>
          <w:ilvl w:val="0"/>
          <w:numId w:val="116"/>
        </w:numPr>
        <w:spacing w:line="360" w:lineRule="atLeast"/>
      </w:pPr>
      <w:hyperlink r:id="rId37" w:history="1">
        <w:r w:rsidR="004902BD" w:rsidRPr="004902BD">
          <w:rPr>
            <w:rStyle w:val="Hyperlink"/>
          </w:rPr>
          <w:t>United Nations Environment Programme scientific knowledge on endocrine disrupting chemicals</w:t>
        </w:r>
      </w:hyperlink>
      <w:r w:rsidR="004902BD">
        <w:t xml:space="preserve"> </w:t>
      </w:r>
      <w:r w:rsidR="004902BD" w:rsidRPr="00593641">
        <w:t>— list of</w:t>
      </w:r>
      <w:r w:rsidR="004902BD">
        <w:t xml:space="preserve"> substances from a review of existing global initiatives on endocrine disrupting chemicals and potential endocrine disrupting chemicals. Included substances are those identified as having </w:t>
      </w:r>
      <w:r w:rsidR="00F03001">
        <w:t xml:space="preserve">known or potential </w:t>
      </w:r>
      <w:r w:rsidR="004902BD">
        <w:t>endocrine activity</w:t>
      </w:r>
      <w:r w:rsidR="00F03001">
        <w:t>.</w:t>
      </w:r>
    </w:p>
    <w:p w14:paraId="5D3BE6FE" w14:textId="77777777" w:rsidR="00820ED1" w:rsidRPr="004902BD" w:rsidRDefault="00963848" w:rsidP="00DE2E0C">
      <w:pPr>
        <w:pStyle w:val="ListParagraph"/>
        <w:numPr>
          <w:ilvl w:val="0"/>
          <w:numId w:val="116"/>
        </w:numPr>
        <w:spacing w:line="360" w:lineRule="atLeast"/>
      </w:pPr>
      <w:hyperlink r:id="rId38" w:history="1">
        <w:r w:rsidR="000B76D9" w:rsidRPr="000B76D9">
          <w:rPr>
            <w:rStyle w:val="Hyperlink"/>
          </w:rPr>
          <w:t xml:space="preserve">Government of </w:t>
        </w:r>
        <w:r w:rsidR="00820ED1" w:rsidRPr="000B76D9">
          <w:rPr>
            <w:rStyle w:val="Hyperlink"/>
          </w:rPr>
          <w:t>Canada Toxic Substances List (Schedule 1) </w:t>
        </w:r>
      </w:hyperlink>
      <w:r w:rsidR="00820ED1" w:rsidRPr="004902BD">
        <w:t xml:space="preserve">— </w:t>
      </w:r>
      <w:r w:rsidR="003D518D" w:rsidRPr="004902BD">
        <w:t xml:space="preserve">list of </w:t>
      </w:r>
      <w:r w:rsidR="00820ED1" w:rsidRPr="004902BD">
        <w:t>inorganic and organic chemicals with known health and/or environmental concerns</w:t>
      </w:r>
      <w:r w:rsidR="00C308AA" w:rsidRPr="004902BD">
        <w:t>. Included substances are</w:t>
      </w:r>
      <w:r w:rsidR="004902BD" w:rsidRPr="004902BD">
        <w:t xml:space="preserve"> those that </w:t>
      </w:r>
      <w:r w:rsidR="00461648">
        <w:t xml:space="preserve">are </w:t>
      </w:r>
      <w:r w:rsidR="00131DC5">
        <w:t>identified as having hazard characteristics in human health hazard band C or environment hazard bands D or C</w:t>
      </w:r>
      <w:r w:rsidR="004902BD" w:rsidRPr="004902BD">
        <w:t>.</w:t>
      </w:r>
    </w:p>
    <w:p w14:paraId="5E19879F" w14:textId="77777777" w:rsidR="00820ED1" w:rsidRPr="004902BD" w:rsidRDefault="00963848" w:rsidP="003E3B1D">
      <w:pPr>
        <w:pStyle w:val="ListParagraph"/>
        <w:numPr>
          <w:ilvl w:val="0"/>
          <w:numId w:val="116"/>
        </w:numPr>
        <w:spacing w:line="360" w:lineRule="atLeast"/>
      </w:pPr>
      <w:hyperlink r:id="rId39">
        <w:r w:rsidR="4FCE0AAF" w:rsidRPr="004902BD">
          <w:rPr>
            <w:rStyle w:val="Hyperlink"/>
          </w:rPr>
          <w:t>Chemical Substances Control Law of Japan</w:t>
        </w:r>
      </w:hyperlink>
      <w:r w:rsidR="4FCE0AAF" w:rsidRPr="004902BD">
        <w:t> (CSCL) </w:t>
      </w:r>
      <w:r w:rsidR="4FCE0AAF" w:rsidRPr="0016419E">
        <w:t>Class I and II Speci</w:t>
      </w:r>
      <w:r w:rsidR="0016419E">
        <w:t>fied Chemical Substances</w:t>
      </w:r>
      <w:r w:rsidR="4FCE0AAF" w:rsidRPr="004902BD">
        <w:t xml:space="preserve"> — </w:t>
      </w:r>
      <w:r w:rsidR="004902BD" w:rsidRPr="004902BD">
        <w:t xml:space="preserve">list of </w:t>
      </w:r>
      <w:r w:rsidR="4FCE0AAF" w:rsidRPr="004902BD">
        <w:t>organic chemicals with known health and/or environmental concerns</w:t>
      </w:r>
      <w:r w:rsidR="0043374C" w:rsidRPr="004902BD">
        <w:t>. Included substances are</w:t>
      </w:r>
      <w:r w:rsidR="004902BD" w:rsidRPr="004902BD">
        <w:t xml:space="preserve"> </w:t>
      </w:r>
      <w:r w:rsidR="00461648">
        <w:t xml:space="preserve">those identified as </w:t>
      </w:r>
      <w:r w:rsidR="004902BD" w:rsidRPr="004902BD">
        <w:t xml:space="preserve">PBT </w:t>
      </w:r>
      <w:r w:rsidR="006E4276">
        <w:t xml:space="preserve">(Class I) </w:t>
      </w:r>
      <w:r w:rsidR="004902BD" w:rsidRPr="004902BD">
        <w:t xml:space="preserve">and </w:t>
      </w:r>
      <w:r w:rsidR="00DE2E0C">
        <w:t xml:space="preserve">those </w:t>
      </w:r>
      <w:r w:rsidR="004902BD" w:rsidRPr="004902BD">
        <w:t xml:space="preserve">posing a concern </w:t>
      </w:r>
      <w:r w:rsidR="00461648">
        <w:t>for</w:t>
      </w:r>
      <w:r w:rsidR="004902BD" w:rsidRPr="004902BD">
        <w:t xml:space="preserve"> long-term toxicity in humans</w:t>
      </w:r>
      <w:r w:rsidR="006E4276">
        <w:t xml:space="preserve"> and the environment (Class II)</w:t>
      </w:r>
      <w:r w:rsidR="004902BD" w:rsidRPr="004902BD">
        <w:t>.</w:t>
      </w:r>
    </w:p>
    <w:p w14:paraId="1474C771" w14:textId="77777777" w:rsidR="00E73AA0" w:rsidRDefault="00963848" w:rsidP="00DE2E0C">
      <w:pPr>
        <w:pStyle w:val="ListParagraph"/>
        <w:numPr>
          <w:ilvl w:val="0"/>
          <w:numId w:val="116"/>
        </w:numPr>
        <w:spacing w:before="0" w:after="200" w:line="276" w:lineRule="auto"/>
        <w:sectPr w:rsidR="00E73AA0" w:rsidSect="00791C3D">
          <w:footerReference w:type="default" r:id="rId40"/>
          <w:pgSz w:w="11906" w:h="16838"/>
          <w:pgMar w:top="1440" w:right="1440" w:bottom="1440" w:left="1440" w:header="709" w:footer="709" w:gutter="0"/>
          <w:cols w:space="708"/>
          <w:docGrid w:linePitch="360"/>
        </w:sectPr>
      </w:pPr>
      <w:hyperlink r:id="rId41" w:history="1">
        <w:r w:rsidR="00820ED1" w:rsidRPr="00257872">
          <w:rPr>
            <w:rStyle w:val="Hyperlink"/>
          </w:rPr>
          <w:t>European Chemicals Agency (ECHA) </w:t>
        </w:r>
        <w:r w:rsidR="00257872" w:rsidRPr="00257872">
          <w:rPr>
            <w:rStyle w:val="Hyperlink"/>
          </w:rPr>
          <w:t>REACH Annex XIV Authorisation</w:t>
        </w:r>
      </w:hyperlink>
      <w:r w:rsidR="00257872">
        <w:t xml:space="preserve"> </w:t>
      </w:r>
      <w:r w:rsidR="00257872" w:rsidRPr="00593641">
        <w:t>—</w:t>
      </w:r>
      <w:r w:rsidR="00257872">
        <w:t xml:space="preserve"> l</w:t>
      </w:r>
      <w:r w:rsidR="00820ED1" w:rsidRPr="00593641">
        <w:t xml:space="preserve">ist of </w:t>
      </w:r>
      <w:r w:rsidR="00820ED1" w:rsidRPr="00BE5360">
        <w:t>inorganic and organic chemicals with known health and/or environmental concerns</w:t>
      </w:r>
      <w:r w:rsidR="0043374C" w:rsidRPr="00BE5360">
        <w:t>.</w:t>
      </w:r>
      <w:r w:rsidR="00257872" w:rsidRPr="00BE5360">
        <w:t xml:space="preserve"> </w:t>
      </w:r>
      <w:r w:rsidR="0043374C" w:rsidRPr="00BE5360">
        <w:t xml:space="preserve">Included substances are </w:t>
      </w:r>
      <w:r w:rsidR="00BE5360" w:rsidRPr="00BE5360">
        <w:t>those identified as CMR, PBT or vPvB. Also included are substances with equivalent level of concern or having probable CMR, PBT or vPvB effects.</w:t>
      </w:r>
    </w:p>
    <w:p w14:paraId="5F13E402" w14:textId="77777777" w:rsidR="00672773" w:rsidRDefault="00672773" w:rsidP="00672773">
      <w:pPr>
        <w:pStyle w:val="Heading2"/>
      </w:pPr>
      <w:bookmarkStart w:id="55" w:name="_Toc43890239"/>
      <w:r>
        <w:lastRenderedPageBreak/>
        <w:t>In silico information</w:t>
      </w:r>
      <w:bookmarkEnd w:id="55"/>
    </w:p>
    <w:p w14:paraId="191F1624" w14:textId="77777777" w:rsidR="00672773" w:rsidRDefault="00672773" w:rsidP="000D0955">
      <w:pPr>
        <w:rPr>
          <w:lang w:eastAsia="en-AU"/>
        </w:rPr>
      </w:pPr>
    </w:p>
    <w:p w14:paraId="58A12EC1" w14:textId="77777777" w:rsidR="000434CF" w:rsidRDefault="000434CF" w:rsidP="000D0955">
      <w:r w:rsidRPr="00B80433">
        <w:rPr>
          <w:b/>
        </w:rPr>
        <w:t>Tables 1 and 2</w:t>
      </w:r>
      <w:r w:rsidRPr="00B80433">
        <w:t xml:space="preserve"> provide an overview for which human health and environment hazard characteristics have in silico options, and which in silico models are appropriate.</w:t>
      </w:r>
    </w:p>
    <w:p w14:paraId="3A8B8D7C" w14:textId="77777777" w:rsidR="000434CF" w:rsidRPr="00E749E0" w:rsidRDefault="000434CF" w:rsidP="000D0955"/>
    <w:p w14:paraId="16BFB30E" w14:textId="77777777" w:rsidR="000434CF" w:rsidRPr="000D0955" w:rsidRDefault="000434CF" w:rsidP="000D0955">
      <w:pPr>
        <w:rPr>
          <w:rStyle w:val="SubtleEmphasis"/>
          <w:b/>
          <w:i w:val="0"/>
          <w:iCs w:val="0"/>
          <w:color w:val="auto"/>
        </w:rPr>
      </w:pPr>
      <w:r w:rsidRPr="000D0955">
        <w:rPr>
          <w:rStyle w:val="SubtleEmphasis"/>
          <w:b/>
          <w:i w:val="0"/>
          <w:iCs w:val="0"/>
          <w:color w:val="auto"/>
        </w:rPr>
        <w:t xml:space="preserve">Table 1 - In silico </w:t>
      </w:r>
      <w:r w:rsidR="004056E9" w:rsidRPr="000D0955">
        <w:rPr>
          <w:rStyle w:val="SubtleEmphasis"/>
          <w:b/>
          <w:i w:val="0"/>
          <w:iCs w:val="0"/>
          <w:color w:val="auto"/>
        </w:rPr>
        <w:t>models</w:t>
      </w:r>
      <w:r w:rsidRPr="000D0955">
        <w:rPr>
          <w:rStyle w:val="SubtleEmphasis"/>
          <w:b/>
          <w:i w:val="0"/>
          <w:iCs w:val="0"/>
          <w:color w:val="auto"/>
        </w:rPr>
        <w:t xml:space="preserve"> for human health hazard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Table 1 - In silico options for human health hazard characteristics"/>
        <w:tblDescription w:val="Table 1 - In silico options for human health hazard characteristics"/>
      </w:tblPr>
      <w:tblGrid>
        <w:gridCol w:w="2085"/>
        <w:gridCol w:w="1665"/>
        <w:gridCol w:w="1866"/>
        <w:gridCol w:w="1872"/>
        <w:gridCol w:w="2075"/>
        <w:gridCol w:w="2089"/>
        <w:gridCol w:w="2296"/>
      </w:tblGrid>
      <w:tr w:rsidR="0092459C" w:rsidRPr="00BB2472" w14:paraId="7B37A20F" w14:textId="77777777" w:rsidTr="34FB6227">
        <w:trPr>
          <w:cantSplit/>
          <w:tblHeader/>
        </w:trPr>
        <w:tc>
          <w:tcPr>
            <w:tcW w:w="747" w:type="pct"/>
            <w:shd w:val="clear" w:color="auto" w:fill="133286" w:themeFill="text2"/>
            <w:tcMar>
              <w:top w:w="150" w:type="dxa"/>
              <w:left w:w="150" w:type="dxa"/>
              <w:bottom w:w="150" w:type="dxa"/>
              <w:right w:w="150" w:type="dxa"/>
            </w:tcMar>
            <w:hideMark/>
          </w:tcPr>
          <w:p w14:paraId="5344CDDE" w14:textId="77777777" w:rsidR="000434CF" w:rsidRPr="00BB2472" w:rsidRDefault="000434CF" w:rsidP="00E150EC">
            <w:pPr>
              <w:rPr>
                <w:rFonts w:cstheme="minorHAnsi"/>
                <w:b/>
                <w:sz w:val="20"/>
                <w:szCs w:val="20"/>
              </w:rPr>
            </w:pPr>
            <w:r w:rsidRPr="00BB2472">
              <w:rPr>
                <w:rFonts w:cstheme="minorHAnsi"/>
                <w:b/>
                <w:sz w:val="20"/>
                <w:szCs w:val="20"/>
              </w:rPr>
              <w:t> </w:t>
            </w:r>
            <w:r w:rsidR="0092459C">
              <w:rPr>
                <w:rFonts w:cstheme="minorHAnsi"/>
                <w:b/>
                <w:sz w:val="20"/>
                <w:szCs w:val="20"/>
              </w:rPr>
              <w:t>In silico model</w:t>
            </w:r>
          </w:p>
        </w:tc>
        <w:tc>
          <w:tcPr>
            <w:tcW w:w="597" w:type="pct"/>
            <w:shd w:val="clear" w:color="auto" w:fill="133286" w:themeFill="text2"/>
            <w:tcMar>
              <w:top w:w="150" w:type="dxa"/>
              <w:left w:w="150" w:type="dxa"/>
              <w:bottom w:w="150" w:type="dxa"/>
              <w:right w:w="150" w:type="dxa"/>
            </w:tcMar>
            <w:hideMark/>
          </w:tcPr>
          <w:p w14:paraId="119A96D1" w14:textId="77777777" w:rsidR="000434CF" w:rsidRPr="00BB2472" w:rsidRDefault="000434CF" w:rsidP="00E150EC">
            <w:pPr>
              <w:rPr>
                <w:rFonts w:cstheme="minorHAnsi"/>
                <w:b/>
                <w:sz w:val="20"/>
                <w:szCs w:val="20"/>
              </w:rPr>
            </w:pPr>
            <w:r w:rsidRPr="00BB2472">
              <w:rPr>
                <w:rFonts w:cstheme="minorHAnsi"/>
                <w:b/>
                <w:sz w:val="20"/>
                <w:szCs w:val="20"/>
              </w:rPr>
              <w:t>Acute toxicity</w:t>
            </w:r>
          </w:p>
        </w:tc>
        <w:tc>
          <w:tcPr>
            <w:tcW w:w="669" w:type="pct"/>
            <w:shd w:val="clear" w:color="auto" w:fill="133286" w:themeFill="text2"/>
            <w:tcMar>
              <w:top w:w="150" w:type="dxa"/>
              <w:left w:w="150" w:type="dxa"/>
              <w:bottom w:w="150" w:type="dxa"/>
              <w:right w:w="150" w:type="dxa"/>
            </w:tcMar>
            <w:hideMark/>
          </w:tcPr>
          <w:p w14:paraId="7298893E" w14:textId="77777777" w:rsidR="000434CF" w:rsidRPr="00BB2472" w:rsidRDefault="000434CF" w:rsidP="00E150EC">
            <w:pPr>
              <w:rPr>
                <w:rFonts w:cstheme="minorHAnsi"/>
                <w:b/>
                <w:sz w:val="20"/>
                <w:szCs w:val="20"/>
              </w:rPr>
            </w:pPr>
            <w:r w:rsidRPr="00BB2472">
              <w:rPr>
                <w:rFonts w:cstheme="minorHAnsi"/>
                <w:b/>
                <w:sz w:val="20"/>
                <w:szCs w:val="20"/>
              </w:rPr>
              <w:t>Skin irritation / Skin corrosion</w:t>
            </w:r>
          </w:p>
        </w:tc>
        <w:tc>
          <w:tcPr>
            <w:tcW w:w="671" w:type="pct"/>
            <w:shd w:val="clear" w:color="auto" w:fill="133286" w:themeFill="text2"/>
            <w:tcMar>
              <w:top w:w="150" w:type="dxa"/>
              <w:left w:w="150" w:type="dxa"/>
              <w:bottom w:w="150" w:type="dxa"/>
              <w:right w:w="150" w:type="dxa"/>
            </w:tcMar>
            <w:hideMark/>
          </w:tcPr>
          <w:p w14:paraId="60D60E00" w14:textId="77777777" w:rsidR="000434CF" w:rsidRPr="00BB2472" w:rsidRDefault="000434CF" w:rsidP="00E150EC">
            <w:pPr>
              <w:rPr>
                <w:rFonts w:cstheme="minorHAnsi"/>
                <w:b/>
                <w:sz w:val="20"/>
                <w:szCs w:val="20"/>
              </w:rPr>
            </w:pPr>
            <w:r w:rsidRPr="00BB2472">
              <w:rPr>
                <w:rFonts w:cstheme="minorHAnsi"/>
                <w:b/>
                <w:sz w:val="20"/>
                <w:szCs w:val="20"/>
              </w:rPr>
              <w:t>Eye damage / Eye irritation</w:t>
            </w:r>
          </w:p>
        </w:tc>
        <w:tc>
          <w:tcPr>
            <w:tcW w:w="744" w:type="pct"/>
            <w:shd w:val="clear" w:color="auto" w:fill="133286" w:themeFill="text2"/>
            <w:tcMar>
              <w:top w:w="150" w:type="dxa"/>
              <w:left w:w="150" w:type="dxa"/>
              <w:bottom w:w="150" w:type="dxa"/>
              <w:right w:w="150" w:type="dxa"/>
            </w:tcMar>
            <w:hideMark/>
          </w:tcPr>
          <w:p w14:paraId="0EE40738" w14:textId="77777777" w:rsidR="000434CF" w:rsidRPr="00BB2472" w:rsidRDefault="000434CF" w:rsidP="00E150EC">
            <w:pPr>
              <w:rPr>
                <w:rFonts w:cstheme="minorHAnsi"/>
                <w:b/>
                <w:sz w:val="20"/>
                <w:szCs w:val="20"/>
              </w:rPr>
            </w:pPr>
            <w:r w:rsidRPr="00BB2472">
              <w:rPr>
                <w:rFonts w:cstheme="minorHAnsi"/>
                <w:b/>
                <w:sz w:val="20"/>
                <w:szCs w:val="20"/>
              </w:rPr>
              <w:t>Skin sensitisation</w:t>
            </w:r>
          </w:p>
        </w:tc>
        <w:tc>
          <w:tcPr>
            <w:tcW w:w="749" w:type="pct"/>
            <w:shd w:val="clear" w:color="auto" w:fill="133286" w:themeFill="text2"/>
            <w:tcMar>
              <w:top w:w="150" w:type="dxa"/>
              <w:left w:w="150" w:type="dxa"/>
              <w:bottom w:w="150" w:type="dxa"/>
              <w:right w:w="150" w:type="dxa"/>
            </w:tcMar>
            <w:hideMark/>
          </w:tcPr>
          <w:p w14:paraId="5CF5B46D" w14:textId="77777777" w:rsidR="000434CF" w:rsidRPr="00BB2472" w:rsidRDefault="000434CF" w:rsidP="00E150EC">
            <w:pPr>
              <w:rPr>
                <w:rFonts w:cstheme="minorHAnsi"/>
                <w:b/>
                <w:sz w:val="20"/>
                <w:szCs w:val="20"/>
              </w:rPr>
            </w:pPr>
            <w:r w:rsidRPr="00BB2472">
              <w:rPr>
                <w:rFonts w:cstheme="minorHAnsi"/>
                <w:b/>
                <w:sz w:val="20"/>
                <w:szCs w:val="20"/>
              </w:rPr>
              <w:t>Respiratory sensitisation</w:t>
            </w:r>
          </w:p>
        </w:tc>
        <w:tc>
          <w:tcPr>
            <w:tcW w:w="823" w:type="pct"/>
            <w:shd w:val="clear" w:color="auto" w:fill="133286" w:themeFill="text2"/>
            <w:tcMar>
              <w:top w:w="150" w:type="dxa"/>
              <w:left w:w="150" w:type="dxa"/>
              <w:bottom w:w="150" w:type="dxa"/>
              <w:right w:w="150" w:type="dxa"/>
            </w:tcMar>
            <w:hideMark/>
          </w:tcPr>
          <w:p w14:paraId="5917A591" w14:textId="77777777" w:rsidR="000434CF" w:rsidRPr="00BB2472" w:rsidRDefault="000434CF" w:rsidP="0092459C">
            <w:pPr>
              <w:rPr>
                <w:rFonts w:cstheme="minorHAnsi"/>
                <w:b/>
                <w:sz w:val="20"/>
                <w:szCs w:val="20"/>
              </w:rPr>
            </w:pPr>
            <w:r w:rsidRPr="00BB2472">
              <w:rPr>
                <w:rFonts w:cstheme="minorHAnsi"/>
                <w:b/>
                <w:sz w:val="20"/>
                <w:szCs w:val="20"/>
              </w:rPr>
              <w:t>Gen</w:t>
            </w:r>
            <w:r w:rsidR="0092459C">
              <w:rPr>
                <w:rFonts w:cstheme="minorHAnsi"/>
                <w:b/>
                <w:sz w:val="20"/>
                <w:szCs w:val="20"/>
              </w:rPr>
              <w:t xml:space="preserve">etic </w:t>
            </w:r>
            <w:r w:rsidRPr="00BB2472">
              <w:rPr>
                <w:rFonts w:cstheme="minorHAnsi"/>
                <w:b/>
                <w:sz w:val="20"/>
                <w:szCs w:val="20"/>
              </w:rPr>
              <w:t>toxicity</w:t>
            </w:r>
          </w:p>
        </w:tc>
      </w:tr>
      <w:tr w:rsidR="003D518D" w:rsidRPr="00BB2472" w14:paraId="68D7DD91" w14:textId="77777777" w:rsidTr="34FB6227">
        <w:trPr>
          <w:cantSplit/>
        </w:trPr>
        <w:tc>
          <w:tcPr>
            <w:tcW w:w="747" w:type="pct"/>
            <w:shd w:val="clear" w:color="auto" w:fill="FFFFFF" w:themeFill="background1"/>
            <w:tcMar>
              <w:top w:w="150" w:type="dxa"/>
              <w:left w:w="150" w:type="dxa"/>
              <w:bottom w:w="150" w:type="dxa"/>
              <w:right w:w="150" w:type="dxa"/>
            </w:tcMar>
            <w:hideMark/>
          </w:tcPr>
          <w:p w14:paraId="2051195B" w14:textId="77777777" w:rsidR="003D518D" w:rsidRPr="00BB2472" w:rsidRDefault="00963848" w:rsidP="003D518D">
            <w:pPr>
              <w:rPr>
                <w:rFonts w:cstheme="minorHAnsi"/>
                <w:sz w:val="20"/>
                <w:szCs w:val="20"/>
              </w:rPr>
            </w:pPr>
            <w:hyperlink r:id="rId42" w:history="1">
              <w:r w:rsidR="003D518D" w:rsidRPr="005B788A">
                <w:rPr>
                  <w:rStyle w:val="Hyperlink"/>
                  <w:rFonts w:cstheme="minorHAnsi"/>
                  <w:sz w:val="20"/>
                  <w:szCs w:val="20"/>
                  <w:u w:color="436EE4" w:themeColor="text2" w:themeTint="99"/>
                </w:rPr>
                <w:t>OECD QSAR Toolbox</w:t>
              </w:r>
            </w:hyperlink>
          </w:p>
        </w:tc>
        <w:tc>
          <w:tcPr>
            <w:tcW w:w="597" w:type="pct"/>
            <w:shd w:val="clear" w:color="auto" w:fill="FFFFFF" w:themeFill="background1"/>
            <w:tcMar>
              <w:top w:w="150" w:type="dxa"/>
              <w:left w:w="150" w:type="dxa"/>
              <w:bottom w:w="150" w:type="dxa"/>
              <w:right w:w="150" w:type="dxa"/>
            </w:tcMar>
            <w:hideMark/>
          </w:tcPr>
          <w:p w14:paraId="62466DEE"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FFFFFF" w:themeFill="background1"/>
            <w:tcMar>
              <w:top w:w="150" w:type="dxa"/>
              <w:left w:w="150" w:type="dxa"/>
              <w:bottom w:w="150" w:type="dxa"/>
              <w:right w:w="150" w:type="dxa"/>
            </w:tcMar>
            <w:hideMark/>
          </w:tcPr>
          <w:p w14:paraId="42F4344E" w14:textId="77777777" w:rsidR="003D518D" w:rsidRPr="00BB2472" w:rsidRDefault="003D518D" w:rsidP="003D518D">
            <w:pPr>
              <w:rPr>
                <w:rFonts w:cstheme="minorHAnsi"/>
                <w:sz w:val="20"/>
                <w:szCs w:val="20"/>
              </w:rPr>
            </w:pPr>
            <w:r w:rsidRPr="00BB2472">
              <w:rPr>
                <w:rFonts w:cstheme="minorHAnsi"/>
                <w:sz w:val="20"/>
                <w:szCs w:val="20"/>
              </w:rPr>
              <w:t>Yes</w:t>
            </w:r>
          </w:p>
        </w:tc>
        <w:tc>
          <w:tcPr>
            <w:tcW w:w="671" w:type="pct"/>
            <w:shd w:val="clear" w:color="auto" w:fill="FFFFFF" w:themeFill="background1"/>
            <w:tcMar>
              <w:top w:w="150" w:type="dxa"/>
              <w:left w:w="150" w:type="dxa"/>
              <w:bottom w:w="150" w:type="dxa"/>
              <w:right w:w="150" w:type="dxa"/>
            </w:tcMar>
            <w:hideMark/>
          </w:tcPr>
          <w:p w14:paraId="2D875CF1"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shd w:val="clear" w:color="auto" w:fill="FFFFFF" w:themeFill="background1"/>
            <w:tcMar>
              <w:top w:w="150" w:type="dxa"/>
              <w:left w:w="150" w:type="dxa"/>
              <w:bottom w:w="150" w:type="dxa"/>
              <w:right w:w="150" w:type="dxa"/>
            </w:tcMar>
            <w:hideMark/>
          </w:tcPr>
          <w:p w14:paraId="3D0563C4"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FFFFFF" w:themeFill="background1"/>
            <w:tcMar>
              <w:top w:w="150" w:type="dxa"/>
              <w:left w:w="150" w:type="dxa"/>
              <w:bottom w:w="150" w:type="dxa"/>
              <w:right w:w="150" w:type="dxa"/>
            </w:tcMar>
            <w:hideMark/>
          </w:tcPr>
          <w:p w14:paraId="12D1245B" w14:textId="77777777" w:rsidR="003D518D" w:rsidRPr="00BB2472" w:rsidRDefault="003D518D" w:rsidP="003D518D">
            <w:pPr>
              <w:rPr>
                <w:sz w:val="20"/>
                <w:szCs w:val="20"/>
              </w:rPr>
            </w:pPr>
            <w:r w:rsidRPr="3CC0A409">
              <w:rPr>
                <w:sz w:val="20"/>
                <w:szCs w:val="20"/>
              </w:rPr>
              <w:t>Yes</w:t>
            </w:r>
          </w:p>
        </w:tc>
        <w:tc>
          <w:tcPr>
            <w:tcW w:w="823" w:type="pct"/>
            <w:shd w:val="clear" w:color="auto" w:fill="FFFFFF" w:themeFill="background1"/>
            <w:tcMar>
              <w:top w:w="150" w:type="dxa"/>
              <w:left w:w="150" w:type="dxa"/>
              <w:bottom w:w="150" w:type="dxa"/>
              <w:right w:w="150" w:type="dxa"/>
            </w:tcMar>
            <w:hideMark/>
          </w:tcPr>
          <w:p w14:paraId="7C6C7BD7"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7057E050" w14:textId="77777777" w:rsidTr="34FB6227">
        <w:trPr>
          <w:cantSplit/>
        </w:trPr>
        <w:tc>
          <w:tcPr>
            <w:tcW w:w="747" w:type="pct"/>
            <w:shd w:val="clear" w:color="auto" w:fill="E4F2FF"/>
            <w:tcMar>
              <w:top w:w="150" w:type="dxa"/>
              <w:left w:w="150" w:type="dxa"/>
              <w:bottom w:w="150" w:type="dxa"/>
              <w:right w:w="150" w:type="dxa"/>
            </w:tcMar>
            <w:hideMark/>
          </w:tcPr>
          <w:p w14:paraId="3C5BE442" w14:textId="77777777" w:rsidR="003D518D" w:rsidRPr="00BB2472" w:rsidRDefault="00963848" w:rsidP="003D518D">
            <w:pPr>
              <w:rPr>
                <w:rFonts w:cstheme="minorHAnsi"/>
                <w:sz w:val="20"/>
                <w:szCs w:val="20"/>
              </w:rPr>
            </w:pPr>
            <w:hyperlink r:id="rId43" w:history="1">
              <w:r w:rsidR="003D518D" w:rsidRPr="009048EA">
                <w:rPr>
                  <w:rStyle w:val="Hyperlink"/>
                  <w:rFonts w:cstheme="minorHAnsi"/>
                  <w:sz w:val="20"/>
                  <w:szCs w:val="20"/>
                  <w:u w:color="436EE4" w:themeColor="text2" w:themeTint="99"/>
                </w:rPr>
                <w:t>VEGA QSAR</w:t>
              </w:r>
            </w:hyperlink>
          </w:p>
        </w:tc>
        <w:tc>
          <w:tcPr>
            <w:tcW w:w="597" w:type="pct"/>
            <w:shd w:val="clear" w:color="auto" w:fill="E4F2FF"/>
            <w:tcMar>
              <w:top w:w="150" w:type="dxa"/>
              <w:left w:w="150" w:type="dxa"/>
              <w:bottom w:w="150" w:type="dxa"/>
              <w:right w:w="150" w:type="dxa"/>
            </w:tcMar>
            <w:hideMark/>
          </w:tcPr>
          <w:p w14:paraId="2C5096FD" w14:textId="77777777" w:rsidR="003D518D" w:rsidRPr="00BB2472" w:rsidRDefault="003D518D" w:rsidP="003D518D">
            <w:pPr>
              <w:rPr>
                <w:rFonts w:cstheme="minorHAnsi"/>
                <w:sz w:val="20"/>
                <w:szCs w:val="20"/>
              </w:rPr>
            </w:pPr>
            <w:r w:rsidRPr="00BB2472">
              <w:rPr>
                <w:rFonts w:cstheme="minorHAnsi"/>
                <w:sz w:val="20"/>
                <w:szCs w:val="20"/>
              </w:rPr>
              <w:t>-</w:t>
            </w:r>
          </w:p>
        </w:tc>
        <w:tc>
          <w:tcPr>
            <w:tcW w:w="669" w:type="pct"/>
            <w:shd w:val="clear" w:color="auto" w:fill="E4F2FF"/>
            <w:tcMar>
              <w:top w:w="150" w:type="dxa"/>
              <w:left w:w="150" w:type="dxa"/>
              <w:bottom w:w="150" w:type="dxa"/>
              <w:right w:w="150" w:type="dxa"/>
            </w:tcMar>
            <w:hideMark/>
          </w:tcPr>
          <w:p w14:paraId="2ABD27AD" w14:textId="77777777" w:rsidR="003D518D" w:rsidRPr="00BB2472" w:rsidRDefault="003D518D" w:rsidP="003D518D">
            <w:pPr>
              <w:rPr>
                <w:rFonts w:cstheme="minorHAnsi"/>
                <w:sz w:val="20"/>
                <w:szCs w:val="20"/>
              </w:rPr>
            </w:pPr>
            <w:r w:rsidRPr="00BB2472">
              <w:rPr>
                <w:rFonts w:cstheme="minorHAnsi"/>
                <w:sz w:val="20"/>
                <w:szCs w:val="20"/>
              </w:rPr>
              <w:t>-</w:t>
            </w:r>
          </w:p>
        </w:tc>
        <w:tc>
          <w:tcPr>
            <w:tcW w:w="671" w:type="pct"/>
            <w:shd w:val="clear" w:color="auto" w:fill="E4F2FF"/>
            <w:tcMar>
              <w:top w:w="150" w:type="dxa"/>
              <w:left w:w="150" w:type="dxa"/>
              <w:bottom w:w="150" w:type="dxa"/>
              <w:right w:w="150" w:type="dxa"/>
            </w:tcMar>
            <w:hideMark/>
          </w:tcPr>
          <w:p w14:paraId="35A7E16E"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E4F2FF"/>
            <w:tcMar>
              <w:top w:w="150" w:type="dxa"/>
              <w:left w:w="150" w:type="dxa"/>
              <w:bottom w:w="150" w:type="dxa"/>
              <w:right w:w="150" w:type="dxa"/>
            </w:tcMar>
            <w:hideMark/>
          </w:tcPr>
          <w:p w14:paraId="047FFAAD"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E4F2FF"/>
            <w:tcMar>
              <w:top w:w="150" w:type="dxa"/>
              <w:left w:w="150" w:type="dxa"/>
              <w:bottom w:w="150" w:type="dxa"/>
              <w:right w:w="150" w:type="dxa"/>
            </w:tcMar>
            <w:hideMark/>
          </w:tcPr>
          <w:p w14:paraId="3CC07DCA"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E4F2FF"/>
            <w:tcMar>
              <w:top w:w="150" w:type="dxa"/>
              <w:left w:w="150" w:type="dxa"/>
              <w:bottom w:w="150" w:type="dxa"/>
              <w:right w:w="150" w:type="dxa"/>
            </w:tcMar>
            <w:hideMark/>
          </w:tcPr>
          <w:p w14:paraId="3FA6780A"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49D376A4" w14:textId="77777777" w:rsidTr="34FB6227">
        <w:trPr>
          <w:cantSplit/>
        </w:trPr>
        <w:tc>
          <w:tcPr>
            <w:tcW w:w="747" w:type="pct"/>
            <w:shd w:val="clear" w:color="auto" w:fill="FFFFFF" w:themeFill="background1"/>
            <w:tcMar>
              <w:top w:w="150" w:type="dxa"/>
              <w:left w:w="150" w:type="dxa"/>
              <w:bottom w:w="150" w:type="dxa"/>
              <w:right w:w="150" w:type="dxa"/>
            </w:tcMar>
            <w:hideMark/>
          </w:tcPr>
          <w:p w14:paraId="76453E3E" w14:textId="77777777" w:rsidR="003D518D" w:rsidRPr="00BB2472" w:rsidRDefault="00963848" w:rsidP="003D518D">
            <w:pPr>
              <w:rPr>
                <w:rFonts w:cstheme="minorHAnsi"/>
                <w:sz w:val="20"/>
                <w:szCs w:val="20"/>
              </w:rPr>
            </w:pPr>
            <w:hyperlink r:id="rId44" w:history="1">
              <w:r w:rsidR="003D518D" w:rsidRPr="009048EA">
                <w:rPr>
                  <w:rStyle w:val="Hyperlink"/>
                  <w:rFonts w:cstheme="minorHAnsi"/>
                  <w:sz w:val="20"/>
                  <w:szCs w:val="20"/>
                  <w:u w:color="436EE4" w:themeColor="text2" w:themeTint="99"/>
                </w:rPr>
                <w:t>Danish EPA QSAR Database</w:t>
              </w:r>
            </w:hyperlink>
          </w:p>
        </w:tc>
        <w:tc>
          <w:tcPr>
            <w:tcW w:w="597" w:type="pct"/>
            <w:shd w:val="clear" w:color="auto" w:fill="FFFFFF" w:themeFill="background1"/>
            <w:tcMar>
              <w:top w:w="150" w:type="dxa"/>
              <w:left w:w="150" w:type="dxa"/>
              <w:bottom w:w="150" w:type="dxa"/>
              <w:right w:w="150" w:type="dxa"/>
            </w:tcMar>
            <w:hideMark/>
          </w:tcPr>
          <w:p w14:paraId="5971C0FD"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FFFFFF" w:themeFill="background1"/>
            <w:tcMar>
              <w:top w:w="150" w:type="dxa"/>
              <w:left w:w="150" w:type="dxa"/>
              <w:bottom w:w="150" w:type="dxa"/>
              <w:right w:w="150" w:type="dxa"/>
            </w:tcMar>
            <w:hideMark/>
          </w:tcPr>
          <w:p w14:paraId="7C059C79" w14:textId="77777777" w:rsidR="003D518D" w:rsidRPr="00BB2472" w:rsidRDefault="003D518D" w:rsidP="003D518D">
            <w:pPr>
              <w:rPr>
                <w:rFonts w:cstheme="minorHAnsi"/>
                <w:sz w:val="20"/>
                <w:szCs w:val="20"/>
              </w:rPr>
            </w:pPr>
            <w:r w:rsidRPr="00BB2472">
              <w:rPr>
                <w:rFonts w:cstheme="minorHAnsi"/>
                <w:sz w:val="20"/>
                <w:szCs w:val="20"/>
              </w:rPr>
              <w:t>Yes</w:t>
            </w:r>
          </w:p>
        </w:tc>
        <w:tc>
          <w:tcPr>
            <w:tcW w:w="671" w:type="pct"/>
            <w:shd w:val="clear" w:color="auto" w:fill="FFFFFF" w:themeFill="background1"/>
            <w:tcMar>
              <w:top w:w="150" w:type="dxa"/>
              <w:left w:w="150" w:type="dxa"/>
              <w:bottom w:w="150" w:type="dxa"/>
              <w:right w:w="150" w:type="dxa"/>
            </w:tcMar>
            <w:hideMark/>
          </w:tcPr>
          <w:p w14:paraId="7E50C3BE"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FFFFFF" w:themeFill="background1"/>
            <w:tcMar>
              <w:top w:w="150" w:type="dxa"/>
              <w:left w:w="150" w:type="dxa"/>
              <w:bottom w:w="150" w:type="dxa"/>
              <w:right w:w="150" w:type="dxa"/>
            </w:tcMar>
            <w:hideMark/>
          </w:tcPr>
          <w:p w14:paraId="7B723E8A"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FFFFFF" w:themeFill="background1"/>
            <w:tcMar>
              <w:top w:w="150" w:type="dxa"/>
              <w:left w:w="150" w:type="dxa"/>
              <w:bottom w:w="150" w:type="dxa"/>
              <w:right w:w="150" w:type="dxa"/>
            </w:tcMar>
            <w:hideMark/>
          </w:tcPr>
          <w:p w14:paraId="68D63156" w14:textId="77777777" w:rsidR="003D518D" w:rsidRPr="00BB2472" w:rsidRDefault="003D518D" w:rsidP="003D518D">
            <w:pPr>
              <w:rPr>
                <w:rFonts w:cstheme="minorHAnsi"/>
                <w:sz w:val="20"/>
                <w:szCs w:val="20"/>
              </w:rPr>
            </w:pPr>
            <w:r w:rsidRPr="00BB2472">
              <w:rPr>
                <w:rFonts w:cstheme="minorHAnsi"/>
                <w:sz w:val="20"/>
                <w:szCs w:val="20"/>
              </w:rPr>
              <w:t>Yes</w:t>
            </w:r>
          </w:p>
        </w:tc>
        <w:tc>
          <w:tcPr>
            <w:tcW w:w="823" w:type="pct"/>
            <w:shd w:val="clear" w:color="auto" w:fill="FFFFFF" w:themeFill="background1"/>
            <w:tcMar>
              <w:top w:w="150" w:type="dxa"/>
              <w:left w:w="150" w:type="dxa"/>
              <w:bottom w:w="150" w:type="dxa"/>
              <w:right w:w="150" w:type="dxa"/>
            </w:tcMar>
            <w:hideMark/>
          </w:tcPr>
          <w:p w14:paraId="7C2F9E29"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5731A22F" w14:textId="77777777" w:rsidTr="34FB6227">
        <w:trPr>
          <w:cantSplit/>
        </w:trPr>
        <w:tc>
          <w:tcPr>
            <w:tcW w:w="747" w:type="pct"/>
            <w:shd w:val="clear" w:color="auto" w:fill="E4F2FF"/>
            <w:tcMar>
              <w:top w:w="150" w:type="dxa"/>
              <w:left w:w="150" w:type="dxa"/>
              <w:bottom w:w="150" w:type="dxa"/>
              <w:right w:w="150" w:type="dxa"/>
            </w:tcMar>
            <w:hideMark/>
          </w:tcPr>
          <w:p w14:paraId="507B5336" w14:textId="77777777" w:rsidR="003D518D" w:rsidRPr="00BB2472" w:rsidRDefault="00963848" w:rsidP="003D518D">
            <w:pPr>
              <w:rPr>
                <w:rFonts w:cstheme="minorHAnsi"/>
                <w:sz w:val="20"/>
                <w:szCs w:val="20"/>
              </w:rPr>
            </w:pPr>
            <w:hyperlink r:id="rId45" w:history="1">
              <w:r w:rsidR="003D518D" w:rsidRPr="00042A1C">
                <w:rPr>
                  <w:rStyle w:val="Hyperlink"/>
                  <w:rFonts w:cstheme="minorHAnsi"/>
                  <w:sz w:val="20"/>
                  <w:szCs w:val="20"/>
                  <w:u w:color="436EE4" w:themeColor="text2" w:themeTint="99"/>
                </w:rPr>
                <w:t>T.E.S.T.</w:t>
              </w:r>
            </w:hyperlink>
          </w:p>
        </w:tc>
        <w:tc>
          <w:tcPr>
            <w:tcW w:w="597" w:type="pct"/>
            <w:shd w:val="clear" w:color="auto" w:fill="E4F2FF"/>
            <w:tcMar>
              <w:top w:w="150" w:type="dxa"/>
              <w:left w:w="150" w:type="dxa"/>
              <w:bottom w:w="150" w:type="dxa"/>
              <w:right w:w="150" w:type="dxa"/>
            </w:tcMar>
            <w:hideMark/>
          </w:tcPr>
          <w:p w14:paraId="26340C18"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E4F2FF"/>
            <w:tcMar>
              <w:top w:w="150" w:type="dxa"/>
              <w:left w:w="150" w:type="dxa"/>
              <w:bottom w:w="150" w:type="dxa"/>
              <w:right w:w="150" w:type="dxa"/>
            </w:tcMar>
            <w:hideMark/>
          </w:tcPr>
          <w:p w14:paraId="35C0C784" w14:textId="77777777" w:rsidR="003D518D" w:rsidRPr="00BB2472" w:rsidRDefault="003D518D" w:rsidP="003D518D">
            <w:pPr>
              <w:rPr>
                <w:rFonts w:cstheme="minorHAnsi"/>
                <w:sz w:val="20"/>
                <w:szCs w:val="20"/>
              </w:rPr>
            </w:pPr>
            <w:r w:rsidRPr="00BB2472">
              <w:rPr>
                <w:rFonts w:cstheme="minorHAnsi"/>
                <w:sz w:val="20"/>
                <w:szCs w:val="20"/>
              </w:rPr>
              <w:t>-</w:t>
            </w:r>
          </w:p>
        </w:tc>
        <w:tc>
          <w:tcPr>
            <w:tcW w:w="671" w:type="pct"/>
            <w:shd w:val="clear" w:color="auto" w:fill="E4F2FF"/>
            <w:tcMar>
              <w:top w:w="150" w:type="dxa"/>
              <w:left w:w="150" w:type="dxa"/>
              <w:bottom w:w="150" w:type="dxa"/>
              <w:right w:w="150" w:type="dxa"/>
            </w:tcMar>
            <w:hideMark/>
          </w:tcPr>
          <w:p w14:paraId="3FB2E1C7"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E4F2FF"/>
            <w:tcMar>
              <w:top w:w="150" w:type="dxa"/>
              <w:left w:w="150" w:type="dxa"/>
              <w:bottom w:w="150" w:type="dxa"/>
              <w:right w:w="150" w:type="dxa"/>
            </w:tcMar>
            <w:hideMark/>
          </w:tcPr>
          <w:p w14:paraId="4C8C6C6E" w14:textId="77777777" w:rsidR="003D518D" w:rsidRPr="00BB2472" w:rsidRDefault="003D518D" w:rsidP="003D518D">
            <w:pPr>
              <w:rPr>
                <w:rFonts w:cstheme="minorHAnsi"/>
                <w:sz w:val="20"/>
                <w:szCs w:val="20"/>
              </w:rPr>
            </w:pPr>
            <w:r w:rsidRPr="00BB2472">
              <w:rPr>
                <w:rFonts w:cstheme="minorHAnsi"/>
                <w:sz w:val="20"/>
                <w:szCs w:val="20"/>
              </w:rPr>
              <w:t>-</w:t>
            </w:r>
          </w:p>
        </w:tc>
        <w:tc>
          <w:tcPr>
            <w:tcW w:w="749" w:type="pct"/>
            <w:shd w:val="clear" w:color="auto" w:fill="E4F2FF"/>
            <w:tcMar>
              <w:top w:w="150" w:type="dxa"/>
              <w:left w:w="150" w:type="dxa"/>
              <w:bottom w:w="150" w:type="dxa"/>
              <w:right w:w="150" w:type="dxa"/>
            </w:tcMar>
            <w:hideMark/>
          </w:tcPr>
          <w:p w14:paraId="42288955" w14:textId="77777777" w:rsidR="003D518D" w:rsidRPr="00BB2472" w:rsidRDefault="003D518D" w:rsidP="003D518D">
            <w:pPr>
              <w:rPr>
                <w:sz w:val="20"/>
                <w:szCs w:val="20"/>
              </w:rPr>
            </w:pPr>
            <w:r w:rsidRPr="2195FF8C">
              <w:rPr>
                <w:sz w:val="20"/>
                <w:szCs w:val="20"/>
              </w:rPr>
              <w:t>-</w:t>
            </w:r>
          </w:p>
        </w:tc>
        <w:tc>
          <w:tcPr>
            <w:tcW w:w="823" w:type="pct"/>
            <w:shd w:val="clear" w:color="auto" w:fill="E4F2FF"/>
            <w:tcMar>
              <w:top w:w="150" w:type="dxa"/>
              <w:left w:w="150" w:type="dxa"/>
              <w:bottom w:w="150" w:type="dxa"/>
              <w:right w:w="150" w:type="dxa"/>
            </w:tcMar>
            <w:hideMark/>
          </w:tcPr>
          <w:p w14:paraId="282965C3"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50BA6539" w14:textId="77777777" w:rsidTr="34FB6227">
        <w:trPr>
          <w:cantSplit/>
        </w:trPr>
        <w:tc>
          <w:tcPr>
            <w:tcW w:w="747" w:type="pct"/>
            <w:shd w:val="clear" w:color="auto" w:fill="FFFFFF" w:themeFill="background1"/>
            <w:tcMar>
              <w:top w:w="150" w:type="dxa"/>
              <w:left w:w="150" w:type="dxa"/>
              <w:bottom w:w="150" w:type="dxa"/>
              <w:right w:w="150" w:type="dxa"/>
            </w:tcMar>
            <w:hideMark/>
          </w:tcPr>
          <w:p w14:paraId="2627D5B1" w14:textId="77777777" w:rsidR="003D518D" w:rsidRPr="00BB2472" w:rsidRDefault="00963848" w:rsidP="003D518D">
            <w:pPr>
              <w:rPr>
                <w:rFonts w:cstheme="minorHAnsi"/>
                <w:sz w:val="20"/>
                <w:szCs w:val="20"/>
              </w:rPr>
            </w:pPr>
            <w:hyperlink r:id="rId46" w:history="1">
              <w:r w:rsidR="003D518D" w:rsidRPr="00042A1C">
                <w:rPr>
                  <w:rStyle w:val="Hyperlink"/>
                  <w:rFonts w:cstheme="minorHAnsi"/>
                  <w:sz w:val="20"/>
                  <w:szCs w:val="20"/>
                  <w:u w:color="436EE4" w:themeColor="text2" w:themeTint="99"/>
                </w:rPr>
                <w:t>ToxTree</w:t>
              </w:r>
            </w:hyperlink>
          </w:p>
        </w:tc>
        <w:tc>
          <w:tcPr>
            <w:tcW w:w="597" w:type="pct"/>
            <w:shd w:val="clear" w:color="auto" w:fill="FFFFFF" w:themeFill="background1"/>
            <w:tcMar>
              <w:top w:w="150" w:type="dxa"/>
              <w:left w:w="150" w:type="dxa"/>
              <w:bottom w:w="150" w:type="dxa"/>
              <w:right w:w="150" w:type="dxa"/>
            </w:tcMar>
            <w:hideMark/>
          </w:tcPr>
          <w:p w14:paraId="613DC15D" w14:textId="77777777" w:rsidR="003D518D" w:rsidRPr="00BB2472" w:rsidRDefault="003D518D" w:rsidP="003D518D">
            <w:pPr>
              <w:rPr>
                <w:rFonts w:cstheme="minorHAnsi"/>
                <w:sz w:val="20"/>
                <w:szCs w:val="20"/>
              </w:rPr>
            </w:pPr>
            <w:r w:rsidRPr="00BB2472">
              <w:rPr>
                <w:rFonts w:cstheme="minorHAnsi"/>
                <w:sz w:val="20"/>
                <w:szCs w:val="20"/>
              </w:rPr>
              <w:t>-</w:t>
            </w:r>
          </w:p>
        </w:tc>
        <w:tc>
          <w:tcPr>
            <w:tcW w:w="669" w:type="pct"/>
            <w:shd w:val="clear" w:color="auto" w:fill="FFFFFF" w:themeFill="background1"/>
            <w:tcMar>
              <w:top w:w="150" w:type="dxa"/>
              <w:left w:w="150" w:type="dxa"/>
              <w:bottom w:w="150" w:type="dxa"/>
              <w:right w:w="150" w:type="dxa"/>
            </w:tcMar>
            <w:hideMark/>
          </w:tcPr>
          <w:p w14:paraId="192FF35D" w14:textId="77777777" w:rsidR="003D518D" w:rsidRPr="00BB2472" w:rsidRDefault="003D518D" w:rsidP="003D518D">
            <w:pPr>
              <w:rPr>
                <w:rFonts w:cstheme="minorHAnsi"/>
                <w:sz w:val="20"/>
                <w:szCs w:val="20"/>
              </w:rPr>
            </w:pPr>
            <w:r>
              <w:rPr>
                <w:rFonts w:cstheme="minorHAnsi"/>
                <w:sz w:val="20"/>
                <w:szCs w:val="20"/>
              </w:rPr>
              <w:t xml:space="preserve">Yes </w:t>
            </w:r>
          </w:p>
        </w:tc>
        <w:tc>
          <w:tcPr>
            <w:tcW w:w="671" w:type="pct"/>
            <w:shd w:val="clear" w:color="auto" w:fill="FFFFFF" w:themeFill="background1"/>
            <w:tcMar>
              <w:top w:w="150" w:type="dxa"/>
              <w:left w:w="150" w:type="dxa"/>
              <w:bottom w:w="150" w:type="dxa"/>
              <w:right w:w="150" w:type="dxa"/>
            </w:tcMar>
            <w:hideMark/>
          </w:tcPr>
          <w:p w14:paraId="5F9803CF"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shd w:val="clear" w:color="auto" w:fill="FFFFFF" w:themeFill="background1"/>
            <w:tcMar>
              <w:top w:w="150" w:type="dxa"/>
              <w:left w:w="150" w:type="dxa"/>
              <w:bottom w:w="150" w:type="dxa"/>
              <w:right w:w="150" w:type="dxa"/>
            </w:tcMar>
            <w:hideMark/>
          </w:tcPr>
          <w:p w14:paraId="65D711E9"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FFFFFF" w:themeFill="background1"/>
            <w:tcMar>
              <w:top w:w="150" w:type="dxa"/>
              <w:left w:w="150" w:type="dxa"/>
              <w:bottom w:w="150" w:type="dxa"/>
              <w:right w:w="150" w:type="dxa"/>
            </w:tcMar>
            <w:hideMark/>
          </w:tcPr>
          <w:p w14:paraId="06D6FF33" w14:textId="77777777" w:rsidR="003D518D" w:rsidRPr="00AF062D" w:rsidRDefault="003D518D" w:rsidP="003D518D">
            <w:pPr>
              <w:rPr>
                <w:sz w:val="20"/>
                <w:szCs w:val="20"/>
              </w:rPr>
            </w:pPr>
            <w:r w:rsidRPr="2195FF8C">
              <w:rPr>
                <w:sz w:val="20"/>
                <w:szCs w:val="20"/>
              </w:rPr>
              <w:t>Yes (as protein binding alerts)</w:t>
            </w:r>
          </w:p>
        </w:tc>
        <w:tc>
          <w:tcPr>
            <w:tcW w:w="823" w:type="pct"/>
            <w:shd w:val="clear" w:color="auto" w:fill="FFFFFF" w:themeFill="background1"/>
            <w:tcMar>
              <w:top w:w="150" w:type="dxa"/>
              <w:left w:w="150" w:type="dxa"/>
              <w:bottom w:w="150" w:type="dxa"/>
              <w:right w:w="150" w:type="dxa"/>
            </w:tcMar>
            <w:hideMark/>
          </w:tcPr>
          <w:p w14:paraId="0108FC0E"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5D544122" w14:textId="77777777" w:rsidTr="34FB6227">
        <w:trPr>
          <w:cantSplit/>
        </w:trPr>
        <w:tc>
          <w:tcPr>
            <w:tcW w:w="747" w:type="pct"/>
            <w:shd w:val="clear" w:color="auto" w:fill="E4F2FF"/>
            <w:tcMar>
              <w:top w:w="150" w:type="dxa"/>
              <w:left w:w="150" w:type="dxa"/>
              <w:bottom w:w="150" w:type="dxa"/>
              <w:right w:w="150" w:type="dxa"/>
            </w:tcMar>
            <w:hideMark/>
          </w:tcPr>
          <w:p w14:paraId="19CA2822" w14:textId="77777777" w:rsidR="003D518D" w:rsidRPr="00BB2472" w:rsidRDefault="00963848" w:rsidP="003D518D">
            <w:pPr>
              <w:rPr>
                <w:rFonts w:cstheme="minorHAnsi"/>
                <w:sz w:val="20"/>
                <w:szCs w:val="20"/>
              </w:rPr>
            </w:pPr>
            <w:hyperlink r:id="rId47" w:history="1">
              <w:r w:rsidR="003D518D" w:rsidRPr="00042A1C">
                <w:rPr>
                  <w:rStyle w:val="Hyperlink"/>
                  <w:rFonts w:cstheme="minorHAnsi"/>
                  <w:sz w:val="20"/>
                  <w:szCs w:val="20"/>
                  <w:u w:color="436EE4" w:themeColor="text2" w:themeTint="99"/>
                </w:rPr>
                <w:t>Derek Nexus</w:t>
              </w:r>
            </w:hyperlink>
          </w:p>
        </w:tc>
        <w:tc>
          <w:tcPr>
            <w:tcW w:w="597" w:type="pct"/>
            <w:shd w:val="clear" w:color="auto" w:fill="E4F2FF"/>
            <w:tcMar>
              <w:top w:w="150" w:type="dxa"/>
              <w:left w:w="150" w:type="dxa"/>
              <w:bottom w:w="150" w:type="dxa"/>
              <w:right w:w="150" w:type="dxa"/>
            </w:tcMar>
            <w:hideMark/>
          </w:tcPr>
          <w:p w14:paraId="7B7258EB" w14:textId="77777777" w:rsidR="003D518D" w:rsidRPr="00BB2472" w:rsidRDefault="003D518D" w:rsidP="003D518D">
            <w:pPr>
              <w:rPr>
                <w:sz w:val="20"/>
                <w:szCs w:val="20"/>
              </w:rPr>
            </w:pPr>
            <w:r w:rsidRPr="3CC0A409">
              <w:rPr>
                <w:sz w:val="20"/>
                <w:szCs w:val="20"/>
              </w:rPr>
              <w:t>-</w:t>
            </w:r>
          </w:p>
        </w:tc>
        <w:tc>
          <w:tcPr>
            <w:tcW w:w="669" w:type="pct"/>
            <w:shd w:val="clear" w:color="auto" w:fill="E4F2FF"/>
            <w:tcMar>
              <w:top w:w="150" w:type="dxa"/>
              <w:left w:w="150" w:type="dxa"/>
              <w:bottom w:w="150" w:type="dxa"/>
              <w:right w:w="150" w:type="dxa"/>
            </w:tcMar>
            <w:hideMark/>
          </w:tcPr>
          <w:p w14:paraId="6CCA34E4" w14:textId="25405A92" w:rsidR="003D518D" w:rsidRPr="00BB2472" w:rsidRDefault="477E0174" w:rsidP="003D518D">
            <w:pPr>
              <w:rPr>
                <w:sz w:val="20"/>
                <w:szCs w:val="20"/>
              </w:rPr>
            </w:pPr>
            <w:r w:rsidRPr="34FB6227">
              <w:rPr>
                <w:sz w:val="20"/>
                <w:szCs w:val="20"/>
              </w:rPr>
              <w:t>Yes</w:t>
            </w:r>
          </w:p>
        </w:tc>
        <w:tc>
          <w:tcPr>
            <w:tcW w:w="671" w:type="pct"/>
            <w:shd w:val="clear" w:color="auto" w:fill="E4F2FF"/>
            <w:tcMar>
              <w:top w:w="150" w:type="dxa"/>
              <w:left w:w="150" w:type="dxa"/>
              <w:bottom w:w="150" w:type="dxa"/>
              <w:right w:w="150" w:type="dxa"/>
            </w:tcMar>
            <w:hideMark/>
          </w:tcPr>
          <w:p w14:paraId="245C030B" w14:textId="1E01E799" w:rsidR="003D518D" w:rsidRPr="00BB2472" w:rsidRDefault="3BBCC49F">
            <w:pPr>
              <w:rPr>
                <w:sz w:val="20"/>
                <w:szCs w:val="20"/>
              </w:rPr>
            </w:pPr>
            <w:r w:rsidRPr="34FB6227">
              <w:rPr>
                <w:sz w:val="20"/>
                <w:szCs w:val="20"/>
              </w:rPr>
              <w:t>Yes</w:t>
            </w:r>
          </w:p>
        </w:tc>
        <w:tc>
          <w:tcPr>
            <w:tcW w:w="744" w:type="pct"/>
            <w:shd w:val="clear" w:color="auto" w:fill="E4F2FF"/>
            <w:tcMar>
              <w:top w:w="150" w:type="dxa"/>
              <w:left w:w="150" w:type="dxa"/>
              <w:bottom w:w="150" w:type="dxa"/>
              <w:right w:w="150" w:type="dxa"/>
            </w:tcMar>
            <w:hideMark/>
          </w:tcPr>
          <w:p w14:paraId="78ED8C58"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E4F2FF"/>
            <w:tcMar>
              <w:top w:w="150" w:type="dxa"/>
              <w:left w:w="150" w:type="dxa"/>
              <w:bottom w:w="150" w:type="dxa"/>
              <w:right w:w="150" w:type="dxa"/>
            </w:tcMar>
            <w:hideMark/>
          </w:tcPr>
          <w:p w14:paraId="4C2DF385" w14:textId="2DEB7B5E" w:rsidR="003D518D" w:rsidRPr="00AF062D" w:rsidRDefault="437C9BAF" w:rsidP="003D518D">
            <w:pPr>
              <w:rPr>
                <w:sz w:val="20"/>
                <w:szCs w:val="20"/>
                <w:highlight w:val="yellow"/>
              </w:rPr>
            </w:pPr>
            <w:r w:rsidRPr="34FB6227">
              <w:rPr>
                <w:sz w:val="20"/>
                <w:szCs w:val="20"/>
              </w:rPr>
              <w:t>Yes</w:t>
            </w:r>
          </w:p>
        </w:tc>
        <w:tc>
          <w:tcPr>
            <w:tcW w:w="823" w:type="pct"/>
            <w:shd w:val="clear" w:color="auto" w:fill="E4F2FF"/>
            <w:tcMar>
              <w:top w:w="150" w:type="dxa"/>
              <w:left w:w="150" w:type="dxa"/>
              <w:bottom w:w="150" w:type="dxa"/>
              <w:right w:w="150" w:type="dxa"/>
            </w:tcMar>
            <w:hideMark/>
          </w:tcPr>
          <w:p w14:paraId="19E4105B"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65EE42D0" w14:textId="77777777" w:rsidTr="34FB6227">
        <w:trPr>
          <w:cantSplit/>
        </w:trPr>
        <w:tc>
          <w:tcPr>
            <w:tcW w:w="747" w:type="pct"/>
            <w:shd w:val="clear" w:color="auto" w:fill="FFFFFF" w:themeFill="background1"/>
            <w:tcMar>
              <w:top w:w="150" w:type="dxa"/>
              <w:left w:w="150" w:type="dxa"/>
              <w:bottom w:w="150" w:type="dxa"/>
              <w:right w:w="150" w:type="dxa"/>
            </w:tcMar>
            <w:hideMark/>
          </w:tcPr>
          <w:p w14:paraId="04539989" w14:textId="77777777" w:rsidR="003D518D" w:rsidRPr="00BB2472" w:rsidRDefault="00963848" w:rsidP="003D518D">
            <w:pPr>
              <w:rPr>
                <w:rFonts w:cstheme="minorHAnsi"/>
                <w:sz w:val="20"/>
                <w:szCs w:val="20"/>
              </w:rPr>
            </w:pPr>
            <w:hyperlink r:id="rId48" w:history="1">
              <w:r w:rsidR="003D518D" w:rsidRPr="00042A1C">
                <w:rPr>
                  <w:rStyle w:val="Hyperlink"/>
                  <w:rFonts w:cstheme="minorHAnsi"/>
                  <w:sz w:val="20"/>
                  <w:szCs w:val="20"/>
                  <w:u w:color="436EE4" w:themeColor="text2" w:themeTint="99"/>
                </w:rPr>
                <w:t>Sarah Nexus</w:t>
              </w:r>
            </w:hyperlink>
          </w:p>
        </w:tc>
        <w:tc>
          <w:tcPr>
            <w:tcW w:w="597" w:type="pct"/>
            <w:shd w:val="clear" w:color="auto" w:fill="FFFFFF" w:themeFill="background1"/>
            <w:tcMar>
              <w:top w:w="150" w:type="dxa"/>
              <w:left w:w="150" w:type="dxa"/>
              <w:bottom w:w="150" w:type="dxa"/>
              <w:right w:w="150" w:type="dxa"/>
            </w:tcMar>
            <w:hideMark/>
          </w:tcPr>
          <w:p w14:paraId="1635CAA1" w14:textId="77777777" w:rsidR="003D518D" w:rsidRPr="00BB2472" w:rsidRDefault="003D518D" w:rsidP="003D518D">
            <w:pPr>
              <w:rPr>
                <w:rFonts w:cstheme="minorHAnsi"/>
                <w:sz w:val="20"/>
                <w:szCs w:val="20"/>
              </w:rPr>
            </w:pPr>
            <w:r w:rsidRPr="00BB2472">
              <w:rPr>
                <w:rFonts w:cstheme="minorHAnsi"/>
                <w:sz w:val="20"/>
                <w:szCs w:val="20"/>
              </w:rPr>
              <w:t>-</w:t>
            </w:r>
          </w:p>
        </w:tc>
        <w:tc>
          <w:tcPr>
            <w:tcW w:w="669" w:type="pct"/>
            <w:shd w:val="clear" w:color="auto" w:fill="FFFFFF" w:themeFill="background1"/>
            <w:tcMar>
              <w:top w:w="150" w:type="dxa"/>
              <w:left w:w="150" w:type="dxa"/>
              <w:bottom w:w="150" w:type="dxa"/>
              <w:right w:w="150" w:type="dxa"/>
            </w:tcMar>
            <w:hideMark/>
          </w:tcPr>
          <w:p w14:paraId="28AB3C42" w14:textId="77777777" w:rsidR="003D518D" w:rsidRPr="00BB2472" w:rsidRDefault="003D518D" w:rsidP="003D518D">
            <w:pPr>
              <w:rPr>
                <w:rFonts w:cstheme="minorHAnsi"/>
                <w:sz w:val="20"/>
                <w:szCs w:val="20"/>
              </w:rPr>
            </w:pPr>
            <w:r w:rsidRPr="00BB2472">
              <w:rPr>
                <w:rFonts w:cstheme="minorHAnsi"/>
                <w:sz w:val="20"/>
                <w:szCs w:val="20"/>
              </w:rPr>
              <w:t>-</w:t>
            </w:r>
          </w:p>
        </w:tc>
        <w:tc>
          <w:tcPr>
            <w:tcW w:w="671" w:type="pct"/>
            <w:shd w:val="clear" w:color="auto" w:fill="FFFFFF" w:themeFill="background1"/>
            <w:tcMar>
              <w:top w:w="150" w:type="dxa"/>
              <w:left w:w="150" w:type="dxa"/>
              <w:bottom w:w="150" w:type="dxa"/>
              <w:right w:w="150" w:type="dxa"/>
            </w:tcMar>
            <w:hideMark/>
          </w:tcPr>
          <w:p w14:paraId="4C338B8A"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FFFFFF" w:themeFill="background1"/>
            <w:tcMar>
              <w:top w:w="150" w:type="dxa"/>
              <w:left w:w="150" w:type="dxa"/>
              <w:bottom w:w="150" w:type="dxa"/>
              <w:right w:w="150" w:type="dxa"/>
            </w:tcMar>
            <w:hideMark/>
          </w:tcPr>
          <w:p w14:paraId="707D059F" w14:textId="77777777" w:rsidR="003D518D" w:rsidRPr="00BB2472" w:rsidRDefault="003D518D" w:rsidP="003D518D">
            <w:pPr>
              <w:rPr>
                <w:rFonts w:cstheme="minorHAnsi"/>
                <w:sz w:val="20"/>
                <w:szCs w:val="20"/>
              </w:rPr>
            </w:pPr>
            <w:r w:rsidRPr="00BB2472">
              <w:rPr>
                <w:rFonts w:cstheme="minorHAnsi"/>
                <w:sz w:val="20"/>
                <w:szCs w:val="20"/>
              </w:rPr>
              <w:t>-</w:t>
            </w:r>
          </w:p>
        </w:tc>
        <w:tc>
          <w:tcPr>
            <w:tcW w:w="749" w:type="pct"/>
            <w:shd w:val="clear" w:color="auto" w:fill="FFFFFF" w:themeFill="background1"/>
            <w:tcMar>
              <w:top w:w="150" w:type="dxa"/>
              <w:left w:w="150" w:type="dxa"/>
              <w:bottom w:w="150" w:type="dxa"/>
              <w:right w:w="150" w:type="dxa"/>
            </w:tcMar>
            <w:hideMark/>
          </w:tcPr>
          <w:p w14:paraId="074D9276"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FFFFFF" w:themeFill="background1"/>
            <w:tcMar>
              <w:top w:w="150" w:type="dxa"/>
              <w:left w:w="150" w:type="dxa"/>
              <w:bottom w:w="150" w:type="dxa"/>
              <w:right w:w="150" w:type="dxa"/>
            </w:tcMar>
            <w:hideMark/>
          </w:tcPr>
          <w:p w14:paraId="45F86959"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70C3E0B6" w14:textId="77777777" w:rsidTr="34FB6227">
        <w:trPr>
          <w:cantSplit/>
        </w:trPr>
        <w:tc>
          <w:tcPr>
            <w:tcW w:w="747" w:type="pct"/>
            <w:shd w:val="clear" w:color="auto" w:fill="E4F2FF"/>
            <w:tcMar>
              <w:top w:w="150" w:type="dxa"/>
              <w:left w:w="150" w:type="dxa"/>
              <w:bottom w:w="150" w:type="dxa"/>
              <w:right w:w="150" w:type="dxa"/>
            </w:tcMar>
            <w:hideMark/>
          </w:tcPr>
          <w:p w14:paraId="00860A58" w14:textId="77777777" w:rsidR="003D518D" w:rsidRPr="00BB2472" w:rsidRDefault="00963848" w:rsidP="003D518D">
            <w:pPr>
              <w:rPr>
                <w:rFonts w:cstheme="minorHAnsi"/>
                <w:sz w:val="20"/>
                <w:szCs w:val="20"/>
              </w:rPr>
            </w:pPr>
            <w:hyperlink r:id="rId49" w:history="1">
              <w:r w:rsidR="003D518D" w:rsidRPr="00042A1C">
                <w:rPr>
                  <w:rStyle w:val="Hyperlink"/>
                  <w:rFonts w:cstheme="minorHAnsi"/>
                  <w:sz w:val="20"/>
                  <w:szCs w:val="20"/>
                  <w:u w:color="436EE4" w:themeColor="text2" w:themeTint="99"/>
                </w:rPr>
                <w:t>OASIS-TIMES</w:t>
              </w:r>
            </w:hyperlink>
          </w:p>
        </w:tc>
        <w:tc>
          <w:tcPr>
            <w:tcW w:w="597" w:type="pct"/>
            <w:shd w:val="clear" w:color="auto" w:fill="E4F2FF"/>
            <w:tcMar>
              <w:top w:w="150" w:type="dxa"/>
              <w:left w:w="150" w:type="dxa"/>
              <w:bottom w:w="150" w:type="dxa"/>
              <w:right w:w="150" w:type="dxa"/>
            </w:tcMar>
            <w:hideMark/>
          </w:tcPr>
          <w:p w14:paraId="31479136"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E4F2FF"/>
            <w:tcMar>
              <w:top w:w="150" w:type="dxa"/>
              <w:left w:w="150" w:type="dxa"/>
              <w:bottom w:w="150" w:type="dxa"/>
              <w:right w:w="150" w:type="dxa"/>
            </w:tcMar>
            <w:hideMark/>
          </w:tcPr>
          <w:p w14:paraId="219A83C9" w14:textId="77777777" w:rsidR="003D518D" w:rsidRPr="00BB2472" w:rsidRDefault="003D518D" w:rsidP="003D518D">
            <w:pPr>
              <w:rPr>
                <w:sz w:val="20"/>
                <w:szCs w:val="20"/>
              </w:rPr>
            </w:pPr>
            <w:r w:rsidRPr="2195FF8C">
              <w:rPr>
                <w:sz w:val="20"/>
                <w:szCs w:val="20"/>
              </w:rPr>
              <w:t>Yes</w:t>
            </w:r>
          </w:p>
        </w:tc>
        <w:tc>
          <w:tcPr>
            <w:tcW w:w="671" w:type="pct"/>
            <w:shd w:val="clear" w:color="auto" w:fill="E4F2FF"/>
            <w:tcMar>
              <w:top w:w="150" w:type="dxa"/>
              <w:left w:w="150" w:type="dxa"/>
              <w:bottom w:w="150" w:type="dxa"/>
              <w:right w:w="150" w:type="dxa"/>
            </w:tcMar>
            <w:hideMark/>
          </w:tcPr>
          <w:p w14:paraId="3FBE79B8"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shd w:val="clear" w:color="auto" w:fill="E4F2FF"/>
            <w:tcMar>
              <w:top w:w="150" w:type="dxa"/>
              <w:left w:w="150" w:type="dxa"/>
              <w:bottom w:w="150" w:type="dxa"/>
              <w:right w:w="150" w:type="dxa"/>
            </w:tcMar>
            <w:hideMark/>
          </w:tcPr>
          <w:p w14:paraId="095052D0"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E4F2FF"/>
            <w:tcMar>
              <w:top w:w="150" w:type="dxa"/>
              <w:left w:w="150" w:type="dxa"/>
              <w:bottom w:w="150" w:type="dxa"/>
              <w:right w:w="150" w:type="dxa"/>
            </w:tcMar>
            <w:hideMark/>
          </w:tcPr>
          <w:p w14:paraId="6985B1F4"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E4F2FF"/>
            <w:tcMar>
              <w:top w:w="150" w:type="dxa"/>
              <w:left w:w="150" w:type="dxa"/>
              <w:bottom w:w="150" w:type="dxa"/>
              <w:right w:w="150" w:type="dxa"/>
            </w:tcMar>
            <w:hideMark/>
          </w:tcPr>
          <w:p w14:paraId="4908C6EA"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3F3FB61F" w14:textId="77777777" w:rsidTr="34FB6227">
        <w:trPr>
          <w:cantSplit/>
        </w:trPr>
        <w:tc>
          <w:tcPr>
            <w:tcW w:w="747" w:type="pct"/>
            <w:shd w:val="clear" w:color="auto" w:fill="FFFFFF" w:themeFill="background1"/>
            <w:tcMar>
              <w:top w:w="150" w:type="dxa"/>
              <w:left w:w="150" w:type="dxa"/>
              <w:bottom w:w="150" w:type="dxa"/>
              <w:right w:w="150" w:type="dxa"/>
            </w:tcMar>
            <w:hideMark/>
          </w:tcPr>
          <w:p w14:paraId="2590A0ED" w14:textId="77777777" w:rsidR="003D518D" w:rsidRPr="00BB2472" w:rsidRDefault="00963848" w:rsidP="003D518D">
            <w:pPr>
              <w:rPr>
                <w:rFonts w:cstheme="minorHAnsi"/>
                <w:sz w:val="20"/>
                <w:szCs w:val="20"/>
              </w:rPr>
            </w:pPr>
            <w:hyperlink r:id="rId50" w:history="1">
              <w:r w:rsidR="003D518D" w:rsidRPr="00042A1C">
                <w:rPr>
                  <w:rStyle w:val="Hyperlink"/>
                  <w:rFonts w:cstheme="minorHAnsi"/>
                  <w:sz w:val="20"/>
                  <w:szCs w:val="20"/>
                  <w:u w:color="436EE4" w:themeColor="text2" w:themeTint="99"/>
                </w:rPr>
                <w:t>Chemtunes</w:t>
              </w:r>
            </w:hyperlink>
          </w:p>
        </w:tc>
        <w:tc>
          <w:tcPr>
            <w:tcW w:w="597" w:type="pct"/>
            <w:shd w:val="clear" w:color="auto" w:fill="FFFFFF" w:themeFill="background1"/>
            <w:tcMar>
              <w:top w:w="150" w:type="dxa"/>
              <w:left w:w="150" w:type="dxa"/>
              <w:bottom w:w="150" w:type="dxa"/>
              <w:right w:w="150" w:type="dxa"/>
            </w:tcMar>
            <w:hideMark/>
          </w:tcPr>
          <w:p w14:paraId="387A72D9" w14:textId="77777777" w:rsidR="003D518D" w:rsidRPr="00BB2472" w:rsidRDefault="003D518D" w:rsidP="003D518D">
            <w:pPr>
              <w:rPr>
                <w:sz w:val="20"/>
                <w:szCs w:val="20"/>
              </w:rPr>
            </w:pPr>
            <w:r w:rsidRPr="0CFA3D42">
              <w:rPr>
                <w:sz w:val="20"/>
                <w:szCs w:val="20"/>
              </w:rPr>
              <w:t>Yes</w:t>
            </w:r>
          </w:p>
        </w:tc>
        <w:tc>
          <w:tcPr>
            <w:tcW w:w="669" w:type="pct"/>
            <w:shd w:val="clear" w:color="auto" w:fill="FFFFFF" w:themeFill="background1"/>
            <w:tcMar>
              <w:top w:w="150" w:type="dxa"/>
              <w:left w:w="150" w:type="dxa"/>
              <w:bottom w:w="150" w:type="dxa"/>
              <w:right w:w="150" w:type="dxa"/>
            </w:tcMar>
            <w:hideMark/>
          </w:tcPr>
          <w:p w14:paraId="4C94C500" w14:textId="77777777" w:rsidR="003D518D" w:rsidRPr="00BB2472" w:rsidRDefault="003D518D" w:rsidP="003D518D">
            <w:pPr>
              <w:rPr>
                <w:rFonts w:cstheme="minorHAnsi"/>
                <w:sz w:val="20"/>
                <w:szCs w:val="20"/>
              </w:rPr>
            </w:pPr>
            <w:r>
              <w:rPr>
                <w:rFonts w:cstheme="minorHAnsi"/>
                <w:sz w:val="20"/>
                <w:szCs w:val="20"/>
              </w:rPr>
              <w:t>-</w:t>
            </w:r>
          </w:p>
        </w:tc>
        <w:tc>
          <w:tcPr>
            <w:tcW w:w="671" w:type="pct"/>
            <w:shd w:val="clear" w:color="auto" w:fill="FFFFFF" w:themeFill="background1"/>
            <w:tcMar>
              <w:top w:w="150" w:type="dxa"/>
              <w:left w:w="150" w:type="dxa"/>
              <w:bottom w:w="150" w:type="dxa"/>
              <w:right w:w="150" w:type="dxa"/>
            </w:tcMar>
            <w:hideMark/>
          </w:tcPr>
          <w:p w14:paraId="0256667F"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FFFFFF" w:themeFill="background1"/>
            <w:tcMar>
              <w:top w:w="150" w:type="dxa"/>
              <w:left w:w="150" w:type="dxa"/>
              <w:bottom w:w="150" w:type="dxa"/>
              <w:right w:w="150" w:type="dxa"/>
            </w:tcMar>
            <w:hideMark/>
          </w:tcPr>
          <w:p w14:paraId="47A6D347"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FFFFFF" w:themeFill="background1"/>
            <w:tcMar>
              <w:top w:w="150" w:type="dxa"/>
              <w:left w:w="150" w:type="dxa"/>
              <w:bottom w:w="150" w:type="dxa"/>
              <w:right w:w="150" w:type="dxa"/>
            </w:tcMar>
            <w:hideMark/>
          </w:tcPr>
          <w:p w14:paraId="66042D06"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FFFFFF" w:themeFill="background1"/>
            <w:tcMar>
              <w:top w:w="150" w:type="dxa"/>
              <w:left w:w="150" w:type="dxa"/>
              <w:bottom w:w="150" w:type="dxa"/>
              <w:right w:w="150" w:type="dxa"/>
            </w:tcMar>
            <w:hideMark/>
          </w:tcPr>
          <w:p w14:paraId="4940350B" w14:textId="77777777" w:rsidR="003D518D" w:rsidRPr="00BB2472" w:rsidRDefault="003D518D" w:rsidP="003D518D">
            <w:pPr>
              <w:rPr>
                <w:rFonts w:cstheme="minorHAnsi"/>
                <w:sz w:val="20"/>
                <w:szCs w:val="20"/>
              </w:rPr>
            </w:pPr>
            <w:r>
              <w:rPr>
                <w:rFonts w:cstheme="minorHAnsi"/>
                <w:sz w:val="20"/>
                <w:szCs w:val="20"/>
              </w:rPr>
              <w:t>Yes</w:t>
            </w:r>
          </w:p>
        </w:tc>
      </w:tr>
      <w:tr w:rsidR="003D518D" w:rsidRPr="00BB2472" w14:paraId="16CA3A5B" w14:textId="77777777" w:rsidTr="34FB6227">
        <w:trPr>
          <w:cantSplit/>
        </w:trPr>
        <w:tc>
          <w:tcPr>
            <w:tcW w:w="747" w:type="pct"/>
            <w:shd w:val="clear" w:color="auto" w:fill="E4F2FF"/>
            <w:tcMar>
              <w:top w:w="150" w:type="dxa"/>
              <w:left w:w="150" w:type="dxa"/>
              <w:bottom w:w="150" w:type="dxa"/>
              <w:right w:w="150" w:type="dxa"/>
            </w:tcMar>
            <w:hideMark/>
          </w:tcPr>
          <w:p w14:paraId="0A3A95E9" w14:textId="77777777" w:rsidR="003D518D" w:rsidRPr="00BB2472" w:rsidRDefault="00963848" w:rsidP="003D518D">
            <w:pPr>
              <w:rPr>
                <w:rFonts w:cstheme="minorHAnsi"/>
                <w:sz w:val="20"/>
                <w:szCs w:val="20"/>
              </w:rPr>
            </w:pPr>
            <w:hyperlink r:id="rId51" w:history="1">
              <w:r w:rsidR="003D518D" w:rsidRPr="00042A1C">
                <w:rPr>
                  <w:rStyle w:val="Hyperlink"/>
                  <w:rFonts w:cstheme="minorHAnsi"/>
                  <w:sz w:val="20"/>
                  <w:szCs w:val="20"/>
                  <w:u w:color="436EE4" w:themeColor="text2" w:themeTint="99"/>
                </w:rPr>
                <w:t>Case ULTRA</w:t>
              </w:r>
            </w:hyperlink>
          </w:p>
        </w:tc>
        <w:tc>
          <w:tcPr>
            <w:tcW w:w="597" w:type="pct"/>
            <w:shd w:val="clear" w:color="auto" w:fill="E4F2FF"/>
            <w:tcMar>
              <w:top w:w="150" w:type="dxa"/>
              <w:left w:w="150" w:type="dxa"/>
              <w:bottom w:w="150" w:type="dxa"/>
              <w:right w:w="150" w:type="dxa"/>
            </w:tcMar>
            <w:hideMark/>
          </w:tcPr>
          <w:p w14:paraId="0495CC89"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E4F2FF"/>
            <w:tcMar>
              <w:top w:w="150" w:type="dxa"/>
              <w:left w:w="150" w:type="dxa"/>
              <w:bottom w:w="150" w:type="dxa"/>
              <w:right w:w="150" w:type="dxa"/>
            </w:tcMar>
            <w:hideMark/>
          </w:tcPr>
          <w:p w14:paraId="01D462CA" w14:textId="77777777" w:rsidR="003D518D" w:rsidRPr="00BB2472" w:rsidRDefault="003D518D" w:rsidP="003D518D">
            <w:pPr>
              <w:rPr>
                <w:rFonts w:cstheme="minorHAnsi"/>
                <w:sz w:val="20"/>
                <w:szCs w:val="20"/>
              </w:rPr>
            </w:pPr>
            <w:r w:rsidRPr="00BB2472">
              <w:rPr>
                <w:rFonts w:cstheme="minorHAnsi"/>
                <w:sz w:val="20"/>
                <w:szCs w:val="20"/>
              </w:rPr>
              <w:t>Yes</w:t>
            </w:r>
          </w:p>
        </w:tc>
        <w:tc>
          <w:tcPr>
            <w:tcW w:w="671" w:type="pct"/>
            <w:shd w:val="clear" w:color="auto" w:fill="E4F2FF"/>
            <w:tcMar>
              <w:top w:w="150" w:type="dxa"/>
              <w:left w:w="150" w:type="dxa"/>
              <w:bottom w:w="150" w:type="dxa"/>
              <w:right w:w="150" w:type="dxa"/>
            </w:tcMar>
            <w:hideMark/>
          </w:tcPr>
          <w:p w14:paraId="4BDE89A4"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shd w:val="clear" w:color="auto" w:fill="E4F2FF"/>
            <w:tcMar>
              <w:top w:w="150" w:type="dxa"/>
              <w:left w:w="150" w:type="dxa"/>
              <w:bottom w:w="150" w:type="dxa"/>
              <w:right w:w="150" w:type="dxa"/>
            </w:tcMar>
            <w:hideMark/>
          </w:tcPr>
          <w:p w14:paraId="33534381" w14:textId="77777777" w:rsidR="003D518D" w:rsidRPr="00BB2472" w:rsidRDefault="003D518D" w:rsidP="003D518D">
            <w:pPr>
              <w:rPr>
                <w:sz w:val="20"/>
                <w:szCs w:val="20"/>
              </w:rPr>
            </w:pPr>
            <w:r w:rsidRPr="0CFA3D42">
              <w:rPr>
                <w:sz w:val="20"/>
                <w:szCs w:val="20"/>
              </w:rPr>
              <w:t>Yes</w:t>
            </w:r>
          </w:p>
        </w:tc>
        <w:tc>
          <w:tcPr>
            <w:tcW w:w="749" w:type="pct"/>
            <w:shd w:val="clear" w:color="auto" w:fill="E4F2FF"/>
            <w:tcMar>
              <w:top w:w="150" w:type="dxa"/>
              <w:left w:w="150" w:type="dxa"/>
              <w:bottom w:w="150" w:type="dxa"/>
              <w:right w:w="150" w:type="dxa"/>
            </w:tcMar>
            <w:hideMark/>
          </w:tcPr>
          <w:p w14:paraId="1C517E10"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E4F2FF"/>
            <w:tcMar>
              <w:top w:w="150" w:type="dxa"/>
              <w:left w:w="150" w:type="dxa"/>
              <w:bottom w:w="150" w:type="dxa"/>
              <w:right w:w="150" w:type="dxa"/>
            </w:tcMar>
            <w:hideMark/>
          </w:tcPr>
          <w:p w14:paraId="7D5DE940"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177733F7" w14:textId="77777777" w:rsidTr="34FB6227">
        <w:trPr>
          <w:cantSplit/>
        </w:trPr>
        <w:tc>
          <w:tcPr>
            <w:tcW w:w="747" w:type="pct"/>
            <w:shd w:val="clear" w:color="auto" w:fill="FFFFFF" w:themeFill="background1"/>
            <w:tcMar>
              <w:top w:w="150" w:type="dxa"/>
              <w:left w:w="150" w:type="dxa"/>
              <w:bottom w:w="150" w:type="dxa"/>
              <w:right w:w="150" w:type="dxa"/>
            </w:tcMar>
            <w:hideMark/>
          </w:tcPr>
          <w:p w14:paraId="672D8382" w14:textId="77777777" w:rsidR="003D518D" w:rsidRPr="00BB2472" w:rsidRDefault="00963848" w:rsidP="003D518D">
            <w:pPr>
              <w:rPr>
                <w:rFonts w:cstheme="minorHAnsi"/>
                <w:sz w:val="20"/>
                <w:szCs w:val="20"/>
              </w:rPr>
            </w:pPr>
            <w:hyperlink r:id="rId52" w:history="1">
              <w:r w:rsidR="003D518D" w:rsidRPr="00042A1C">
                <w:rPr>
                  <w:rStyle w:val="Hyperlink"/>
                  <w:rFonts w:cstheme="minorHAnsi"/>
                  <w:sz w:val="20"/>
                  <w:szCs w:val="20"/>
                  <w:u w:color="436EE4" w:themeColor="text2" w:themeTint="99"/>
                </w:rPr>
                <w:t>ADMET Predictor</w:t>
              </w:r>
            </w:hyperlink>
          </w:p>
        </w:tc>
        <w:tc>
          <w:tcPr>
            <w:tcW w:w="597" w:type="pct"/>
            <w:shd w:val="clear" w:color="auto" w:fill="FFFFFF" w:themeFill="background1"/>
            <w:tcMar>
              <w:top w:w="150" w:type="dxa"/>
              <w:left w:w="150" w:type="dxa"/>
              <w:bottom w:w="150" w:type="dxa"/>
              <w:right w:w="150" w:type="dxa"/>
            </w:tcMar>
            <w:hideMark/>
          </w:tcPr>
          <w:p w14:paraId="581AF2E2" w14:textId="77777777" w:rsidR="003D518D" w:rsidRPr="00BB2472" w:rsidRDefault="003D518D" w:rsidP="003D518D">
            <w:pPr>
              <w:rPr>
                <w:sz w:val="20"/>
                <w:szCs w:val="20"/>
              </w:rPr>
            </w:pPr>
            <w:r w:rsidRPr="4F0806AE">
              <w:rPr>
                <w:sz w:val="20"/>
                <w:szCs w:val="20"/>
              </w:rPr>
              <w:t>-</w:t>
            </w:r>
          </w:p>
        </w:tc>
        <w:tc>
          <w:tcPr>
            <w:tcW w:w="669" w:type="pct"/>
            <w:shd w:val="clear" w:color="auto" w:fill="FFFFFF" w:themeFill="background1"/>
            <w:tcMar>
              <w:top w:w="150" w:type="dxa"/>
              <w:left w:w="150" w:type="dxa"/>
              <w:bottom w:w="150" w:type="dxa"/>
              <w:right w:w="150" w:type="dxa"/>
            </w:tcMar>
            <w:hideMark/>
          </w:tcPr>
          <w:p w14:paraId="1CE4AE15" w14:textId="77777777" w:rsidR="003D518D" w:rsidRPr="00BB2472" w:rsidRDefault="003D518D" w:rsidP="003D518D">
            <w:pPr>
              <w:rPr>
                <w:rFonts w:cstheme="minorHAnsi"/>
                <w:sz w:val="20"/>
                <w:szCs w:val="20"/>
              </w:rPr>
            </w:pPr>
            <w:r>
              <w:rPr>
                <w:rFonts w:cstheme="minorHAnsi"/>
                <w:sz w:val="20"/>
                <w:szCs w:val="20"/>
              </w:rPr>
              <w:t>-</w:t>
            </w:r>
          </w:p>
        </w:tc>
        <w:tc>
          <w:tcPr>
            <w:tcW w:w="671" w:type="pct"/>
            <w:shd w:val="clear" w:color="auto" w:fill="FFFFFF" w:themeFill="background1"/>
            <w:tcMar>
              <w:top w:w="150" w:type="dxa"/>
              <w:left w:w="150" w:type="dxa"/>
              <w:bottom w:w="150" w:type="dxa"/>
              <w:right w:w="150" w:type="dxa"/>
            </w:tcMar>
            <w:hideMark/>
          </w:tcPr>
          <w:p w14:paraId="0BF71746"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FFFFFF" w:themeFill="background1"/>
            <w:tcMar>
              <w:top w:w="150" w:type="dxa"/>
              <w:left w:w="150" w:type="dxa"/>
              <w:bottom w:w="150" w:type="dxa"/>
              <w:right w:w="150" w:type="dxa"/>
            </w:tcMar>
            <w:hideMark/>
          </w:tcPr>
          <w:p w14:paraId="2144A263"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FFFFFF" w:themeFill="background1"/>
            <w:tcMar>
              <w:top w:w="150" w:type="dxa"/>
              <w:left w:w="150" w:type="dxa"/>
              <w:bottom w:w="150" w:type="dxa"/>
              <w:right w:w="150" w:type="dxa"/>
            </w:tcMar>
            <w:hideMark/>
          </w:tcPr>
          <w:p w14:paraId="61166E27" w14:textId="77777777" w:rsidR="003D518D" w:rsidRPr="00BB2472" w:rsidRDefault="003D518D" w:rsidP="003D518D">
            <w:pPr>
              <w:rPr>
                <w:sz w:val="20"/>
                <w:szCs w:val="20"/>
              </w:rPr>
            </w:pPr>
            <w:r w:rsidRPr="4F0806AE">
              <w:rPr>
                <w:sz w:val="20"/>
                <w:szCs w:val="20"/>
              </w:rPr>
              <w:t>Yes</w:t>
            </w:r>
          </w:p>
        </w:tc>
        <w:tc>
          <w:tcPr>
            <w:tcW w:w="823" w:type="pct"/>
            <w:shd w:val="clear" w:color="auto" w:fill="FFFFFF" w:themeFill="background1"/>
            <w:tcMar>
              <w:top w:w="150" w:type="dxa"/>
              <w:left w:w="150" w:type="dxa"/>
              <w:bottom w:w="150" w:type="dxa"/>
              <w:right w:w="150" w:type="dxa"/>
            </w:tcMar>
            <w:hideMark/>
          </w:tcPr>
          <w:p w14:paraId="348CC53B"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2702CECE" w14:textId="77777777" w:rsidTr="34FB6227">
        <w:trPr>
          <w:cantSplit/>
        </w:trPr>
        <w:tc>
          <w:tcPr>
            <w:tcW w:w="747" w:type="pct"/>
            <w:shd w:val="clear" w:color="auto" w:fill="E4F2FF"/>
            <w:tcMar>
              <w:top w:w="150" w:type="dxa"/>
              <w:left w:w="150" w:type="dxa"/>
              <w:bottom w:w="150" w:type="dxa"/>
              <w:right w:w="150" w:type="dxa"/>
            </w:tcMar>
            <w:hideMark/>
          </w:tcPr>
          <w:p w14:paraId="531141CD" w14:textId="77777777" w:rsidR="003D518D" w:rsidRPr="00BB2472" w:rsidRDefault="00963848" w:rsidP="003D518D">
            <w:pPr>
              <w:rPr>
                <w:rFonts w:cstheme="minorHAnsi"/>
                <w:sz w:val="20"/>
                <w:szCs w:val="20"/>
              </w:rPr>
            </w:pPr>
            <w:hyperlink r:id="rId53" w:history="1">
              <w:r w:rsidR="003D518D" w:rsidRPr="00D44A38">
                <w:rPr>
                  <w:rStyle w:val="Hyperlink"/>
                  <w:rFonts w:cstheme="minorHAnsi"/>
                  <w:sz w:val="20"/>
                  <w:szCs w:val="20"/>
                  <w:u w:color="436EE4" w:themeColor="text2" w:themeTint="99"/>
                </w:rPr>
                <w:t>Biovia Discovery Studio (TOPKAT)</w:t>
              </w:r>
            </w:hyperlink>
          </w:p>
        </w:tc>
        <w:tc>
          <w:tcPr>
            <w:tcW w:w="597" w:type="pct"/>
            <w:shd w:val="clear" w:color="auto" w:fill="E4F2FF"/>
            <w:tcMar>
              <w:top w:w="150" w:type="dxa"/>
              <w:left w:w="150" w:type="dxa"/>
              <w:bottom w:w="150" w:type="dxa"/>
              <w:right w:w="150" w:type="dxa"/>
            </w:tcMar>
            <w:hideMark/>
          </w:tcPr>
          <w:p w14:paraId="581642B8"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shd w:val="clear" w:color="auto" w:fill="E4F2FF"/>
            <w:tcMar>
              <w:top w:w="150" w:type="dxa"/>
              <w:left w:w="150" w:type="dxa"/>
              <w:bottom w:w="150" w:type="dxa"/>
              <w:right w:w="150" w:type="dxa"/>
            </w:tcMar>
            <w:hideMark/>
          </w:tcPr>
          <w:p w14:paraId="690A603D" w14:textId="77777777" w:rsidR="003D518D" w:rsidRPr="00BB2472" w:rsidRDefault="003D518D" w:rsidP="003D518D">
            <w:pPr>
              <w:rPr>
                <w:rFonts w:cstheme="minorHAnsi"/>
                <w:sz w:val="20"/>
                <w:szCs w:val="20"/>
              </w:rPr>
            </w:pPr>
            <w:r w:rsidRPr="00BB2472">
              <w:rPr>
                <w:rFonts w:cstheme="minorHAnsi"/>
                <w:sz w:val="20"/>
                <w:szCs w:val="20"/>
              </w:rPr>
              <w:t>Yes</w:t>
            </w:r>
          </w:p>
        </w:tc>
        <w:tc>
          <w:tcPr>
            <w:tcW w:w="671" w:type="pct"/>
            <w:shd w:val="clear" w:color="auto" w:fill="E4F2FF"/>
            <w:tcMar>
              <w:top w:w="150" w:type="dxa"/>
              <w:left w:w="150" w:type="dxa"/>
              <w:bottom w:w="150" w:type="dxa"/>
              <w:right w:w="150" w:type="dxa"/>
            </w:tcMar>
            <w:hideMark/>
          </w:tcPr>
          <w:p w14:paraId="4E1AE45E"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shd w:val="clear" w:color="auto" w:fill="E4F2FF"/>
            <w:tcMar>
              <w:top w:w="150" w:type="dxa"/>
              <w:left w:w="150" w:type="dxa"/>
              <w:bottom w:w="150" w:type="dxa"/>
              <w:right w:w="150" w:type="dxa"/>
            </w:tcMar>
            <w:hideMark/>
          </w:tcPr>
          <w:p w14:paraId="78B7CCAD" w14:textId="77777777" w:rsidR="003D518D" w:rsidRPr="00BB2472" w:rsidRDefault="003D518D" w:rsidP="003D518D">
            <w:pPr>
              <w:rPr>
                <w:rFonts w:cstheme="minorHAnsi"/>
                <w:sz w:val="20"/>
                <w:szCs w:val="20"/>
              </w:rPr>
            </w:pPr>
            <w:r w:rsidRPr="00BB2472">
              <w:rPr>
                <w:rFonts w:cstheme="minorHAnsi"/>
                <w:sz w:val="20"/>
                <w:szCs w:val="20"/>
              </w:rPr>
              <w:t>Yes</w:t>
            </w:r>
          </w:p>
        </w:tc>
        <w:tc>
          <w:tcPr>
            <w:tcW w:w="749" w:type="pct"/>
            <w:shd w:val="clear" w:color="auto" w:fill="E4F2FF"/>
            <w:tcMar>
              <w:top w:w="150" w:type="dxa"/>
              <w:left w:w="150" w:type="dxa"/>
              <w:bottom w:w="150" w:type="dxa"/>
              <w:right w:w="150" w:type="dxa"/>
            </w:tcMar>
            <w:hideMark/>
          </w:tcPr>
          <w:p w14:paraId="3E340395"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E4F2FF"/>
            <w:tcMar>
              <w:top w:w="150" w:type="dxa"/>
              <w:left w:w="150" w:type="dxa"/>
              <w:bottom w:w="150" w:type="dxa"/>
              <w:right w:w="150" w:type="dxa"/>
            </w:tcMar>
            <w:hideMark/>
          </w:tcPr>
          <w:p w14:paraId="6C7A32FC"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1F7CE985" w14:textId="77777777" w:rsidTr="34FB6227">
        <w:trPr>
          <w:cantSplit/>
        </w:trPr>
        <w:tc>
          <w:tcPr>
            <w:tcW w:w="747" w:type="pct"/>
            <w:tcBorders>
              <w:bottom w:val="single" w:sz="4" w:space="0" w:color="auto"/>
            </w:tcBorders>
            <w:shd w:val="clear" w:color="auto" w:fill="FFFFFF" w:themeFill="background1"/>
            <w:tcMar>
              <w:top w:w="150" w:type="dxa"/>
              <w:left w:w="150" w:type="dxa"/>
              <w:bottom w:w="150" w:type="dxa"/>
              <w:right w:w="150" w:type="dxa"/>
            </w:tcMar>
            <w:hideMark/>
          </w:tcPr>
          <w:p w14:paraId="31C485FC" w14:textId="77777777" w:rsidR="003D518D" w:rsidRPr="00BB2472" w:rsidRDefault="00963848" w:rsidP="003D518D">
            <w:pPr>
              <w:rPr>
                <w:rFonts w:cstheme="minorHAnsi"/>
                <w:sz w:val="20"/>
                <w:szCs w:val="20"/>
              </w:rPr>
            </w:pPr>
            <w:hyperlink r:id="rId54" w:history="1">
              <w:r w:rsidR="003D518D" w:rsidRPr="00042A1C">
                <w:rPr>
                  <w:rStyle w:val="Hyperlink"/>
                  <w:rFonts w:cstheme="minorHAnsi"/>
                  <w:sz w:val="20"/>
                  <w:szCs w:val="20"/>
                  <w:u w:color="436EE4" w:themeColor="text2" w:themeTint="99"/>
                </w:rPr>
                <w:t>ACD Percepta</w:t>
              </w:r>
            </w:hyperlink>
          </w:p>
        </w:tc>
        <w:tc>
          <w:tcPr>
            <w:tcW w:w="597" w:type="pct"/>
            <w:tcBorders>
              <w:bottom w:val="single" w:sz="4" w:space="0" w:color="auto"/>
            </w:tcBorders>
            <w:shd w:val="clear" w:color="auto" w:fill="FFFFFF" w:themeFill="background1"/>
            <w:tcMar>
              <w:top w:w="150" w:type="dxa"/>
              <w:left w:w="150" w:type="dxa"/>
              <w:bottom w:w="150" w:type="dxa"/>
              <w:right w:w="150" w:type="dxa"/>
            </w:tcMar>
            <w:hideMark/>
          </w:tcPr>
          <w:p w14:paraId="5B54E385" w14:textId="77777777" w:rsidR="003D518D" w:rsidRPr="00BB2472" w:rsidRDefault="003D518D" w:rsidP="003D518D">
            <w:pPr>
              <w:rPr>
                <w:rFonts w:cstheme="minorHAnsi"/>
                <w:sz w:val="20"/>
                <w:szCs w:val="20"/>
              </w:rPr>
            </w:pPr>
            <w:r w:rsidRPr="00BB2472">
              <w:rPr>
                <w:rFonts w:cstheme="minorHAnsi"/>
                <w:sz w:val="20"/>
                <w:szCs w:val="20"/>
              </w:rPr>
              <w:t>Yes</w:t>
            </w:r>
          </w:p>
        </w:tc>
        <w:tc>
          <w:tcPr>
            <w:tcW w:w="669" w:type="pct"/>
            <w:tcBorders>
              <w:bottom w:val="single" w:sz="4" w:space="0" w:color="auto"/>
            </w:tcBorders>
            <w:shd w:val="clear" w:color="auto" w:fill="FFFFFF" w:themeFill="background1"/>
            <w:tcMar>
              <w:top w:w="150" w:type="dxa"/>
              <w:left w:w="150" w:type="dxa"/>
              <w:bottom w:w="150" w:type="dxa"/>
              <w:right w:w="150" w:type="dxa"/>
            </w:tcMar>
            <w:hideMark/>
          </w:tcPr>
          <w:p w14:paraId="62A95063" w14:textId="77777777" w:rsidR="003D518D" w:rsidRPr="00BB2472" w:rsidRDefault="003D518D" w:rsidP="003D518D">
            <w:pPr>
              <w:rPr>
                <w:rFonts w:cstheme="minorHAnsi"/>
                <w:sz w:val="20"/>
                <w:szCs w:val="20"/>
              </w:rPr>
            </w:pPr>
            <w:r w:rsidRPr="00BB2472">
              <w:rPr>
                <w:rFonts w:cstheme="minorHAnsi"/>
                <w:sz w:val="20"/>
                <w:szCs w:val="20"/>
              </w:rPr>
              <w:t>Yes</w:t>
            </w:r>
          </w:p>
        </w:tc>
        <w:tc>
          <w:tcPr>
            <w:tcW w:w="671" w:type="pct"/>
            <w:tcBorders>
              <w:bottom w:val="single" w:sz="4" w:space="0" w:color="auto"/>
            </w:tcBorders>
            <w:shd w:val="clear" w:color="auto" w:fill="FFFFFF" w:themeFill="background1"/>
            <w:tcMar>
              <w:top w:w="150" w:type="dxa"/>
              <w:left w:w="150" w:type="dxa"/>
              <w:bottom w:w="150" w:type="dxa"/>
              <w:right w:w="150" w:type="dxa"/>
            </w:tcMar>
            <w:hideMark/>
          </w:tcPr>
          <w:p w14:paraId="147DD576" w14:textId="77777777" w:rsidR="003D518D" w:rsidRPr="00BB2472" w:rsidRDefault="003D518D" w:rsidP="003D518D">
            <w:pPr>
              <w:rPr>
                <w:rFonts w:cstheme="minorHAnsi"/>
                <w:sz w:val="20"/>
                <w:szCs w:val="20"/>
              </w:rPr>
            </w:pPr>
            <w:r w:rsidRPr="00BB2472">
              <w:rPr>
                <w:rFonts w:cstheme="minorHAnsi"/>
                <w:sz w:val="20"/>
                <w:szCs w:val="20"/>
              </w:rPr>
              <w:t>Yes</w:t>
            </w:r>
          </w:p>
        </w:tc>
        <w:tc>
          <w:tcPr>
            <w:tcW w:w="744" w:type="pct"/>
            <w:tcBorders>
              <w:bottom w:val="single" w:sz="4" w:space="0" w:color="auto"/>
            </w:tcBorders>
            <w:shd w:val="clear" w:color="auto" w:fill="FFFFFF" w:themeFill="background1"/>
            <w:tcMar>
              <w:top w:w="150" w:type="dxa"/>
              <w:left w:w="150" w:type="dxa"/>
              <w:bottom w:w="150" w:type="dxa"/>
              <w:right w:w="150" w:type="dxa"/>
            </w:tcMar>
            <w:hideMark/>
          </w:tcPr>
          <w:p w14:paraId="3A72CE22" w14:textId="77777777" w:rsidR="003D518D" w:rsidRPr="00BB2472" w:rsidRDefault="003D518D" w:rsidP="003D518D">
            <w:pPr>
              <w:rPr>
                <w:sz w:val="20"/>
                <w:szCs w:val="20"/>
              </w:rPr>
            </w:pPr>
            <w:r w:rsidRPr="5973F0D6">
              <w:rPr>
                <w:sz w:val="20"/>
                <w:szCs w:val="20"/>
              </w:rPr>
              <w:t>-</w:t>
            </w:r>
          </w:p>
        </w:tc>
        <w:tc>
          <w:tcPr>
            <w:tcW w:w="749" w:type="pct"/>
            <w:tcBorders>
              <w:bottom w:val="single" w:sz="4" w:space="0" w:color="auto"/>
            </w:tcBorders>
            <w:shd w:val="clear" w:color="auto" w:fill="FFFFFF" w:themeFill="background1"/>
            <w:tcMar>
              <w:top w:w="150" w:type="dxa"/>
              <w:left w:w="150" w:type="dxa"/>
              <w:bottom w:w="150" w:type="dxa"/>
              <w:right w:w="150" w:type="dxa"/>
            </w:tcMar>
            <w:hideMark/>
          </w:tcPr>
          <w:p w14:paraId="615AC604"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tcBorders>
              <w:bottom w:val="single" w:sz="4" w:space="0" w:color="auto"/>
            </w:tcBorders>
            <w:shd w:val="clear" w:color="auto" w:fill="FFFFFF" w:themeFill="background1"/>
            <w:tcMar>
              <w:top w:w="150" w:type="dxa"/>
              <w:left w:w="150" w:type="dxa"/>
              <w:bottom w:w="150" w:type="dxa"/>
              <w:right w:w="150" w:type="dxa"/>
            </w:tcMar>
            <w:hideMark/>
          </w:tcPr>
          <w:p w14:paraId="726B7538"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6A2CD4C1" w14:textId="77777777" w:rsidTr="34FB6227">
        <w:trPr>
          <w:cantSplit/>
        </w:trPr>
        <w:tc>
          <w:tcPr>
            <w:tcW w:w="747" w:type="pct"/>
            <w:shd w:val="clear" w:color="auto" w:fill="E4F2FF"/>
            <w:tcMar>
              <w:top w:w="150" w:type="dxa"/>
              <w:left w:w="150" w:type="dxa"/>
              <w:bottom w:w="150" w:type="dxa"/>
              <w:right w:w="150" w:type="dxa"/>
            </w:tcMar>
            <w:hideMark/>
          </w:tcPr>
          <w:p w14:paraId="161756AE" w14:textId="77777777" w:rsidR="003D518D" w:rsidRPr="00BB2472" w:rsidRDefault="00963848" w:rsidP="003D518D">
            <w:pPr>
              <w:rPr>
                <w:rFonts w:cstheme="minorHAnsi"/>
                <w:sz w:val="20"/>
                <w:szCs w:val="20"/>
              </w:rPr>
            </w:pPr>
            <w:hyperlink r:id="rId55" w:history="1">
              <w:r w:rsidR="003D518D" w:rsidRPr="00D44A38">
                <w:rPr>
                  <w:rStyle w:val="Hyperlink"/>
                  <w:rFonts w:cstheme="minorHAnsi"/>
                  <w:sz w:val="20"/>
                  <w:szCs w:val="20"/>
                  <w:u w:color="436EE4" w:themeColor="text2" w:themeTint="99"/>
                </w:rPr>
                <w:t>Hazard Expert</w:t>
              </w:r>
            </w:hyperlink>
          </w:p>
        </w:tc>
        <w:tc>
          <w:tcPr>
            <w:tcW w:w="597" w:type="pct"/>
            <w:shd w:val="clear" w:color="auto" w:fill="E4F2FF"/>
            <w:tcMar>
              <w:top w:w="150" w:type="dxa"/>
              <w:left w:w="150" w:type="dxa"/>
              <w:bottom w:w="150" w:type="dxa"/>
              <w:right w:w="150" w:type="dxa"/>
            </w:tcMar>
            <w:hideMark/>
          </w:tcPr>
          <w:p w14:paraId="18651001" w14:textId="77777777" w:rsidR="003D518D" w:rsidRPr="00BB2472" w:rsidRDefault="003D518D" w:rsidP="003D518D">
            <w:pPr>
              <w:rPr>
                <w:rFonts w:cstheme="minorHAnsi"/>
                <w:sz w:val="20"/>
                <w:szCs w:val="20"/>
              </w:rPr>
            </w:pPr>
            <w:r w:rsidRPr="00BB2472">
              <w:rPr>
                <w:rFonts w:cstheme="minorHAnsi"/>
                <w:sz w:val="20"/>
                <w:szCs w:val="20"/>
              </w:rPr>
              <w:t>-</w:t>
            </w:r>
          </w:p>
        </w:tc>
        <w:tc>
          <w:tcPr>
            <w:tcW w:w="669" w:type="pct"/>
            <w:shd w:val="clear" w:color="auto" w:fill="E4F2FF"/>
            <w:tcMar>
              <w:top w:w="150" w:type="dxa"/>
              <w:left w:w="150" w:type="dxa"/>
              <w:bottom w:w="150" w:type="dxa"/>
              <w:right w:w="150" w:type="dxa"/>
            </w:tcMar>
            <w:hideMark/>
          </w:tcPr>
          <w:p w14:paraId="7823B214" w14:textId="77777777" w:rsidR="003D518D" w:rsidRPr="00BB2472" w:rsidRDefault="003D518D" w:rsidP="003D518D">
            <w:pPr>
              <w:rPr>
                <w:rFonts w:cstheme="minorHAnsi"/>
                <w:sz w:val="20"/>
                <w:szCs w:val="20"/>
              </w:rPr>
            </w:pPr>
            <w:r w:rsidRPr="00BB2472">
              <w:rPr>
                <w:rFonts w:cstheme="minorHAnsi"/>
                <w:sz w:val="20"/>
                <w:szCs w:val="20"/>
              </w:rPr>
              <w:t>-</w:t>
            </w:r>
          </w:p>
        </w:tc>
        <w:tc>
          <w:tcPr>
            <w:tcW w:w="671" w:type="pct"/>
            <w:shd w:val="clear" w:color="auto" w:fill="E4F2FF"/>
            <w:tcMar>
              <w:top w:w="150" w:type="dxa"/>
              <w:left w:w="150" w:type="dxa"/>
              <w:bottom w:w="150" w:type="dxa"/>
              <w:right w:w="150" w:type="dxa"/>
            </w:tcMar>
            <w:hideMark/>
          </w:tcPr>
          <w:p w14:paraId="0C73A08E" w14:textId="77777777" w:rsidR="003D518D" w:rsidRPr="00BB2472" w:rsidRDefault="003D518D" w:rsidP="003D518D">
            <w:pPr>
              <w:rPr>
                <w:rFonts w:cstheme="minorHAnsi"/>
                <w:sz w:val="20"/>
                <w:szCs w:val="20"/>
              </w:rPr>
            </w:pPr>
            <w:r w:rsidRPr="00BB2472">
              <w:rPr>
                <w:rFonts w:cstheme="minorHAnsi"/>
                <w:sz w:val="20"/>
                <w:szCs w:val="20"/>
              </w:rPr>
              <w:t>-</w:t>
            </w:r>
          </w:p>
        </w:tc>
        <w:tc>
          <w:tcPr>
            <w:tcW w:w="744" w:type="pct"/>
            <w:shd w:val="clear" w:color="auto" w:fill="E4F2FF"/>
            <w:tcMar>
              <w:top w:w="150" w:type="dxa"/>
              <w:left w:w="150" w:type="dxa"/>
              <w:bottom w:w="150" w:type="dxa"/>
              <w:right w:w="150" w:type="dxa"/>
            </w:tcMar>
            <w:hideMark/>
          </w:tcPr>
          <w:p w14:paraId="4AE321A8" w14:textId="77777777" w:rsidR="003D518D" w:rsidRPr="00BB2472" w:rsidRDefault="003D518D" w:rsidP="003D518D">
            <w:pPr>
              <w:rPr>
                <w:rFonts w:cstheme="minorHAnsi"/>
                <w:sz w:val="20"/>
                <w:szCs w:val="20"/>
              </w:rPr>
            </w:pPr>
            <w:r w:rsidRPr="00BB2472">
              <w:rPr>
                <w:rFonts w:cstheme="minorHAnsi"/>
                <w:sz w:val="20"/>
                <w:szCs w:val="20"/>
              </w:rPr>
              <w:t>-</w:t>
            </w:r>
          </w:p>
        </w:tc>
        <w:tc>
          <w:tcPr>
            <w:tcW w:w="749" w:type="pct"/>
            <w:shd w:val="clear" w:color="auto" w:fill="E4F2FF"/>
            <w:tcMar>
              <w:top w:w="150" w:type="dxa"/>
              <w:left w:w="150" w:type="dxa"/>
              <w:bottom w:w="150" w:type="dxa"/>
              <w:right w:w="150" w:type="dxa"/>
            </w:tcMar>
            <w:hideMark/>
          </w:tcPr>
          <w:p w14:paraId="068EFB1C" w14:textId="77777777" w:rsidR="003D518D" w:rsidRPr="00BB2472" w:rsidRDefault="003D518D" w:rsidP="003D518D">
            <w:pPr>
              <w:rPr>
                <w:rFonts w:cstheme="minorHAnsi"/>
                <w:sz w:val="20"/>
                <w:szCs w:val="20"/>
              </w:rPr>
            </w:pPr>
            <w:r w:rsidRPr="00BB2472">
              <w:rPr>
                <w:rFonts w:cstheme="minorHAnsi"/>
                <w:sz w:val="20"/>
                <w:szCs w:val="20"/>
              </w:rPr>
              <w:t>-</w:t>
            </w:r>
          </w:p>
        </w:tc>
        <w:tc>
          <w:tcPr>
            <w:tcW w:w="823" w:type="pct"/>
            <w:shd w:val="clear" w:color="auto" w:fill="E4F2FF"/>
            <w:tcMar>
              <w:top w:w="150" w:type="dxa"/>
              <w:left w:w="150" w:type="dxa"/>
              <w:bottom w:w="150" w:type="dxa"/>
              <w:right w:w="150" w:type="dxa"/>
            </w:tcMar>
            <w:hideMark/>
          </w:tcPr>
          <w:p w14:paraId="364402D1" w14:textId="77777777" w:rsidR="003D518D" w:rsidRPr="00BB2472" w:rsidRDefault="003D518D" w:rsidP="003D518D">
            <w:pPr>
              <w:rPr>
                <w:rFonts w:cstheme="minorHAnsi"/>
                <w:sz w:val="20"/>
                <w:szCs w:val="20"/>
              </w:rPr>
            </w:pPr>
            <w:r w:rsidRPr="00BB2472">
              <w:rPr>
                <w:rFonts w:cstheme="minorHAnsi"/>
                <w:sz w:val="20"/>
                <w:szCs w:val="20"/>
              </w:rPr>
              <w:t>Yes</w:t>
            </w:r>
          </w:p>
        </w:tc>
      </w:tr>
      <w:tr w:rsidR="003D518D" w:rsidRPr="00BB2472" w14:paraId="072F4AA1" w14:textId="77777777" w:rsidTr="34FB6227">
        <w:trPr>
          <w:cantSplit/>
        </w:trPr>
        <w:tc>
          <w:tcPr>
            <w:tcW w:w="747" w:type="pct"/>
            <w:shd w:val="clear" w:color="auto" w:fill="E4F2FF"/>
            <w:tcMar>
              <w:top w:w="150" w:type="dxa"/>
              <w:left w:w="150" w:type="dxa"/>
              <w:bottom w:w="150" w:type="dxa"/>
              <w:right w:w="150" w:type="dxa"/>
            </w:tcMar>
          </w:tcPr>
          <w:p w14:paraId="54EADF3B" w14:textId="77777777" w:rsidR="003D518D" w:rsidRPr="00BB2472" w:rsidRDefault="00963848" w:rsidP="003D518D">
            <w:pPr>
              <w:rPr>
                <w:rFonts w:cstheme="minorHAnsi"/>
                <w:sz w:val="20"/>
                <w:szCs w:val="20"/>
                <w:u w:color="436EE4" w:themeColor="text2" w:themeTint="99"/>
              </w:rPr>
            </w:pPr>
            <w:hyperlink r:id="rId56" w:history="1">
              <w:r w:rsidR="003D518D" w:rsidRPr="005B788A">
                <w:rPr>
                  <w:rStyle w:val="Hyperlink"/>
                  <w:rFonts w:cstheme="minorHAnsi"/>
                  <w:sz w:val="20"/>
                  <w:szCs w:val="20"/>
                  <w:u w:color="436EE4" w:themeColor="text2" w:themeTint="99"/>
                </w:rPr>
                <w:t>Cheminformatics Tool Kit</w:t>
              </w:r>
            </w:hyperlink>
          </w:p>
        </w:tc>
        <w:tc>
          <w:tcPr>
            <w:tcW w:w="597" w:type="pct"/>
            <w:shd w:val="clear" w:color="auto" w:fill="E4F2FF"/>
            <w:tcMar>
              <w:top w:w="150" w:type="dxa"/>
              <w:left w:w="150" w:type="dxa"/>
              <w:bottom w:w="150" w:type="dxa"/>
              <w:right w:w="150" w:type="dxa"/>
            </w:tcMar>
          </w:tcPr>
          <w:p w14:paraId="5182C295" w14:textId="77777777" w:rsidR="003D518D" w:rsidRPr="00BB2472" w:rsidRDefault="003D518D" w:rsidP="003D518D">
            <w:pPr>
              <w:rPr>
                <w:rFonts w:cstheme="minorHAnsi"/>
                <w:sz w:val="20"/>
                <w:szCs w:val="20"/>
              </w:rPr>
            </w:pPr>
            <w:r>
              <w:rPr>
                <w:rFonts w:cstheme="minorHAnsi"/>
                <w:sz w:val="20"/>
                <w:szCs w:val="20"/>
              </w:rPr>
              <w:t xml:space="preserve">Yes </w:t>
            </w:r>
          </w:p>
        </w:tc>
        <w:tc>
          <w:tcPr>
            <w:tcW w:w="669" w:type="pct"/>
            <w:shd w:val="clear" w:color="auto" w:fill="E4F2FF"/>
            <w:tcMar>
              <w:top w:w="150" w:type="dxa"/>
              <w:left w:w="150" w:type="dxa"/>
              <w:bottom w:w="150" w:type="dxa"/>
              <w:right w:w="150" w:type="dxa"/>
            </w:tcMar>
          </w:tcPr>
          <w:p w14:paraId="206FBA67" w14:textId="77777777" w:rsidR="003D518D" w:rsidRPr="00BB2472" w:rsidRDefault="003D518D" w:rsidP="003D518D">
            <w:pPr>
              <w:rPr>
                <w:rFonts w:cstheme="minorHAnsi"/>
                <w:sz w:val="20"/>
                <w:szCs w:val="20"/>
              </w:rPr>
            </w:pPr>
            <w:r>
              <w:rPr>
                <w:rFonts w:cstheme="minorHAnsi"/>
                <w:sz w:val="20"/>
                <w:szCs w:val="20"/>
              </w:rPr>
              <w:t xml:space="preserve">Yes </w:t>
            </w:r>
          </w:p>
        </w:tc>
        <w:tc>
          <w:tcPr>
            <w:tcW w:w="671" w:type="pct"/>
            <w:shd w:val="clear" w:color="auto" w:fill="E4F2FF"/>
            <w:tcMar>
              <w:top w:w="150" w:type="dxa"/>
              <w:left w:w="150" w:type="dxa"/>
              <w:bottom w:w="150" w:type="dxa"/>
              <w:right w:w="150" w:type="dxa"/>
            </w:tcMar>
          </w:tcPr>
          <w:p w14:paraId="794EC6F3" w14:textId="77777777" w:rsidR="003D518D" w:rsidRPr="00BB2472" w:rsidRDefault="003D518D" w:rsidP="003D518D">
            <w:pPr>
              <w:rPr>
                <w:rFonts w:cstheme="minorHAnsi"/>
                <w:sz w:val="20"/>
                <w:szCs w:val="20"/>
              </w:rPr>
            </w:pPr>
            <w:r>
              <w:rPr>
                <w:rFonts w:cstheme="minorHAnsi"/>
                <w:sz w:val="20"/>
                <w:szCs w:val="20"/>
              </w:rPr>
              <w:t xml:space="preserve">Yes </w:t>
            </w:r>
          </w:p>
        </w:tc>
        <w:tc>
          <w:tcPr>
            <w:tcW w:w="744" w:type="pct"/>
            <w:shd w:val="clear" w:color="auto" w:fill="E4F2FF"/>
            <w:tcMar>
              <w:top w:w="150" w:type="dxa"/>
              <w:left w:w="150" w:type="dxa"/>
              <w:bottom w:w="150" w:type="dxa"/>
              <w:right w:w="150" w:type="dxa"/>
            </w:tcMar>
          </w:tcPr>
          <w:p w14:paraId="5E3347B2" w14:textId="77777777" w:rsidR="003D518D" w:rsidRPr="00BB2472" w:rsidRDefault="003D518D" w:rsidP="003D518D">
            <w:pPr>
              <w:rPr>
                <w:rFonts w:cstheme="minorHAnsi"/>
                <w:sz w:val="20"/>
                <w:szCs w:val="20"/>
              </w:rPr>
            </w:pPr>
            <w:r>
              <w:rPr>
                <w:rFonts w:cstheme="minorHAnsi"/>
                <w:sz w:val="20"/>
                <w:szCs w:val="20"/>
              </w:rPr>
              <w:t xml:space="preserve">Yes </w:t>
            </w:r>
          </w:p>
        </w:tc>
        <w:tc>
          <w:tcPr>
            <w:tcW w:w="749" w:type="pct"/>
            <w:shd w:val="clear" w:color="auto" w:fill="E4F2FF"/>
            <w:tcMar>
              <w:top w:w="150" w:type="dxa"/>
              <w:left w:w="150" w:type="dxa"/>
              <w:bottom w:w="150" w:type="dxa"/>
              <w:right w:w="150" w:type="dxa"/>
            </w:tcMar>
          </w:tcPr>
          <w:p w14:paraId="70525566" w14:textId="77777777" w:rsidR="003D518D" w:rsidRPr="00BB2472" w:rsidRDefault="003D518D" w:rsidP="003D518D">
            <w:pPr>
              <w:rPr>
                <w:rFonts w:cstheme="minorHAnsi"/>
                <w:sz w:val="20"/>
                <w:szCs w:val="20"/>
              </w:rPr>
            </w:pPr>
            <w:r>
              <w:rPr>
                <w:rFonts w:cstheme="minorHAnsi"/>
                <w:sz w:val="20"/>
                <w:szCs w:val="20"/>
              </w:rPr>
              <w:t>-</w:t>
            </w:r>
          </w:p>
        </w:tc>
        <w:tc>
          <w:tcPr>
            <w:tcW w:w="823" w:type="pct"/>
            <w:shd w:val="clear" w:color="auto" w:fill="E4F2FF"/>
            <w:tcMar>
              <w:top w:w="150" w:type="dxa"/>
              <w:left w:w="150" w:type="dxa"/>
              <w:bottom w:w="150" w:type="dxa"/>
              <w:right w:w="150" w:type="dxa"/>
            </w:tcMar>
          </w:tcPr>
          <w:p w14:paraId="21A30CD0" w14:textId="77777777" w:rsidR="003D518D" w:rsidRPr="00BB2472" w:rsidRDefault="003D518D" w:rsidP="003D518D">
            <w:pPr>
              <w:rPr>
                <w:rFonts w:cstheme="minorHAnsi"/>
                <w:sz w:val="20"/>
                <w:szCs w:val="20"/>
              </w:rPr>
            </w:pPr>
            <w:r>
              <w:rPr>
                <w:rFonts w:cstheme="minorHAnsi"/>
                <w:sz w:val="20"/>
                <w:szCs w:val="20"/>
              </w:rPr>
              <w:t xml:space="preserve">Yes </w:t>
            </w:r>
          </w:p>
        </w:tc>
      </w:tr>
      <w:tr w:rsidR="003D518D" w:rsidRPr="00BB2472" w14:paraId="54840BA9" w14:textId="77777777" w:rsidTr="34FB6227">
        <w:trPr>
          <w:cantSplit/>
        </w:trPr>
        <w:tc>
          <w:tcPr>
            <w:tcW w:w="747" w:type="pct"/>
            <w:shd w:val="clear" w:color="auto" w:fill="E4F2FF"/>
            <w:tcMar>
              <w:top w:w="150" w:type="dxa"/>
              <w:left w:w="150" w:type="dxa"/>
              <w:bottom w:w="150" w:type="dxa"/>
              <w:right w:w="150" w:type="dxa"/>
            </w:tcMar>
          </w:tcPr>
          <w:p w14:paraId="3C4EA568" w14:textId="77777777" w:rsidR="003D518D" w:rsidRDefault="00963848" w:rsidP="003D518D">
            <w:pPr>
              <w:rPr>
                <w:rFonts w:cstheme="minorHAnsi"/>
                <w:sz w:val="20"/>
                <w:szCs w:val="20"/>
                <w:u w:color="436EE4" w:themeColor="text2" w:themeTint="99"/>
              </w:rPr>
            </w:pPr>
            <w:hyperlink r:id="rId57" w:history="1">
              <w:r w:rsidR="003D518D" w:rsidRPr="009048EA">
                <w:rPr>
                  <w:rStyle w:val="Hyperlink"/>
                  <w:rFonts w:cstheme="minorHAnsi"/>
                  <w:sz w:val="20"/>
                  <w:szCs w:val="20"/>
                  <w:u w:color="436EE4" w:themeColor="text2" w:themeTint="99"/>
                </w:rPr>
                <w:t>Toxread</w:t>
              </w:r>
            </w:hyperlink>
          </w:p>
        </w:tc>
        <w:tc>
          <w:tcPr>
            <w:tcW w:w="597" w:type="pct"/>
            <w:shd w:val="clear" w:color="auto" w:fill="E4F2FF"/>
            <w:tcMar>
              <w:top w:w="150" w:type="dxa"/>
              <w:left w:w="150" w:type="dxa"/>
              <w:bottom w:w="150" w:type="dxa"/>
              <w:right w:w="150" w:type="dxa"/>
            </w:tcMar>
          </w:tcPr>
          <w:p w14:paraId="302C52FC" w14:textId="77777777" w:rsidR="003D518D" w:rsidRPr="00BB2472" w:rsidRDefault="003D518D" w:rsidP="003D518D">
            <w:pPr>
              <w:rPr>
                <w:rFonts w:cstheme="minorHAnsi"/>
                <w:sz w:val="20"/>
                <w:szCs w:val="20"/>
              </w:rPr>
            </w:pPr>
            <w:r>
              <w:rPr>
                <w:rFonts w:cstheme="minorHAnsi"/>
                <w:sz w:val="20"/>
                <w:szCs w:val="20"/>
              </w:rPr>
              <w:t>-</w:t>
            </w:r>
          </w:p>
        </w:tc>
        <w:tc>
          <w:tcPr>
            <w:tcW w:w="669" w:type="pct"/>
            <w:shd w:val="clear" w:color="auto" w:fill="E4F2FF"/>
            <w:tcMar>
              <w:top w:w="150" w:type="dxa"/>
              <w:left w:w="150" w:type="dxa"/>
              <w:bottom w:w="150" w:type="dxa"/>
              <w:right w:w="150" w:type="dxa"/>
            </w:tcMar>
          </w:tcPr>
          <w:p w14:paraId="2F785CF9" w14:textId="77777777" w:rsidR="003D518D" w:rsidRPr="00BB2472" w:rsidRDefault="003D518D" w:rsidP="003D518D">
            <w:pPr>
              <w:rPr>
                <w:rFonts w:cstheme="minorHAnsi"/>
                <w:sz w:val="20"/>
                <w:szCs w:val="20"/>
              </w:rPr>
            </w:pPr>
            <w:r>
              <w:rPr>
                <w:rFonts w:cstheme="minorHAnsi"/>
                <w:sz w:val="20"/>
                <w:szCs w:val="20"/>
              </w:rPr>
              <w:t xml:space="preserve">- </w:t>
            </w:r>
          </w:p>
        </w:tc>
        <w:tc>
          <w:tcPr>
            <w:tcW w:w="671" w:type="pct"/>
            <w:shd w:val="clear" w:color="auto" w:fill="E4F2FF"/>
            <w:tcMar>
              <w:top w:w="150" w:type="dxa"/>
              <w:left w:w="150" w:type="dxa"/>
              <w:bottom w:w="150" w:type="dxa"/>
              <w:right w:w="150" w:type="dxa"/>
            </w:tcMar>
          </w:tcPr>
          <w:p w14:paraId="3793849D" w14:textId="77777777" w:rsidR="003D518D" w:rsidRPr="00BB2472" w:rsidRDefault="003D518D" w:rsidP="003D518D">
            <w:pPr>
              <w:rPr>
                <w:rFonts w:cstheme="minorHAnsi"/>
                <w:sz w:val="20"/>
                <w:szCs w:val="20"/>
              </w:rPr>
            </w:pPr>
            <w:r>
              <w:rPr>
                <w:rFonts w:cstheme="minorHAnsi"/>
                <w:sz w:val="20"/>
                <w:szCs w:val="20"/>
              </w:rPr>
              <w:t>-</w:t>
            </w:r>
          </w:p>
        </w:tc>
        <w:tc>
          <w:tcPr>
            <w:tcW w:w="744" w:type="pct"/>
            <w:shd w:val="clear" w:color="auto" w:fill="E4F2FF"/>
            <w:tcMar>
              <w:top w:w="150" w:type="dxa"/>
              <w:left w:w="150" w:type="dxa"/>
              <w:bottom w:w="150" w:type="dxa"/>
              <w:right w:w="150" w:type="dxa"/>
            </w:tcMar>
          </w:tcPr>
          <w:p w14:paraId="315351CE" w14:textId="77777777" w:rsidR="003D518D" w:rsidRPr="00BB2472" w:rsidRDefault="003D518D" w:rsidP="003D518D">
            <w:pPr>
              <w:rPr>
                <w:rFonts w:cstheme="minorHAnsi"/>
                <w:sz w:val="20"/>
                <w:szCs w:val="20"/>
              </w:rPr>
            </w:pPr>
            <w:r>
              <w:rPr>
                <w:rFonts w:cstheme="minorHAnsi"/>
                <w:sz w:val="20"/>
                <w:szCs w:val="20"/>
              </w:rPr>
              <w:t>-</w:t>
            </w:r>
          </w:p>
        </w:tc>
        <w:tc>
          <w:tcPr>
            <w:tcW w:w="749" w:type="pct"/>
            <w:shd w:val="clear" w:color="auto" w:fill="E4F2FF"/>
            <w:tcMar>
              <w:top w:w="150" w:type="dxa"/>
              <w:left w:w="150" w:type="dxa"/>
              <w:bottom w:w="150" w:type="dxa"/>
              <w:right w:w="150" w:type="dxa"/>
            </w:tcMar>
          </w:tcPr>
          <w:p w14:paraId="64760C59" w14:textId="77777777" w:rsidR="003D518D" w:rsidRPr="00BB2472" w:rsidRDefault="003D518D" w:rsidP="003D518D">
            <w:pPr>
              <w:rPr>
                <w:rFonts w:cstheme="minorHAnsi"/>
                <w:sz w:val="20"/>
                <w:szCs w:val="20"/>
              </w:rPr>
            </w:pPr>
            <w:r>
              <w:rPr>
                <w:rFonts w:cstheme="minorHAnsi"/>
                <w:sz w:val="20"/>
                <w:szCs w:val="20"/>
              </w:rPr>
              <w:t>-</w:t>
            </w:r>
          </w:p>
        </w:tc>
        <w:tc>
          <w:tcPr>
            <w:tcW w:w="823" w:type="pct"/>
            <w:shd w:val="clear" w:color="auto" w:fill="E4F2FF"/>
            <w:tcMar>
              <w:top w:w="150" w:type="dxa"/>
              <w:left w:w="150" w:type="dxa"/>
              <w:bottom w:w="150" w:type="dxa"/>
              <w:right w:w="150" w:type="dxa"/>
            </w:tcMar>
          </w:tcPr>
          <w:p w14:paraId="1FC49B3C" w14:textId="77777777" w:rsidR="003D518D" w:rsidRDefault="003D518D" w:rsidP="003D518D">
            <w:pPr>
              <w:rPr>
                <w:rFonts w:cstheme="minorHAnsi"/>
                <w:sz w:val="20"/>
                <w:szCs w:val="20"/>
              </w:rPr>
            </w:pPr>
            <w:r>
              <w:rPr>
                <w:rFonts w:cstheme="minorHAnsi"/>
                <w:sz w:val="20"/>
                <w:szCs w:val="20"/>
              </w:rPr>
              <w:t xml:space="preserve">Yes </w:t>
            </w:r>
          </w:p>
        </w:tc>
      </w:tr>
      <w:tr w:rsidR="003D518D" w:rsidRPr="00BB2472" w14:paraId="7ECB5196" w14:textId="77777777" w:rsidTr="34FB6227">
        <w:trPr>
          <w:cantSplit/>
        </w:trPr>
        <w:tc>
          <w:tcPr>
            <w:tcW w:w="747" w:type="pct"/>
            <w:shd w:val="clear" w:color="auto" w:fill="E4F2FF"/>
            <w:tcMar>
              <w:top w:w="150" w:type="dxa"/>
              <w:left w:w="150" w:type="dxa"/>
              <w:bottom w:w="150" w:type="dxa"/>
              <w:right w:w="150" w:type="dxa"/>
            </w:tcMar>
          </w:tcPr>
          <w:p w14:paraId="68C03B71" w14:textId="77777777" w:rsidR="003D518D" w:rsidRDefault="00963848" w:rsidP="003D518D">
            <w:pPr>
              <w:rPr>
                <w:rFonts w:cstheme="minorHAnsi"/>
                <w:sz w:val="20"/>
                <w:szCs w:val="20"/>
                <w:u w:color="436EE4" w:themeColor="text2" w:themeTint="99"/>
              </w:rPr>
            </w:pPr>
            <w:hyperlink r:id="rId58" w:history="1">
              <w:r w:rsidR="003D518D" w:rsidRPr="00FA0B58">
                <w:rPr>
                  <w:rStyle w:val="Hyperlink"/>
                  <w:rFonts w:cstheme="minorHAnsi"/>
                  <w:sz w:val="20"/>
                  <w:szCs w:val="20"/>
                  <w:u w:color="436EE4" w:themeColor="text2" w:themeTint="99"/>
                </w:rPr>
                <w:t>PaDEL-DDPredictor</w:t>
              </w:r>
            </w:hyperlink>
          </w:p>
        </w:tc>
        <w:tc>
          <w:tcPr>
            <w:tcW w:w="597" w:type="pct"/>
            <w:shd w:val="clear" w:color="auto" w:fill="E4F2FF"/>
            <w:tcMar>
              <w:top w:w="150" w:type="dxa"/>
              <w:left w:w="150" w:type="dxa"/>
              <w:bottom w:w="150" w:type="dxa"/>
              <w:right w:w="150" w:type="dxa"/>
            </w:tcMar>
          </w:tcPr>
          <w:p w14:paraId="31B55137" w14:textId="77777777" w:rsidR="003D518D" w:rsidRDefault="003D518D" w:rsidP="003D518D">
            <w:pPr>
              <w:rPr>
                <w:sz w:val="20"/>
                <w:szCs w:val="20"/>
              </w:rPr>
            </w:pPr>
            <w:r w:rsidRPr="382B7606">
              <w:rPr>
                <w:sz w:val="20"/>
                <w:szCs w:val="20"/>
              </w:rPr>
              <w:t>-</w:t>
            </w:r>
          </w:p>
        </w:tc>
        <w:tc>
          <w:tcPr>
            <w:tcW w:w="669" w:type="pct"/>
            <w:shd w:val="clear" w:color="auto" w:fill="E4F2FF"/>
            <w:tcMar>
              <w:top w:w="150" w:type="dxa"/>
              <w:left w:w="150" w:type="dxa"/>
              <w:bottom w:w="150" w:type="dxa"/>
              <w:right w:w="150" w:type="dxa"/>
            </w:tcMar>
          </w:tcPr>
          <w:p w14:paraId="13F98BCA" w14:textId="77777777" w:rsidR="003D518D" w:rsidRDefault="003D518D" w:rsidP="003D518D">
            <w:pPr>
              <w:rPr>
                <w:sz w:val="20"/>
                <w:szCs w:val="20"/>
              </w:rPr>
            </w:pPr>
            <w:r w:rsidRPr="5973F0D6">
              <w:rPr>
                <w:sz w:val="20"/>
                <w:szCs w:val="20"/>
              </w:rPr>
              <w:t>Yes</w:t>
            </w:r>
          </w:p>
        </w:tc>
        <w:tc>
          <w:tcPr>
            <w:tcW w:w="671" w:type="pct"/>
            <w:shd w:val="clear" w:color="auto" w:fill="E4F2FF"/>
            <w:tcMar>
              <w:top w:w="150" w:type="dxa"/>
              <w:left w:w="150" w:type="dxa"/>
              <w:bottom w:w="150" w:type="dxa"/>
              <w:right w:w="150" w:type="dxa"/>
            </w:tcMar>
          </w:tcPr>
          <w:p w14:paraId="677491EE" w14:textId="77777777" w:rsidR="003D518D" w:rsidRPr="004056E9" w:rsidRDefault="003D518D" w:rsidP="003D518D">
            <w:pPr>
              <w:rPr>
                <w:sz w:val="20"/>
                <w:szCs w:val="20"/>
              </w:rPr>
            </w:pPr>
            <w:r w:rsidRPr="5973F0D6">
              <w:rPr>
                <w:sz w:val="20"/>
                <w:szCs w:val="20"/>
              </w:rPr>
              <w:t>Yes</w:t>
            </w:r>
          </w:p>
        </w:tc>
        <w:tc>
          <w:tcPr>
            <w:tcW w:w="744" w:type="pct"/>
            <w:shd w:val="clear" w:color="auto" w:fill="E4F2FF"/>
            <w:tcMar>
              <w:top w:w="150" w:type="dxa"/>
              <w:left w:w="150" w:type="dxa"/>
              <w:bottom w:w="150" w:type="dxa"/>
              <w:right w:w="150" w:type="dxa"/>
            </w:tcMar>
          </w:tcPr>
          <w:p w14:paraId="7E0F5796" w14:textId="77777777" w:rsidR="003D518D" w:rsidRPr="00BB2472" w:rsidRDefault="003D518D" w:rsidP="003D518D">
            <w:pPr>
              <w:rPr>
                <w:sz w:val="20"/>
                <w:szCs w:val="20"/>
              </w:rPr>
            </w:pPr>
            <w:r w:rsidRPr="382B7606">
              <w:rPr>
                <w:sz w:val="20"/>
                <w:szCs w:val="20"/>
              </w:rPr>
              <w:t>-</w:t>
            </w:r>
          </w:p>
        </w:tc>
        <w:tc>
          <w:tcPr>
            <w:tcW w:w="749" w:type="pct"/>
            <w:shd w:val="clear" w:color="auto" w:fill="E4F2FF"/>
            <w:tcMar>
              <w:top w:w="150" w:type="dxa"/>
              <w:left w:w="150" w:type="dxa"/>
              <w:bottom w:w="150" w:type="dxa"/>
              <w:right w:w="150" w:type="dxa"/>
            </w:tcMar>
          </w:tcPr>
          <w:p w14:paraId="2DA0068F" w14:textId="77777777" w:rsidR="003D518D" w:rsidRPr="00BB2472" w:rsidRDefault="003D518D" w:rsidP="003D518D">
            <w:pPr>
              <w:rPr>
                <w:rFonts w:cstheme="minorHAnsi"/>
                <w:sz w:val="20"/>
                <w:szCs w:val="20"/>
              </w:rPr>
            </w:pPr>
            <w:r>
              <w:rPr>
                <w:rFonts w:cstheme="minorHAnsi"/>
                <w:sz w:val="20"/>
                <w:szCs w:val="20"/>
              </w:rPr>
              <w:t>-</w:t>
            </w:r>
          </w:p>
        </w:tc>
        <w:tc>
          <w:tcPr>
            <w:tcW w:w="823" w:type="pct"/>
            <w:shd w:val="clear" w:color="auto" w:fill="E4F2FF"/>
            <w:tcMar>
              <w:top w:w="150" w:type="dxa"/>
              <w:left w:w="150" w:type="dxa"/>
              <w:bottom w:w="150" w:type="dxa"/>
              <w:right w:w="150" w:type="dxa"/>
            </w:tcMar>
          </w:tcPr>
          <w:p w14:paraId="6F287988" w14:textId="77777777" w:rsidR="003D518D" w:rsidRDefault="003D518D" w:rsidP="003D518D">
            <w:pPr>
              <w:rPr>
                <w:sz w:val="20"/>
                <w:szCs w:val="20"/>
              </w:rPr>
            </w:pPr>
            <w:r w:rsidRPr="382B7606">
              <w:rPr>
                <w:sz w:val="20"/>
                <w:szCs w:val="20"/>
              </w:rPr>
              <w:t>-</w:t>
            </w:r>
          </w:p>
        </w:tc>
      </w:tr>
      <w:tr w:rsidR="003D518D" w:rsidRPr="00BB2472" w14:paraId="4015C181" w14:textId="77777777" w:rsidTr="34FB6227">
        <w:trPr>
          <w:cantSplit/>
        </w:trPr>
        <w:tc>
          <w:tcPr>
            <w:tcW w:w="747" w:type="pct"/>
            <w:tcBorders>
              <w:bottom w:val="single" w:sz="4" w:space="0" w:color="auto"/>
            </w:tcBorders>
            <w:shd w:val="clear" w:color="auto" w:fill="E4F2FF"/>
            <w:tcMar>
              <w:top w:w="150" w:type="dxa"/>
              <w:left w:w="150" w:type="dxa"/>
              <w:bottom w:w="150" w:type="dxa"/>
              <w:right w:w="150" w:type="dxa"/>
            </w:tcMar>
          </w:tcPr>
          <w:p w14:paraId="5905D902" w14:textId="77777777" w:rsidR="003D518D" w:rsidRDefault="00963848" w:rsidP="003D518D">
            <w:pPr>
              <w:rPr>
                <w:rFonts w:cstheme="minorHAnsi"/>
                <w:sz w:val="20"/>
                <w:szCs w:val="20"/>
                <w:u w:color="436EE4" w:themeColor="text2" w:themeTint="99"/>
              </w:rPr>
            </w:pPr>
            <w:hyperlink r:id="rId59" w:history="1">
              <w:r w:rsidR="003D518D" w:rsidRPr="00FA0B58">
                <w:rPr>
                  <w:rStyle w:val="Hyperlink"/>
                  <w:rFonts w:cstheme="minorHAnsi"/>
                  <w:sz w:val="20"/>
                  <w:szCs w:val="20"/>
                  <w:u w:color="436EE4" w:themeColor="text2" w:themeTint="99"/>
                </w:rPr>
                <w:t>Tox21</w:t>
              </w:r>
            </w:hyperlink>
          </w:p>
        </w:tc>
        <w:tc>
          <w:tcPr>
            <w:tcW w:w="597" w:type="pct"/>
            <w:tcBorders>
              <w:bottom w:val="single" w:sz="4" w:space="0" w:color="auto"/>
            </w:tcBorders>
            <w:shd w:val="clear" w:color="auto" w:fill="E4F2FF"/>
            <w:tcMar>
              <w:top w:w="150" w:type="dxa"/>
              <w:left w:w="150" w:type="dxa"/>
              <w:bottom w:w="150" w:type="dxa"/>
              <w:right w:w="150" w:type="dxa"/>
            </w:tcMar>
          </w:tcPr>
          <w:p w14:paraId="506302C2" w14:textId="77777777" w:rsidR="003D518D" w:rsidRDefault="003D518D" w:rsidP="003D518D">
            <w:pPr>
              <w:rPr>
                <w:sz w:val="20"/>
                <w:szCs w:val="20"/>
              </w:rPr>
            </w:pPr>
            <w:r w:rsidRPr="382B7606">
              <w:rPr>
                <w:sz w:val="20"/>
                <w:szCs w:val="20"/>
              </w:rPr>
              <w:t>-</w:t>
            </w:r>
          </w:p>
        </w:tc>
        <w:tc>
          <w:tcPr>
            <w:tcW w:w="669" w:type="pct"/>
            <w:tcBorders>
              <w:bottom w:val="single" w:sz="4" w:space="0" w:color="auto"/>
            </w:tcBorders>
            <w:shd w:val="clear" w:color="auto" w:fill="E4F2FF"/>
            <w:tcMar>
              <w:top w:w="150" w:type="dxa"/>
              <w:left w:w="150" w:type="dxa"/>
              <w:bottom w:w="150" w:type="dxa"/>
              <w:right w:w="150" w:type="dxa"/>
            </w:tcMar>
          </w:tcPr>
          <w:p w14:paraId="016DAEF0" w14:textId="77777777" w:rsidR="003D518D" w:rsidRDefault="003D518D" w:rsidP="003D518D">
            <w:pPr>
              <w:rPr>
                <w:sz w:val="20"/>
                <w:szCs w:val="20"/>
              </w:rPr>
            </w:pPr>
            <w:r w:rsidRPr="382B7606">
              <w:rPr>
                <w:sz w:val="20"/>
                <w:szCs w:val="20"/>
              </w:rPr>
              <w:t>-</w:t>
            </w:r>
          </w:p>
        </w:tc>
        <w:tc>
          <w:tcPr>
            <w:tcW w:w="671" w:type="pct"/>
            <w:tcBorders>
              <w:bottom w:val="single" w:sz="4" w:space="0" w:color="auto"/>
            </w:tcBorders>
            <w:shd w:val="clear" w:color="auto" w:fill="E4F2FF"/>
            <w:tcMar>
              <w:top w:w="150" w:type="dxa"/>
              <w:left w:w="150" w:type="dxa"/>
              <w:bottom w:w="150" w:type="dxa"/>
              <w:right w:w="150" w:type="dxa"/>
            </w:tcMar>
          </w:tcPr>
          <w:p w14:paraId="67DCD439" w14:textId="77777777" w:rsidR="003D518D" w:rsidRPr="004056E9" w:rsidRDefault="003D518D" w:rsidP="003D518D">
            <w:pPr>
              <w:rPr>
                <w:sz w:val="20"/>
                <w:szCs w:val="20"/>
              </w:rPr>
            </w:pPr>
            <w:r w:rsidRPr="382B7606">
              <w:rPr>
                <w:sz w:val="20"/>
                <w:szCs w:val="20"/>
              </w:rPr>
              <w:t>-</w:t>
            </w:r>
          </w:p>
        </w:tc>
        <w:tc>
          <w:tcPr>
            <w:tcW w:w="744" w:type="pct"/>
            <w:tcBorders>
              <w:bottom w:val="single" w:sz="4" w:space="0" w:color="auto"/>
            </w:tcBorders>
            <w:shd w:val="clear" w:color="auto" w:fill="E4F2FF"/>
            <w:tcMar>
              <w:top w:w="150" w:type="dxa"/>
              <w:left w:w="150" w:type="dxa"/>
              <w:bottom w:w="150" w:type="dxa"/>
              <w:right w:w="150" w:type="dxa"/>
            </w:tcMar>
          </w:tcPr>
          <w:p w14:paraId="1DC680E7" w14:textId="77777777" w:rsidR="003D518D" w:rsidRPr="00BB2472" w:rsidRDefault="003D518D" w:rsidP="003D518D">
            <w:pPr>
              <w:rPr>
                <w:sz w:val="20"/>
                <w:szCs w:val="20"/>
              </w:rPr>
            </w:pPr>
            <w:r w:rsidRPr="382B7606">
              <w:rPr>
                <w:sz w:val="20"/>
                <w:szCs w:val="20"/>
              </w:rPr>
              <w:t xml:space="preserve">Yes </w:t>
            </w:r>
          </w:p>
        </w:tc>
        <w:tc>
          <w:tcPr>
            <w:tcW w:w="749" w:type="pct"/>
            <w:tcBorders>
              <w:bottom w:val="single" w:sz="4" w:space="0" w:color="auto"/>
            </w:tcBorders>
            <w:shd w:val="clear" w:color="auto" w:fill="E4F2FF"/>
            <w:tcMar>
              <w:top w:w="150" w:type="dxa"/>
              <w:left w:w="150" w:type="dxa"/>
              <w:bottom w:w="150" w:type="dxa"/>
              <w:right w:w="150" w:type="dxa"/>
            </w:tcMar>
          </w:tcPr>
          <w:p w14:paraId="634BD5F6" w14:textId="77777777" w:rsidR="003D518D" w:rsidRDefault="003D518D" w:rsidP="003D518D">
            <w:pPr>
              <w:rPr>
                <w:sz w:val="20"/>
                <w:szCs w:val="20"/>
              </w:rPr>
            </w:pPr>
            <w:r w:rsidRPr="382B7606">
              <w:rPr>
                <w:sz w:val="20"/>
                <w:szCs w:val="20"/>
              </w:rPr>
              <w:t>-</w:t>
            </w:r>
          </w:p>
        </w:tc>
        <w:tc>
          <w:tcPr>
            <w:tcW w:w="823" w:type="pct"/>
            <w:tcBorders>
              <w:bottom w:val="single" w:sz="4" w:space="0" w:color="auto"/>
            </w:tcBorders>
            <w:shd w:val="clear" w:color="auto" w:fill="E4F2FF"/>
            <w:tcMar>
              <w:top w:w="150" w:type="dxa"/>
              <w:left w:w="150" w:type="dxa"/>
              <w:bottom w:w="150" w:type="dxa"/>
              <w:right w:w="150" w:type="dxa"/>
            </w:tcMar>
          </w:tcPr>
          <w:p w14:paraId="6F5C3979" w14:textId="77777777" w:rsidR="003D518D" w:rsidRDefault="003D518D" w:rsidP="003D518D">
            <w:pPr>
              <w:rPr>
                <w:sz w:val="20"/>
                <w:szCs w:val="20"/>
              </w:rPr>
            </w:pPr>
            <w:r w:rsidRPr="382B7606">
              <w:rPr>
                <w:sz w:val="20"/>
                <w:szCs w:val="20"/>
              </w:rPr>
              <w:t>-</w:t>
            </w:r>
          </w:p>
        </w:tc>
      </w:tr>
    </w:tbl>
    <w:p w14:paraId="1DAD5718" w14:textId="77777777" w:rsidR="00DB169E" w:rsidRDefault="00DB169E">
      <w:r>
        <w:br w:type="page"/>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Table 1 - In silico options for human health hazard characteristics"/>
        <w:tblDescription w:val="Table 1 - In silico options for human health hazard characteristics"/>
      </w:tblPr>
      <w:tblGrid>
        <w:gridCol w:w="2083"/>
        <w:gridCol w:w="2709"/>
        <w:gridCol w:w="2904"/>
        <w:gridCol w:w="3113"/>
        <w:gridCol w:w="3138"/>
      </w:tblGrid>
      <w:tr w:rsidR="000434CF" w:rsidRPr="00B305DB" w14:paraId="0CE3C096" w14:textId="77777777" w:rsidTr="00DB169E">
        <w:trPr>
          <w:cantSplit/>
        </w:trPr>
        <w:tc>
          <w:tcPr>
            <w:tcW w:w="5000" w:type="pct"/>
            <w:gridSpan w:val="5"/>
            <w:tcBorders>
              <w:top w:val="single" w:sz="4" w:space="0" w:color="auto"/>
              <w:left w:val="nil"/>
              <w:bottom w:val="single" w:sz="4" w:space="0" w:color="auto"/>
              <w:right w:val="nil"/>
            </w:tcBorders>
            <w:shd w:val="clear" w:color="auto" w:fill="auto"/>
            <w:tcMar>
              <w:top w:w="150" w:type="dxa"/>
              <w:left w:w="150" w:type="dxa"/>
              <w:bottom w:w="150" w:type="dxa"/>
              <w:right w:w="150" w:type="dxa"/>
            </w:tcMar>
            <w:vAlign w:val="center"/>
          </w:tcPr>
          <w:p w14:paraId="1DF2F668" w14:textId="77777777" w:rsidR="000434CF" w:rsidRPr="000D0955" w:rsidRDefault="000434CF" w:rsidP="00C76856">
            <w:pPr>
              <w:rPr>
                <w:b/>
              </w:rPr>
            </w:pPr>
            <w:r w:rsidRPr="000D0955">
              <w:rPr>
                <w:b/>
              </w:rPr>
              <w:lastRenderedPageBreak/>
              <w:t xml:space="preserve">Table 2 - In silico </w:t>
            </w:r>
            <w:r w:rsidR="00C76856" w:rsidRPr="000D0955">
              <w:rPr>
                <w:b/>
              </w:rPr>
              <w:t>models</w:t>
            </w:r>
            <w:r w:rsidRPr="000D0955">
              <w:rPr>
                <w:b/>
              </w:rPr>
              <w:t xml:space="preserve"> for environment hazard characteristics</w:t>
            </w:r>
          </w:p>
        </w:tc>
      </w:tr>
      <w:tr w:rsidR="000434CF" w:rsidRPr="00E749E0" w14:paraId="64A3B1E5" w14:textId="77777777" w:rsidTr="00DB169E">
        <w:trPr>
          <w:cantSplit/>
        </w:trPr>
        <w:tc>
          <w:tcPr>
            <w:tcW w:w="747" w:type="pct"/>
            <w:shd w:val="clear" w:color="auto" w:fill="133286" w:themeFill="text2"/>
            <w:tcMar>
              <w:top w:w="150" w:type="dxa"/>
              <w:left w:w="150" w:type="dxa"/>
              <w:bottom w:w="150" w:type="dxa"/>
              <w:right w:w="150" w:type="dxa"/>
            </w:tcMar>
            <w:hideMark/>
          </w:tcPr>
          <w:p w14:paraId="185FF4F0" w14:textId="77777777" w:rsidR="000434CF" w:rsidRPr="00BB2472" w:rsidRDefault="000434CF" w:rsidP="00E150EC">
            <w:pPr>
              <w:rPr>
                <w:b/>
                <w:sz w:val="20"/>
                <w:szCs w:val="20"/>
              </w:rPr>
            </w:pPr>
            <w:r w:rsidRPr="00BB2472">
              <w:rPr>
                <w:b/>
                <w:sz w:val="20"/>
                <w:szCs w:val="20"/>
              </w:rPr>
              <w:t> </w:t>
            </w:r>
            <w:r w:rsidR="00C76856">
              <w:rPr>
                <w:b/>
                <w:sz w:val="20"/>
                <w:szCs w:val="20"/>
              </w:rPr>
              <w:t>In silico model</w:t>
            </w:r>
          </w:p>
        </w:tc>
        <w:tc>
          <w:tcPr>
            <w:tcW w:w="971" w:type="pct"/>
            <w:shd w:val="clear" w:color="auto" w:fill="133286" w:themeFill="text2"/>
            <w:tcMar>
              <w:top w:w="150" w:type="dxa"/>
              <w:left w:w="150" w:type="dxa"/>
              <w:bottom w:w="150" w:type="dxa"/>
              <w:right w:w="150" w:type="dxa"/>
            </w:tcMar>
            <w:hideMark/>
          </w:tcPr>
          <w:p w14:paraId="344468BD" w14:textId="77777777" w:rsidR="000434CF" w:rsidRPr="00BB2472" w:rsidRDefault="000434CF" w:rsidP="00E150EC">
            <w:pPr>
              <w:rPr>
                <w:b/>
                <w:sz w:val="20"/>
                <w:szCs w:val="20"/>
              </w:rPr>
            </w:pPr>
            <w:r w:rsidRPr="00BB2472">
              <w:rPr>
                <w:b/>
                <w:sz w:val="20"/>
                <w:szCs w:val="20"/>
              </w:rPr>
              <w:t>Acute aquatic toxicity</w:t>
            </w:r>
          </w:p>
        </w:tc>
        <w:tc>
          <w:tcPr>
            <w:tcW w:w="1041" w:type="pct"/>
            <w:shd w:val="clear" w:color="auto" w:fill="133286" w:themeFill="text2"/>
            <w:tcMar>
              <w:top w:w="150" w:type="dxa"/>
              <w:left w:w="150" w:type="dxa"/>
              <w:bottom w:w="150" w:type="dxa"/>
              <w:right w:w="150" w:type="dxa"/>
            </w:tcMar>
            <w:hideMark/>
          </w:tcPr>
          <w:p w14:paraId="3F72F46D" w14:textId="77777777" w:rsidR="000434CF" w:rsidRPr="00BB2472" w:rsidRDefault="000434CF" w:rsidP="00E150EC">
            <w:pPr>
              <w:rPr>
                <w:b/>
                <w:sz w:val="20"/>
                <w:szCs w:val="20"/>
              </w:rPr>
            </w:pPr>
            <w:r w:rsidRPr="00BB2472">
              <w:rPr>
                <w:b/>
                <w:sz w:val="20"/>
                <w:szCs w:val="20"/>
              </w:rPr>
              <w:t>Chronic aquatic toxicity</w:t>
            </w:r>
          </w:p>
        </w:tc>
        <w:tc>
          <w:tcPr>
            <w:tcW w:w="1116" w:type="pct"/>
            <w:shd w:val="clear" w:color="auto" w:fill="133286" w:themeFill="text2"/>
            <w:tcMar>
              <w:top w:w="150" w:type="dxa"/>
              <w:left w:w="150" w:type="dxa"/>
              <w:bottom w:w="150" w:type="dxa"/>
              <w:right w:w="150" w:type="dxa"/>
            </w:tcMar>
            <w:hideMark/>
          </w:tcPr>
          <w:p w14:paraId="3817C44D" w14:textId="77777777" w:rsidR="000434CF" w:rsidRPr="00BB2472" w:rsidRDefault="000434CF" w:rsidP="00E150EC">
            <w:pPr>
              <w:rPr>
                <w:b/>
                <w:sz w:val="20"/>
                <w:szCs w:val="20"/>
              </w:rPr>
            </w:pPr>
            <w:r w:rsidRPr="00BB2472">
              <w:rPr>
                <w:b/>
                <w:sz w:val="20"/>
                <w:szCs w:val="20"/>
              </w:rPr>
              <w:t>Persistence (as a function of half-life)</w:t>
            </w:r>
          </w:p>
        </w:tc>
        <w:tc>
          <w:tcPr>
            <w:tcW w:w="1125" w:type="pct"/>
            <w:shd w:val="clear" w:color="auto" w:fill="133286" w:themeFill="text2"/>
            <w:tcMar>
              <w:top w:w="150" w:type="dxa"/>
              <w:left w:w="150" w:type="dxa"/>
              <w:bottom w:w="150" w:type="dxa"/>
              <w:right w:w="150" w:type="dxa"/>
            </w:tcMar>
            <w:hideMark/>
          </w:tcPr>
          <w:p w14:paraId="02D29B7D" w14:textId="77777777" w:rsidR="000434CF" w:rsidRPr="00BB2472" w:rsidRDefault="000434CF" w:rsidP="00E150EC">
            <w:pPr>
              <w:rPr>
                <w:b/>
                <w:sz w:val="20"/>
                <w:szCs w:val="20"/>
              </w:rPr>
            </w:pPr>
            <w:r w:rsidRPr="00BB2472">
              <w:rPr>
                <w:b/>
                <w:sz w:val="20"/>
                <w:szCs w:val="20"/>
              </w:rPr>
              <w:t>Bioaccumulation (as a function of Log Kow)</w:t>
            </w:r>
          </w:p>
        </w:tc>
      </w:tr>
      <w:tr w:rsidR="003D518D" w:rsidRPr="00E749E0" w14:paraId="09389AE0" w14:textId="77777777" w:rsidTr="19D088C1">
        <w:trPr>
          <w:cantSplit/>
        </w:trPr>
        <w:tc>
          <w:tcPr>
            <w:tcW w:w="747" w:type="pct"/>
            <w:shd w:val="clear" w:color="auto" w:fill="FFFFFF" w:themeFill="background1"/>
            <w:tcMar>
              <w:top w:w="150" w:type="dxa"/>
              <w:left w:w="150" w:type="dxa"/>
              <w:bottom w:w="150" w:type="dxa"/>
              <w:right w:w="150" w:type="dxa"/>
            </w:tcMar>
            <w:hideMark/>
          </w:tcPr>
          <w:p w14:paraId="76EC93D4" w14:textId="77777777" w:rsidR="003D518D" w:rsidRPr="00BB2472" w:rsidRDefault="00963848" w:rsidP="003D518D">
            <w:pPr>
              <w:rPr>
                <w:sz w:val="20"/>
                <w:szCs w:val="20"/>
              </w:rPr>
            </w:pPr>
            <w:hyperlink r:id="rId60" w:history="1">
              <w:r w:rsidR="003D518D" w:rsidRPr="00FA0B58">
                <w:rPr>
                  <w:rStyle w:val="Hyperlink"/>
                  <w:sz w:val="20"/>
                  <w:szCs w:val="20"/>
                  <w:u w:color="436EE4" w:themeColor="text2" w:themeTint="99"/>
                </w:rPr>
                <w:t>ECOSAR</w:t>
              </w:r>
            </w:hyperlink>
          </w:p>
        </w:tc>
        <w:tc>
          <w:tcPr>
            <w:tcW w:w="971" w:type="pct"/>
            <w:shd w:val="clear" w:color="auto" w:fill="FFFFFF" w:themeFill="background1"/>
            <w:tcMar>
              <w:top w:w="150" w:type="dxa"/>
              <w:left w:w="150" w:type="dxa"/>
              <w:bottom w:w="150" w:type="dxa"/>
              <w:right w:w="150" w:type="dxa"/>
            </w:tcMar>
            <w:hideMark/>
          </w:tcPr>
          <w:p w14:paraId="6CF02399" w14:textId="77777777" w:rsidR="003D518D" w:rsidRPr="00BB2472" w:rsidRDefault="003D518D" w:rsidP="003D518D">
            <w:pPr>
              <w:rPr>
                <w:sz w:val="20"/>
                <w:szCs w:val="20"/>
              </w:rPr>
            </w:pPr>
            <w:r w:rsidRPr="00BB2472">
              <w:rPr>
                <w:sz w:val="20"/>
                <w:szCs w:val="20"/>
              </w:rPr>
              <w:t>Yes</w:t>
            </w:r>
          </w:p>
        </w:tc>
        <w:tc>
          <w:tcPr>
            <w:tcW w:w="1041" w:type="pct"/>
            <w:shd w:val="clear" w:color="auto" w:fill="FFFFFF" w:themeFill="background1"/>
            <w:tcMar>
              <w:top w:w="150" w:type="dxa"/>
              <w:left w:w="150" w:type="dxa"/>
              <w:bottom w:w="150" w:type="dxa"/>
              <w:right w:w="150" w:type="dxa"/>
            </w:tcMar>
            <w:hideMark/>
          </w:tcPr>
          <w:p w14:paraId="5392A0E3" w14:textId="77777777" w:rsidR="003D518D" w:rsidRPr="00BB2472" w:rsidRDefault="003D518D" w:rsidP="003D518D">
            <w:pPr>
              <w:rPr>
                <w:sz w:val="20"/>
                <w:szCs w:val="20"/>
              </w:rPr>
            </w:pPr>
            <w:r>
              <w:rPr>
                <w:sz w:val="20"/>
                <w:szCs w:val="20"/>
              </w:rPr>
              <w:t>-</w:t>
            </w:r>
          </w:p>
        </w:tc>
        <w:tc>
          <w:tcPr>
            <w:tcW w:w="1116" w:type="pct"/>
            <w:shd w:val="clear" w:color="auto" w:fill="FFFFFF" w:themeFill="background1"/>
            <w:tcMar>
              <w:top w:w="150" w:type="dxa"/>
              <w:left w:w="150" w:type="dxa"/>
              <w:bottom w:w="150" w:type="dxa"/>
              <w:right w:w="150" w:type="dxa"/>
            </w:tcMar>
            <w:hideMark/>
          </w:tcPr>
          <w:p w14:paraId="3B330B7E" w14:textId="77777777" w:rsidR="003D518D" w:rsidRPr="00BB2472" w:rsidRDefault="003D518D" w:rsidP="003D518D">
            <w:pPr>
              <w:rPr>
                <w:sz w:val="20"/>
                <w:szCs w:val="20"/>
              </w:rPr>
            </w:pPr>
            <w:r w:rsidRPr="00BB2472">
              <w:rPr>
                <w:sz w:val="20"/>
                <w:szCs w:val="20"/>
              </w:rPr>
              <w:t>-</w:t>
            </w:r>
          </w:p>
        </w:tc>
        <w:tc>
          <w:tcPr>
            <w:tcW w:w="1125" w:type="pct"/>
            <w:shd w:val="clear" w:color="auto" w:fill="FFFFFF" w:themeFill="background1"/>
            <w:tcMar>
              <w:top w:w="150" w:type="dxa"/>
              <w:left w:w="150" w:type="dxa"/>
              <w:bottom w:w="150" w:type="dxa"/>
              <w:right w:w="150" w:type="dxa"/>
            </w:tcMar>
            <w:hideMark/>
          </w:tcPr>
          <w:p w14:paraId="304CB13F" w14:textId="77777777" w:rsidR="003D518D" w:rsidRPr="00BB2472" w:rsidRDefault="003D518D" w:rsidP="003D518D">
            <w:pPr>
              <w:rPr>
                <w:sz w:val="20"/>
                <w:szCs w:val="20"/>
              </w:rPr>
            </w:pPr>
            <w:r w:rsidRPr="00BB2472">
              <w:rPr>
                <w:sz w:val="20"/>
                <w:szCs w:val="20"/>
              </w:rPr>
              <w:t>-</w:t>
            </w:r>
          </w:p>
        </w:tc>
      </w:tr>
      <w:tr w:rsidR="003D518D" w:rsidRPr="00E749E0" w14:paraId="4AAA7FE6" w14:textId="77777777" w:rsidTr="00DB169E">
        <w:trPr>
          <w:cantSplit/>
        </w:trPr>
        <w:tc>
          <w:tcPr>
            <w:tcW w:w="747" w:type="pct"/>
            <w:shd w:val="clear" w:color="auto" w:fill="E4F2FF"/>
            <w:tcMar>
              <w:top w:w="150" w:type="dxa"/>
              <w:left w:w="150" w:type="dxa"/>
              <w:bottom w:w="150" w:type="dxa"/>
              <w:right w:w="150" w:type="dxa"/>
            </w:tcMar>
            <w:hideMark/>
          </w:tcPr>
          <w:p w14:paraId="5B9A46CF" w14:textId="77777777" w:rsidR="003D518D" w:rsidRPr="00BB2472" w:rsidRDefault="00963848" w:rsidP="003D518D">
            <w:pPr>
              <w:rPr>
                <w:sz w:val="20"/>
                <w:szCs w:val="20"/>
              </w:rPr>
            </w:pPr>
            <w:hyperlink r:id="rId61" w:history="1">
              <w:r w:rsidR="003D518D" w:rsidRPr="00FA0B58">
                <w:rPr>
                  <w:rStyle w:val="Hyperlink"/>
                  <w:sz w:val="20"/>
                  <w:szCs w:val="20"/>
                  <w:u w:color="436EE4" w:themeColor="text2" w:themeTint="99"/>
                </w:rPr>
                <w:t>EPI Suite</w:t>
              </w:r>
            </w:hyperlink>
          </w:p>
        </w:tc>
        <w:tc>
          <w:tcPr>
            <w:tcW w:w="971" w:type="pct"/>
            <w:shd w:val="clear" w:color="auto" w:fill="E4F2FF"/>
            <w:tcMar>
              <w:top w:w="150" w:type="dxa"/>
              <w:left w:w="150" w:type="dxa"/>
              <w:bottom w:w="150" w:type="dxa"/>
              <w:right w:w="150" w:type="dxa"/>
            </w:tcMar>
            <w:hideMark/>
          </w:tcPr>
          <w:p w14:paraId="489B5F52" w14:textId="77777777" w:rsidR="003D518D" w:rsidRPr="00BB2472" w:rsidRDefault="003D518D" w:rsidP="003D518D">
            <w:pPr>
              <w:rPr>
                <w:sz w:val="20"/>
                <w:szCs w:val="20"/>
              </w:rPr>
            </w:pPr>
            <w:r w:rsidRPr="00BB2472">
              <w:rPr>
                <w:sz w:val="20"/>
                <w:szCs w:val="20"/>
              </w:rPr>
              <w:t>-</w:t>
            </w:r>
          </w:p>
        </w:tc>
        <w:tc>
          <w:tcPr>
            <w:tcW w:w="1041" w:type="pct"/>
            <w:shd w:val="clear" w:color="auto" w:fill="E4F2FF"/>
            <w:tcMar>
              <w:top w:w="150" w:type="dxa"/>
              <w:left w:w="150" w:type="dxa"/>
              <w:bottom w:w="150" w:type="dxa"/>
              <w:right w:w="150" w:type="dxa"/>
            </w:tcMar>
            <w:hideMark/>
          </w:tcPr>
          <w:p w14:paraId="0BA4AAC1" w14:textId="77777777" w:rsidR="003D518D" w:rsidRPr="00BB2472" w:rsidRDefault="003D518D" w:rsidP="003D518D">
            <w:pPr>
              <w:rPr>
                <w:sz w:val="20"/>
                <w:szCs w:val="20"/>
              </w:rPr>
            </w:pPr>
            <w:r w:rsidRPr="00BB2472">
              <w:rPr>
                <w:sz w:val="20"/>
                <w:szCs w:val="20"/>
              </w:rPr>
              <w:t>-</w:t>
            </w:r>
          </w:p>
        </w:tc>
        <w:tc>
          <w:tcPr>
            <w:tcW w:w="1116" w:type="pct"/>
            <w:shd w:val="clear" w:color="auto" w:fill="E4F2FF"/>
            <w:tcMar>
              <w:top w:w="150" w:type="dxa"/>
              <w:left w:w="150" w:type="dxa"/>
              <w:bottom w:w="150" w:type="dxa"/>
              <w:right w:w="150" w:type="dxa"/>
            </w:tcMar>
            <w:hideMark/>
          </w:tcPr>
          <w:p w14:paraId="4737590C" w14:textId="77777777" w:rsidR="003D518D" w:rsidRPr="00BB2472" w:rsidRDefault="003D518D" w:rsidP="003D518D">
            <w:pPr>
              <w:rPr>
                <w:sz w:val="20"/>
                <w:szCs w:val="20"/>
              </w:rPr>
            </w:pPr>
            <w:r w:rsidRPr="00BB2472">
              <w:rPr>
                <w:sz w:val="20"/>
                <w:szCs w:val="20"/>
              </w:rPr>
              <w:t>Yes</w:t>
            </w:r>
          </w:p>
        </w:tc>
        <w:tc>
          <w:tcPr>
            <w:tcW w:w="1125" w:type="pct"/>
            <w:shd w:val="clear" w:color="auto" w:fill="E4F2FF"/>
            <w:tcMar>
              <w:top w:w="150" w:type="dxa"/>
              <w:left w:w="150" w:type="dxa"/>
              <w:bottom w:w="150" w:type="dxa"/>
              <w:right w:w="150" w:type="dxa"/>
            </w:tcMar>
            <w:hideMark/>
          </w:tcPr>
          <w:p w14:paraId="315FFE46" w14:textId="77777777" w:rsidR="003D518D" w:rsidRPr="00BB2472" w:rsidRDefault="003D518D" w:rsidP="003D518D">
            <w:pPr>
              <w:rPr>
                <w:sz w:val="20"/>
                <w:szCs w:val="20"/>
              </w:rPr>
            </w:pPr>
            <w:r w:rsidRPr="00BB2472">
              <w:rPr>
                <w:sz w:val="20"/>
                <w:szCs w:val="20"/>
              </w:rPr>
              <w:t>-</w:t>
            </w:r>
          </w:p>
        </w:tc>
      </w:tr>
      <w:tr w:rsidR="003D518D" w:rsidRPr="00E749E0" w14:paraId="4F573770" w14:textId="77777777" w:rsidTr="19D088C1">
        <w:trPr>
          <w:cantSplit/>
        </w:trPr>
        <w:tc>
          <w:tcPr>
            <w:tcW w:w="747" w:type="pct"/>
            <w:shd w:val="clear" w:color="auto" w:fill="FFFFFF" w:themeFill="background1"/>
            <w:tcMar>
              <w:top w:w="150" w:type="dxa"/>
              <w:left w:w="150" w:type="dxa"/>
              <w:bottom w:w="150" w:type="dxa"/>
              <w:right w:w="150" w:type="dxa"/>
            </w:tcMar>
            <w:hideMark/>
          </w:tcPr>
          <w:p w14:paraId="09F96470" w14:textId="77777777" w:rsidR="003D518D" w:rsidRPr="00BB2472" w:rsidRDefault="00963848" w:rsidP="003D518D">
            <w:pPr>
              <w:rPr>
                <w:sz w:val="20"/>
                <w:szCs w:val="20"/>
              </w:rPr>
            </w:pPr>
            <w:hyperlink r:id="rId62" w:history="1">
              <w:r w:rsidR="003D518D" w:rsidRPr="00FA0B58">
                <w:rPr>
                  <w:rStyle w:val="Hyperlink"/>
                  <w:sz w:val="20"/>
                  <w:szCs w:val="20"/>
                  <w:u w:color="436EE4" w:themeColor="text2" w:themeTint="99"/>
                </w:rPr>
                <w:t>KOWWIN</w:t>
              </w:r>
            </w:hyperlink>
          </w:p>
        </w:tc>
        <w:tc>
          <w:tcPr>
            <w:tcW w:w="971" w:type="pct"/>
            <w:shd w:val="clear" w:color="auto" w:fill="FFFFFF" w:themeFill="background1"/>
            <w:tcMar>
              <w:top w:w="150" w:type="dxa"/>
              <w:left w:w="150" w:type="dxa"/>
              <w:bottom w:w="150" w:type="dxa"/>
              <w:right w:w="150" w:type="dxa"/>
            </w:tcMar>
            <w:hideMark/>
          </w:tcPr>
          <w:p w14:paraId="3F8ED3E9" w14:textId="77777777" w:rsidR="003D518D" w:rsidRPr="00BB2472" w:rsidRDefault="003D518D" w:rsidP="003D518D">
            <w:pPr>
              <w:rPr>
                <w:sz w:val="20"/>
                <w:szCs w:val="20"/>
              </w:rPr>
            </w:pPr>
            <w:r w:rsidRPr="00BB2472">
              <w:rPr>
                <w:sz w:val="20"/>
                <w:szCs w:val="20"/>
              </w:rPr>
              <w:t>-</w:t>
            </w:r>
          </w:p>
        </w:tc>
        <w:tc>
          <w:tcPr>
            <w:tcW w:w="1041" w:type="pct"/>
            <w:shd w:val="clear" w:color="auto" w:fill="FFFFFF" w:themeFill="background1"/>
            <w:tcMar>
              <w:top w:w="150" w:type="dxa"/>
              <w:left w:w="150" w:type="dxa"/>
              <w:bottom w:w="150" w:type="dxa"/>
              <w:right w:w="150" w:type="dxa"/>
            </w:tcMar>
            <w:hideMark/>
          </w:tcPr>
          <w:p w14:paraId="65646676" w14:textId="77777777" w:rsidR="003D518D" w:rsidRPr="00BB2472" w:rsidRDefault="003D518D" w:rsidP="003D518D">
            <w:pPr>
              <w:rPr>
                <w:sz w:val="20"/>
                <w:szCs w:val="20"/>
              </w:rPr>
            </w:pPr>
            <w:r w:rsidRPr="00BB2472">
              <w:rPr>
                <w:sz w:val="20"/>
                <w:szCs w:val="20"/>
              </w:rPr>
              <w:t>-</w:t>
            </w:r>
          </w:p>
        </w:tc>
        <w:tc>
          <w:tcPr>
            <w:tcW w:w="1116" w:type="pct"/>
            <w:shd w:val="clear" w:color="auto" w:fill="FFFFFF" w:themeFill="background1"/>
            <w:tcMar>
              <w:top w:w="150" w:type="dxa"/>
              <w:left w:w="150" w:type="dxa"/>
              <w:bottom w:w="150" w:type="dxa"/>
              <w:right w:w="150" w:type="dxa"/>
            </w:tcMar>
            <w:hideMark/>
          </w:tcPr>
          <w:p w14:paraId="57BBAE62" w14:textId="77777777" w:rsidR="003D518D" w:rsidRPr="00BB2472" w:rsidRDefault="003D518D" w:rsidP="003D518D">
            <w:pPr>
              <w:rPr>
                <w:sz w:val="20"/>
                <w:szCs w:val="20"/>
              </w:rPr>
            </w:pPr>
            <w:r w:rsidRPr="00BB2472">
              <w:rPr>
                <w:sz w:val="20"/>
                <w:szCs w:val="20"/>
              </w:rPr>
              <w:t>-</w:t>
            </w:r>
          </w:p>
        </w:tc>
        <w:tc>
          <w:tcPr>
            <w:tcW w:w="1125" w:type="pct"/>
            <w:shd w:val="clear" w:color="auto" w:fill="FFFFFF" w:themeFill="background1"/>
            <w:tcMar>
              <w:top w:w="150" w:type="dxa"/>
              <w:left w:w="150" w:type="dxa"/>
              <w:bottom w:w="150" w:type="dxa"/>
              <w:right w:w="150" w:type="dxa"/>
            </w:tcMar>
            <w:hideMark/>
          </w:tcPr>
          <w:p w14:paraId="561DC68F" w14:textId="77777777" w:rsidR="003D518D" w:rsidRPr="00BB2472" w:rsidRDefault="003D518D" w:rsidP="003D518D">
            <w:pPr>
              <w:rPr>
                <w:sz w:val="20"/>
                <w:szCs w:val="20"/>
              </w:rPr>
            </w:pPr>
            <w:r w:rsidRPr="00BB2472">
              <w:rPr>
                <w:sz w:val="20"/>
                <w:szCs w:val="20"/>
              </w:rPr>
              <w:t>Yes</w:t>
            </w:r>
          </w:p>
        </w:tc>
      </w:tr>
    </w:tbl>
    <w:p w14:paraId="5FF69535" w14:textId="77777777" w:rsidR="00417D3D" w:rsidRDefault="00417D3D" w:rsidP="002423CF"/>
    <w:p w14:paraId="11C70413" w14:textId="77777777" w:rsidR="00E73AA0" w:rsidRDefault="00E73AA0" w:rsidP="002423CF">
      <w:pPr>
        <w:sectPr w:rsidR="00E73AA0" w:rsidSect="00E73AA0">
          <w:pgSz w:w="16838" w:h="11906" w:orient="landscape"/>
          <w:pgMar w:top="1440" w:right="1440" w:bottom="1440" w:left="1440" w:header="709" w:footer="709" w:gutter="0"/>
          <w:cols w:space="708"/>
          <w:docGrid w:linePitch="360"/>
        </w:sectPr>
      </w:pPr>
    </w:p>
    <w:p w14:paraId="1AF3FD02" w14:textId="77777777" w:rsidR="00417D3D" w:rsidRDefault="00417D3D" w:rsidP="00417D3D">
      <w:pPr>
        <w:pStyle w:val="Heading2"/>
      </w:pPr>
      <w:bookmarkStart w:id="56" w:name="_Toc43890240"/>
      <w:r>
        <w:lastRenderedPageBreak/>
        <w:t>Suitable read across information</w:t>
      </w:r>
      <w:bookmarkEnd w:id="56"/>
    </w:p>
    <w:p w14:paraId="1D3E00BB" w14:textId="77777777" w:rsidR="00D23C17" w:rsidRPr="00E749E0" w:rsidRDefault="00EB13F6" w:rsidP="000D0955">
      <w:r>
        <w:t>For your read across information to be considered suitable, y</w:t>
      </w:r>
      <w:r w:rsidR="00D23C17" w:rsidRPr="00E749E0">
        <w:t>ou must consider the suitability of the source chemical/s for each of the hazard characteristics you are trying to predict. To do this you will need to look at the source chemical’s areas of similarity to your chemical</w:t>
      </w:r>
      <w:r>
        <w:t xml:space="preserve">, outlined below. If you are using a category approach, </w:t>
      </w:r>
      <w:r w:rsidR="00072241">
        <w:t xml:space="preserve">then </w:t>
      </w:r>
      <w:r>
        <w:t xml:space="preserve">in addition to the </w:t>
      </w:r>
      <w:r w:rsidR="003A44CE">
        <w:t xml:space="preserve">following </w:t>
      </w:r>
      <w:r>
        <w:t>considerations, y</w:t>
      </w:r>
      <w:r w:rsidRPr="00E749E0">
        <w:t>ou may also need to consider that the chemical’s properties may not be very similar. Rather, they may follow a regular trend, which allows you to predict the hazard characteristic for your chemical.</w:t>
      </w:r>
    </w:p>
    <w:p w14:paraId="6EAED8F4" w14:textId="77777777" w:rsidR="00D23C17" w:rsidRPr="00E749E0" w:rsidRDefault="00D23C17" w:rsidP="003E3B1D">
      <w:pPr>
        <w:pStyle w:val="ListParagraph"/>
        <w:numPr>
          <w:ilvl w:val="0"/>
          <w:numId w:val="117"/>
        </w:numPr>
      </w:pPr>
      <w:r w:rsidRPr="000D0955">
        <w:rPr>
          <w:b/>
          <w:bCs/>
        </w:rPr>
        <w:t>Similar structure</w:t>
      </w:r>
    </w:p>
    <w:p w14:paraId="44C5EC5F" w14:textId="77777777" w:rsidR="000D0955" w:rsidRDefault="00D23C17" w:rsidP="003E3B1D">
      <w:pPr>
        <w:pStyle w:val="ListParagraph"/>
        <w:numPr>
          <w:ilvl w:val="1"/>
          <w:numId w:val="117"/>
        </w:numPr>
      </w:pPr>
      <w:r w:rsidRPr="00E749E0">
        <w:t>Does the source chemical/s contain most, if not all, of the same structural feat</w:t>
      </w:r>
      <w:r w:rsidR="000D0955">
        <w:t>ures as your (target) chemical?</w:t>
      </w:r>
    </w:p>
    <w:p w14:paraId="7809C95B" w14:textId="77777777" w:rsidR="000D0955" w:rsidRDefault="00D23C17" w:rsidP="003E3B1D">
      <w:pPr>
        <w:pStyle w:val="ListParagraph"/>
        <w:numPr>
          <w:ilvl w:val="1"/>
          <w:numId w:val="117"/>
        </w:numPr>
      </w:pPr>
      <w:r w:rsidRPr="00E749E0">
        <w:t>Are the relevant substructures for the hazard characteristic for whi</w:t>
      </w:r>
      <w:r w:rsidR="000D0955">
        <w:t>ch there is a data gap similar?</w:t>
      </w:r>
    </w:p>
    <w:p w14:paraId="2A7EA7E3" w14:textId="77777777" w:rsidR="00D23C17" w:rsidRPr="00E749E0" w:rsidRDefault="00D23C17" w:rsidP="003E3B1D">
      <w:pPr>
        <w:pStyle w:val="ListParagraph"/>
        <w:numPr>
          <w:ilvl w:val="0"/>
          <w:numId w:val="117"/>
        </w:numPr>
      </w:pPr>
      <w:r w:rsidRPr="000D0955">
        <w:rPr>
          <w:b/>
          <w:bCs/>
        </w:rPr>
        <w:t>Similar physical-chemical properties</w:t>
      </w:r>
    </w:p>
    <w:p w14:paraId="57FB84CF" w14:textId="77777777" w:rsidR="00D23C17" w:rsidRPr="00E749E0" w:rsidRDefault="00D23C17" w:rsidP="003E3B1D">
      <w:pPr>
        <w:pStyle w:val="ListParagraph"/>
        <w:numPr>
          <w:ilvl w:val="1"/>
          <w:numId w:val="117"/>
        </w:numPr>
      </w:pPr>
      <w:r w:rsidRPr="00E749E0">
        <w:t>Does the source chemical/s have similar physical-chemical properties to your chemical? This may influence bioavailability and environmental fate.</w:t>
      </w:r>
    </w:p>
    <w:p w14:paraId="6722CEC4" w14:textId="77777777" w:rsidR="00D23C17" w:rsidRPr="00E749E0" w:rsidRDefault="00D23C17" w:rsidP="003E3B1D">
      <w:pPr>
        <w:pStyle w:val="ListParagraph"/>
        <w:numPr>
          <w:ilvl w:val="0"/>
          <w:numId w:val="117"/>
        </w:numPr>
      </w:pPr>
      <w:r w:rsidRPr="000D0955">
        <w:rPr>
          <w:b/>
          <w:bCs/>
        </w:rPr>
        <w:t>Similar metabolism/degradation</w:t>
      </w:r>
    </w:p>
    <w:p w14:paraId="3D631FAD" w14:textId="77777777" w:rsidR="00D23C17" w:rsidRPr="00E749E0" w:rsidRDefault="00D23C17" w:rsidP="003E3B1D">
      <w:pPr>
        <w:pStyle w:val="ListParagraph"/>
        <w:numPr>
          <w:ilvl w:val="1"/>
          <w:numId w:val="117"/>
        </w:numPr>
      </w:pPr>
      <w:r w:rsidRPr="00E749E0">
        <w:t>Is metabolism/degradation important for the hazard characteristic you are predicting?</w:t>
      </w:r>
    </w:p>
    <w:p w14:paraId="1EC30DF6" w14:textId="77777777" w:rsidR="00D23C17" w:rsidRPr="00E749E0" w:rsidRDefault="00D23C17" w:rsidP="003E3B1D">
      <w:pPr>
        <w:pStyle w:val="ListParagraph"/>
        <w:numPr>
          <w:ilvl w:val="1"/>
          <w:numId w:val="117"/>
        </w:numPr>
      </w:pPr>
      <w:r w:rsidRPr="00E749E0">
        <w:t>If so, does the source chemical/s produce similar breakdown products (metabolites or degradants) to your chemical?</w:t>
      </w:r>
    </w:p>
    <w:p w14:paraId="3BFB4F3D" w14:textId="77777777" w:rsidR="00D23C17" w:rsidRPr="00E749E0" w:rsidRDefault="00D23C17" w:rsidP="003E3B1D">
      <w:pPr>
        <w:pStyle w:val="ListParagraph"/>
        <w:numPr>
          <w:ilvl w:val="0"/>
          <w:numId w:val="117"/>
        </w:numPr>
      </w:pPr>
      <w:r w:rsidRPr="000D0955">
        <w:rPr>
          <w:b/>
          <w:bCs/>
        </w:rPr>
        <w:t>Similar mode of action</w:t>
      </w:r>
    </w:p>
    <w:p w14:paraId="331BABD5" w14:textId="77777777" w:rsidR="00D23C17" w:rsidRPr="00E749E0" w:rsidRDefault="00D23C17" w:rsidP="003E3B1D">
      <w:pPr>
        <w:pStyle w:val="ListParagraph"/>
        <w:numPr>
          <w:ilvl w:val="1"/>
          <w:numId w:val="117"/>
        </w:numPr>
      </w:pPr>
      <w:r w:rsidRPr="00E749E0">
        <w:t>Do you know the relevant mode of action for the hazard characteristic you are predicting?</w:t>
      </w:r>
    </w:p>
    <w:p w14:paraId="479BC798" w14:textId="77777777" w:rsidR="00D23C17" w:rsidRPr="00E749E0" w:rsidRDefault="00D23C17" w:rsidP="003E3B1D">
      <w:pPr>
        <w:pStyle w:val="ListParagraph"/>
        <w:numPr>
          <w:ilvl w:val="1"/>
          <w:numId w:val="117"/>
        </w:numPr>
      </w:pPr>
      <w:r w:rsidRPr="00E749E0">
        <w:t>If so, does the source chemical/s have a similar mode of action to your chemical?</w:t>
      </w:r>
    </w:p>
    <w:p w14:paraId="3E44FB6B" w14:textId="77777777" w:rsidR="00D23C17" w:rsidRPr="00E749E0" w:rsidRDefault="00D23C17" w:rsidP="003E3B1D">
      <w:pPr>
        <w:pStyle w:val="ListParagraph"/>
        <w:numPr>
          <w:ilvl w:val="0"/>
          <w:numId w:val="117"/>
        </w:numPr>
      </w:pPr>
      <w:r w:rsidRPr="000D0955">
        <w:rPr>
          <w:b/>
          <w:bCs/>
        </w:rPr>
        <w:t>Similar reactivity/stability</w:t>
      </w:r>
    </w:p>
    <w:p w14:paraId="776E129B" w14:textId="77777777" w:rsidR="00D23C17" w:rsidRPr="00E749E0" w:rsidRDefault="00D23C17" w:rsidP="003E3B1D">
      <w:pPr>
        <w:pStyle w:val="ListParagraph"/>
        <w:numPr>
          <w:ilvl w:val="1"/>
          <w:numId w:val="117"/>
        </w:numPr>
      </w:pPr>
      <w:r w:rsidRPr="00E749E0">
        <w:t>Does the source chemical/s have similar reactivity/stability to your chemical?</w:t>
      </w:r>
    </w:p>
    <w:p w14:paraId="54CCC33C" w14:textId="77777777" w:rsidR="00D23C17" w:rsidRPr="00E749E0" w:rsidRDefault="00D23C17" w:rsidP="000D0955">
      <w:r w:rsidRPr="00E749E0">
        <w:t>Not all of these will be relevant for every read-across justification. Regardless, you will still need to consider them all and document even if an area is not relevant.</w:t>
      </w:r>
    </w:p>
    <w:p w14:paraId="4E6AC99C" w14:textId="77777777" w:rsidR="00D23C17" w:rsidRPr="00E749E0" w:rsidRDefault="00D23C17" w:rsidP="000D0955">
      <w:r w:rsidRPr="000F3F66">
        <w:rPr>
          <w:u w:color="436EE4" w:themeColor="text2" w:themeTint="99"/>
        </w:rPr>
        <w:t>UVCB substances</w:t>
      </w:r>
      <w:r w:rsidRPr="00E749E0">
        <w:t xml:space="preserve"> (chemical substances of Unknown or Variable Composition, </w:t>
      </w:r>
      <w:r w:rsidR="00B43FC2">
        <w:t>C</w:t>
      </w:r>
      <w:r w:rsidRPr="00E749E0">
        <w:t>omplex reaction products and Biological materials) may need more justification to account for complexity of the composition and its impacts on the predictions of hazard characteristics.</w:t>
      </w:r>
    </w:p>
    <w:p w14:paraId="71C54654" w14:textId="77777777" w:rsidR="000202D5" w:rsidRDefault="004D2A1C" w:rsidP="000202D5">
      <w:pPr>
        <w:pStyle w:val="Heading2"/>
      </w:pPr>
      <w:bookmarkStart w:id="57" w:name="_Toc43890241"/>
      <w:r>
        <w:t xml:space="preserve">Acceptable </w:t>
      </w:r>
      <w:r w:rsidR="000202D5">
        <w:t>test guidelines</w:t>
      </w:r>
      <w:bookmarkEnd w:id="57"/>
    </w:p>
    <w:p w14:paraId="3827EA7E" w14:textId="77777777" w:rsidR="000202D5" w:rsidRDefault="004D2A1C" w:rsidP="000D0955">
      <w:pPr>
        <w:rPr>
          <w:lang w:eastAsia="en-AU"/>
        </w:rPr>
      </w:pPr>
      <w:r>
        <w:rPr>
          <w:lang w:eastAsia="en-AU"/>
        </w:rPr>
        <w:t xml:space="preserve">The acceptable test guidelines for each hazard characteristic </w:t>
      </w:r>
      <w:r w:rsidR="00C245FE">
        <w:rPr>
          <w:lang w:eastAsia="en-AU"/>
        </w:rPr>
        <w:t xml:space="preserve">and property </w:t>
      </w:r>
      <w:r>
        <w:rPr>
          <w:lang w:eastAsia="en-AU"/>
        </w:rPr>
        <w:t>are set out in the table</w:t>
      </w:r>
      <w:r w:rsidR="00C245FE">
        <w:rPr>
          <w:lang w:eastAsia="en-AU"/>
        </w:rPr>
        <w:t>s</w:t>
      </w:r>
      <w:r>
        <w:rPr>
          <w:lang w:eastAsia="en-AU"/>
        </w:rPr>
        <w:t xml:space="preserve"> below. They include:</w:t>
      </w:r>
    </w:p>
    <w:p w14:paraId="6E5BC5DA" w14:textId="77777777" w:rsidR="004D2A1C" w:rsidRDefault="00F13CDC" w:rsidP="003E3B1D">
      <w:pPr>
        <w:pStyle w:val="ListParagraph"/>
        <w:numPr>
          <w:ilvl w:val="0"/>
          <w:numId w:val="118"/>
        </w:numPr>
        <w:rPr>
          <w:lang w:eastAsia="en-AU"/>
        </w:rPr>
      </w:pPr>
      <w:r>
        <w:rPr>
          <w:lang w:eastAsia="en-AU"/>
        </w:rPr>
        <w:t>c</w:t>
      </w:r>
      <w:r w:rsidR="004D2A1C">
        <w:rPr>
          <w:lang w:eastAsia="en-AU"/>
        </w:rPr>
        <w:t xml:space="preserve">urrent </w:t>
      </w:r>
      <w:r w:rsidR="004D2A1C" w:rsidRPr="004D2A1C">
        <w:rPr>
          <w:lang w:eastAsia="en-AU"/>
        </w:rPr>
        <w:t xml:space="preserve">Organisation for Economic Cooperation and Development </w:t>
      </w:r>
      <w:r w:rsidR="004D2A1C">
        <w:rPr>
          <w:lang w:eastAsia="en-AU"/>
        </w:rPr>
        <w:t>(OECD) test guidelines (and their adopted versions if the version shown in the table below is only a draft version)</w:t>
      </w:r>
    </w:p>
    <w:p w14:paraId="51C2337B" w14:textId="77777777" w:rsidR="004D2A1C" w:rsidRDefault="00F13CDC" w:rsidP="003E3B1D">
      <w:pPr>
        <w:pStyle w:val="ListParagraph"/>
        <w:numPr>
          <w:ilvl w:val="0"/>
          <w:numId w:val="118"/>
        </w:numPr>
        <w:rPr>
          <w:lang w:eastAsia="en-AU"/>
        </w:rPr>
      </w:pPr>
      <w:r>
        <w:rPr>
          <w:lang w:eastAsia="en-AU"/>
        </w:rPr>
        <w:lastRenderedPageBreak/>
        <w:t>d</w:t>
      </w:r>
      <w:r w:rsidR="004D2A1C">
        <w:rPr>
          <w:lang w:eastAsia="en-AU"/>
        </w:rPr>
        <w:t xml:space="preserve">eleted </w:t>
      </w:r>
      <w:r w:rsidR="00E13B75">
        <w:rPr>
          <w:lang w:eastAsia="en-AU"/>
        </w:rPr>
        <w:t xml:space="preserve">and superseded </w:t>
      </w:r>
      <w:r w:rsidR="004D2A1C">
        <w:rPr>
          <w:lang w:eastAsia="en-AU"/>
        </w:rPr>
        <w:t>OECD test guidelines if the study was done before the guideline was deleted</w:t>
      </w:r>
      <w:r w:rsidR="00E13B75">
        <w:rPr>
          <w:lang w:eastAsia="en-AU"/>
        </w:rPr>
        <w:t xml:space="preserve"> or superseded</w:t>
      </w:r>
    </w:p>
    <w:p w14:paraId="223DD61E" w14:textId="77777777" w:rsidR="009C181B" w:rsidRDefault="009C181B" w:rsidP="003E3B1D">
      <w:pPr>
        <w:pStyle w:val="ListParagraph"/>
        <w:numPr>
          <w:ilvl w:val="0"/>
          <w:numId w:val="118"/>
        </w:numPr>
        <w:rPr>
          <w:lang w:eastAsia="en-AU"/>
        </w:rPr>
      </w:pPr>
      <w:r>
        <w:rPr>
          <w:lang w:eastAsia="en-AU"/>
        </w:rPr>
        <w:t>US EPA OPPT (Office of Prevention, Pesticides and Toxic Substances) test guidelines</w:t>
      </w:r>
    </w:p>
    <w:p w14:paraId="394C0DF9" w14:textId="77777777" w:rsidR="004D2A1C" w:rsidRDefault="00DB2B3F" w:rsidP="003E3B1D">
      <w:pPr>
        <w:pStyle w:val="ListParagraph"/>
        <w:numPr>
          <w:ilvl w:val="0"/>
          <w:numId w:val="118"/>
        </w:numPr>
        <w:rPr>
          <w:lang w:eastAsia="en-AU"/>
        </w:rPr>
      </w:pPr>
      <w:r w:rsidRPr="00DB2B3F">
        <w:rPr>
          <w:lang w:eastAsia="en-AU"/>
        </w:rPr>
        <w:t xml:space="preserve">US EPA OCSPP </w:t>
      </w:r>
      <w:r w:rsidR="009C181B">
        <w:rPr>
          <w:lang w:eastAsia="en-AU"/>
        </w:rPr>
        <w:t xml:space="preserve">(Office of Chemical Safety and Pollution Prevention) </w:t>
      </w:r>
      <w:r w:rsidRPr="00DB2B3F">
        <w:rPr>
          <w:lang w:eastAsia="en-AU"/>
        </w:rPr>
        <w:t>Harmonised Test Guidelines</w:t>
      </w:r>
    </w:p>
    <w:p w14:paraId="35C0D177" w14:textId="77777777" w:rsidR="00DB2B3F" w:rsidRDefault="00055E61" w:rsidP="003E3B1D">
      <w:pPr>
        <w:pStyle w:val="ListParagraph"/>
        <w:numPr>
          <w:ilvl w:val="0"/>
          <w:numId w:val="118"/>
        </w:numPr>
        <w:rPr>
          <w:lang w:eastAsia="en-AU"/>
        </w:rPr>
      </w:pPr>
      <w:r>
        <w:rPr>
          <w:lang w:eastAsia="en-AU"/>
        </w:rPr>
        <w:t>t</w:t>
      </w:r>
      <w:r w:rsidR="00DB2B3F">
        <w:rPr>
          <w:lang w:eastAsia="en-AU"/>
        </w:rPr>
        <w:t xml:space="preserve">est methods for EU REACH, set out in </w:t>
      </w:r>
      <w:r w:rsidR="00DB2B3F">
        <w:t>Council Regulation (EC) No 440/2008</w:t>
      </w:r>
      <w:r w:rsidR="000B03B4">
        <w:t xml:space="preserve"> (Test Methods Regulation)</w:t>
      </w:r>
      <w:r w:rsidR="009C181B">
        <w:t>.</w:t>
      </w:r>
    </w:p>
    <w:p w14:paraId="41308B10" w14:textId="77777777" w:rsidR="00B62960" w:rsidRDefault="00B62960" w:rsidP="00B62960">
      <w:pPr>
        <w:pStyle w:val="ListParagraph"/>
        <w:numPr>
          <w:ilvl w:val="0"/>
          <w:numId w:val="0"/>
        </w:numPr>
        <w:ind w:left="720"/>
        <w:rPr>
          <w:lang w:eastAsia="en-AU"/>
        </w:rPr>
      </w:pPr>
    </w:p>
    <w:p w14:paraId="7E53AD90" w14:textId="77777777" w:rsidR="008E33AA" w:rsidRDefault="008E33AA" w:rsidP="000D0955">
      <w:pPr>
        <w:pStyle w:val="Heading3"/>
        <w:ind w:left="709"/>
        <w:rPr>
          <w:lang w:eastAsia="en-AU"/>
        </w:rPr>
      </w:pPr>
      <w:r>
        <w:rPr>
          <w:lang w:eastAsia="en-AU"/>
        </w:rPr>
        <w:t>Acceptable test guidelines for human health hazard characteristics</w:t>
      </w:r>
    </w:p>
    <w:tbl>
      <w:tblPr>
        <w:tblStyle w:val="TableGrid"/>
        <w:tblW w:w="8784" w:type="dxa"/>
        <w:tblLook w:val="04A0" w:firstRow="1" w:lastRow="0" w:firstColumn="1" w:lastColumn="0" w:noHBand="0" w:noVBand="1"/>
        <w:tblCaption w:val="Table of acceptable test guidelines for human health hazard characteristics"/>
      </w:tblPr>
      <w:tblGrid>
        <w:gridCol w:w="2126"/>
        <w:gridCol w:w="1384"/>
        <w:gridCol w:w="5274"/>
      </w:tblGrid>
      <w:tr w:rsidR="00542765" w14:paraId="3A18098F" w14:textId="77777777" w:rsidTr="18BCD895">
        <w:trPr>
          <w:tblHeader/>
        </w:trPr>
        <w:tc>
          <w:tcPr>
            <w:tcW w:w="2126" w:type="dxa"/>
            <w:shd w:val="clear" w:color="auto" w:fill="133286" w:themeFill="text2"/>
          </w:tcPr>
          <w:p w14:paraId="6B367BD3" w14:textId="77777777" w:rsidR="00542765" w:rsidRPr="006F6A3F" w:rsidRDefault="00542765" w:rsidP="00604FCC">
            <w:pPr>
              <w:rPr>
                <w:b/>
                <w:lang w:eastAsia="en-AU"/>
              </w:rPr>
            </w:pPr>
            <w:r w:rsidRPr="006F6A3F">
              <w:rPr>
                <w:b/>
                <w:lang w:eastAsia="en-AU"/>
              </w:rPr>
              <w:t xml:space="preserve">Hazard </w:t>
            </w:r>
            <w:r w:rsidR="00604FCC">
              <w:rPr>
                <w:b/>
                <w:lang w:eastAsia="en-AU"/>
              </w:rPr>
              <w:t xml:space="preserve">tested </w:t>
            </w:r>
          </w:p>
        </w:tc>
        <w:tc>
          <w:tcPr>
            <w:tcW w:w="1384" w:type="dxa"/>
            <w:shd w:val="clear" w:color="auto" w:fill="133286" w:themeFill="text2"/>
          </w:tcPr>
          <w:p w14:paraId="24393A13" w14:textId="77777777" w:rsidR="00542765" w:rsidRPr="006F6A3F" w:rsidRDefault="00542765" w:rsidP="00EE040B">
            <w:pPr>
              <w:rPr>
                <w:b/>
                <w:lang w:eastAsia="en-AU"/>
              </w:rPr>
            </w:pPr>
            <w:r>
              <w:rPr>
                <w:b/>
                <w:lang w:eastAsia="en-AU"/>
              </w:rPr>
              <w:t>OECD t</w:t>
            </w:r>
            <w:r w:rsidRPr="006F6A3F">
              <w:rPr>
                <w:b/>
                <w:lang w:eastAsia="en-AU"/>
              </w:rPr>
              <w:t>est guidelines</w:t>
            </w:r>
          </w:p>
        </w:tc>
        <w:tc>
          <w:tcPr>
            <w:tcW w:w="5274" w:type="dxa"/>
            <w:shd w:val="clear" w:color="auto" w:fill="133286" w:themeFill="text2"/>
          </w:tcPr>
          <w:p w14:paraId="4275BE73" w14:textId="77777777" w:rsidR="00542765" w:rsidRPr="006F6A3F" w:rsidRDefault="00542765" w:rsidP="00EE040B">
            <w:pPr>
              <w:rPr>
                <w:b/>
                <w:lang w:eastAsia="en-AU"/>
              </w:rPr>
            </w:pPr>
            <w:r>
              <w:rPr>
                <w:b/>
                <w:lang w:eastAsia="en-AU"/>
              </w:rPr>
              <w:t>Equivalent test guidelines</w:t>
            </w:r>
          </w:p>
        </w:tc>
      </w:tr>
      <w:tr w:rsidR="008E33AA" w14:paraId="151491D4" w14:textId="77777777" w:rsidTr="18BCD895">
        <w:trPr>
          <w:trHeight w:val="473"/>
        </w:trPr>
        <w:tc>
          <w:tcPr>
            <w:tcW w:w="2126" w:type="dxa"/>
          </w:tcPr>
          <w:p w14:paraId="47338D3D" w14:textId="77777777" w:rsidR="008E33AA" w:rsidRDefault="008E33AA" w:rsidP="008E33AA">
            <w:pPr>
              <w:rPr>
                <w:lang w:eastAsia="en-AU"/>
              </w:rPr>
            </w:pPr>
            <w:r>
              <w:rPr>
                <w:lang w:eastAsia="en-AU"/>
              </w:rPr>
              <w:t>Acute dermal toxicity – in vivo</w:t>
            </w:r>
          </w:p>
        </w:tc>
        <w:tc>
          <w:tcPr>
            <w:tcW w:w="1384" w:type="dxa"/>
          </w:tcPr>
          <w:p w14:paraId="1FBE3248" w14:textId="77777777" w:rsidR="008E33AA" w:rsidRPr="00777765" w:rsidRDefault="008E33AA" w:rsidP="008E33AA">
            <w:r w:rsidRPr="00777765">
              <w:t>402 or draft 434</w:t>
            </w:r>
          </w:p>
        </w:tc>
        <w:tc>
          <w:tcPr>
            <w:tcW w:w="5274" w:type="dxa"/>
          </w:tcPr>
          <w:p w14:paraId="5E9BB4D1" w14:textId="77777777" w:rsidR="008E33AA" w:rsidRPr="00777765" w:rsidRDefault="008E33AA" w:rsidP="008E33AA">
            <w:pPr>
              <w:spacing w:before="160" w:after="120" w:line="360" w:lineRule="atLeast"/>
            </w:pPr>
            <w:r w:rsidRPr="00777765">
              <w:t>EU Annex V test method B.3</w:t>
            </w:r>
          </w:p>
          <w:p w14:paraId="1674ACC4" w14:textId="77777777" w:rsidR="008E33AA" w:rsidRPr="00777765" w:rsidRDefault="008E33AA" w:rsidP="008E33AA">
            <w:pPr>
              <w:spacing w:before="160" w:after="120" w:line="360" w:lineRule="atLeast"/>
            </w:pPr>
            <w:r>
              <w:t xml:space="preserve">OCSPP 870.1200, OPPT 798.110, </w:t>
            </w:r>
            <w:r w:rsidRPr="00777765">
              <w:t>OPP 81-2</w:t>
            </w:r>
          </w:p>
        </w:tc>
      </w:tr>
      <w:tr w:rsidR="008E33AA" w14:paraId="0336E52B" w14:textId="77777777" w:rsidTr="18BCD895">
        <w:trPr>
          <w:trHeight w:val="473"/>
        </w:trPr>
        <w:tc>
          <w:tcPr>
            <w:tcW w:w="2126" w:type="dxa"/>
          </w:tcPr>
          <w:p w14:paraId="512B3573" w14:textId="77777777" w:rsidR="008E33AA" w:rsidRDefault="008E33AA" w:rsidP="008E33AA">
            <w:pPr>
              <w:rPr>
                <w:lang w:eastAsia="en-AU"/>
              </w:rPr>
            </w:pPr>
            <w:r>
              <w:rPr>
                <w:lang w:eastAsia="en-AU"/>
              </w:rPr>
              <w:t>Acute inhalation toxicity – in vivo</w:t>
            </w:r>
          </w:p>
        </w:tc>
        <w:tc>
          <w:tcPr>
            <w:tcW w:w="1384" w:type="dxa"/>
          </w:tcPr>
          <w:p w14:paraId="01AE68E7" w14:textId="77777777" w:rsidR="008E33AA" w:rsidRPr="00777765" w:rsidRDefault="008E33AA" w:rsidP="008E33AA">
            <w:r w:rsidRPr="00777765">
              <w:t>403 or 436 or draft 433</w:t>
            </w:r>
          </w:p>
        </w:tc>
        <w:tc>
          <w:tcPr>
            <w:tcW w:w="5274" w:type="dxa"/>
          </w:tcPr>
          <w:p w14:paraId="1AFB1D84" w14:textId="77777777" w:rsidR="008E33AA" w:rsidRPr="00777765" w:rsidRDefault="008E33AA" w:rsidP="008E33AA">
            <w:pPr>
              <w:spacing w:before="160" w:after="120" w:line="360" w:lineRule="atLeast"/>
            </w:pPr>
            <w:r w:rsidRPr="00777765">
              <w:t>EU Annex V test methods B.2 or B.52</w:t>
            </w:r>
          </w:p>
          <w:p w14:paraId="2EA82241" w14:textId="77777777" w:rsidR="008E33AA" w:rsidRPr="00777765" w:rsidRDefault="008E33AA" w:rsidP="008E33AA">
            <w:pPr>
              <w:spacing w:before="160" w:after="120" w:line="360" w:lineRule="atLeast"/>
            </w:pPr>
            <w:r w:rsidRPr="00777765">
              <w:t>OCSPP 870.1300, OPPT 798.1150</w:t>
            </w:r>
            <w:r>
              <w:t>,</w:t>
            </w:r>
            <w:r w:rsidRPr="00777765">
              <w:t xml:space="preserve"> OPP 81-3</w:t>
            </w:r>
          </w:p>
        </w:tc>
      </w:tr>
      <w:tr w:rsidR="008E33AA" w14:paraId="1CDBF17F" w14:textId="77777777" w:rsidTr="18BCD895">
        <w:trPr>
          <w:trHeight w:val="473"/>
        </w:trPr>
        <w:tc>
          <w:tcPr>
            <w:tcW w:w="2126" w:type="dxa"/>
          </w:tcPr>
          <w:p w14:paraId="6C025605" w14:textId="77777777" w:rsidR="008E33AA" w:rsidRDefault="008E33AA" w:rsidP="008E33AA">
            <w:pPr>
              <w:rPr>
                <w:lang w:eastAsia="en-AU"/>
              </w:rPr>
            </w:pPr>
            <w:r>
              <w:rPr>
                <w:lang w:eastAsia="en-AU"/>
              </w:rPr>
              <w:t>Acute oral toxicity – in vivo</w:t>
            </w:r>
          </w:p>
        </w:tc>
        <w:tc>
          <w:tcPr>
            <w:tcW w:w="1384" w:type="dxa"/>
          </w:tcPr>
          <w:p w14:paraId="30AAEEE3" w14:textId="77777777" w:rsidR="008E33AA" w:rsidRDefault="008E33AA" w:rsidP="008E33AA">
            <w:pPr>
              <w:rPr>
                <w:lang w:eastAsia="en-AU"/>
              </w:rPr>
            </w:pPr>
            <w:r w:rsidRPr="00777765">
              <w:t>420, 423, 425 or deleted 401</w:t>
            </w:r>
          </w:p>
        </w:tc>
        <w:tc>
          <w:tcPr>
            <w:tcW w:w="5274" w:type="dxa"/>
          </w:tcPr>
          <w:p w14:paraId="289B489E" w14:textId="77777777" w:rsidR="008E33AA" w:rsidRPr="00777765" w:rsidRDefault="008E33AA" w:rsidP="008E33AA">
            <w:pPr>
              <w:spacing w:before="160" w:after="120" w:line="360" w:lineRule="atLeast"/>
            </w:pPr>
            <w:r w:rsidRPr="00777765">
              <w:t>EU Annex V test methods B.1, B.1 bis, B.1 tris</w:t>
            </w:r>
          </w:p>
          <w:p w14:paraId="683D9A2E" w14:textId="77777777" w:rsidR="008E33AA" w:rsidRPr="00777765" w:rsidRDefault="008E33AA" w:rsidP="008E33AA">
            <w:pPr>
              <w:spacing w:before="160" w:after="120" w:line="360" w:lineRule="atLeast"/>
            </w:pPr>
            <w:r w:rsidRPr="00777765">
              <w:t>O</w:t>
            </w:r>
            <w:r>
              <w:t xml:space="preserve">CSPP 870.1100, OPPT 798.1175, </w:t>
            </w:r>
            <w:r w:rsidRPr="00777765">
              <w:t>OPP 81-1</w:t>
            </w:r>
          </w:p>
          <w:p w14:paraId="1E50CD2D" w14:textId="77777777" w:rsidR="008E33AA" w:rsidRDefault="008E33AA" w:rsidP="008E33AA">
            <w:pPr>
              <w:spacing w:before="160" w:after="120" w:line="360" w:lineRule="atLeast"/>
            </w:pPr>
          </w:p>
        </w:tc>
      </w:tr>
      <w:tr w:rsidR="008E33AA" w14:paraId="0524C9CE" w14:textId="77777777" w:rsidTr="18BCD895">
        <w:trPr>
          <w:trHeight w:val="473"/>
        </w:trPr>
        <w:tc>
          <w:tcPr>
            <w:tcW w:w="2126" w:type="dxa"/>
          </w:tcPr>
          <w:p w14:paraId="3CCC46D1" w14:textId="77777777" w:rsidR="008E33AA" w:rsidRDefault="008E33AA" w:rsidP="008E33AA">
            <w:pPr>
              <w:rPr>
                <w:lang w:eastAsia="en-AU"/>
              </w:rPr>
            </w:pPr>
            <w:r>
              <w:rPr>
                <w:lang w:eastAsia="en-AU"/>
              </w:rPr>
              <w:t>Acute oral toxicity – in vitro</w:t>
            </w:r>
          </w:p>
        </w:tc>
        <w:tc>
          <w:tcPr>
            <w:tcW w:w="1384" w:type="dxa"/>
          </w:tcPr>
          <w:p w14:paraId="03C583D1" w14:textId="77777777" w:rsidR="008E33AA" w:rsidRDefault="008E33AA" w:rsidP="008E33AA">
            <w:pPr>
              <w:rPr>
                <w:lang w:eastAsia="en-AU"/>
              </w:rPr>
            </w:pPr>
            <w:r>
              <w:t>129</w:t>
            </w:r>
            <w:r w:rsidR="00750530">
              <w:rPr>
                <w:rStyle w:val="FootnoteReference"/>
              </w:rPr>
              <w:footnoteReference w:id="20"/>
            </w:r>
          </w:p>
        </w:tc>
        <w:tc>
          <w:tcPr>
            <w:tcW w:w="5274" w:type="dxa"/>
          </w:tcPr>
          <w:p w14:paraId="4B5E8BC4" w14:textId="77777777" w:rsidR="008E33AA" w:rsidRPr="00777765" w:rsidRDefault="008E33AA" w:rsidP="008E33AA">
            <w:pPr>
              <w:spacing w:before="160" w:after="120" w:line="360" w:lineRule="atLeast"/>
            </w:pPr>
            <w:r>
              <w:t>-</w:t>
            </w:r>
          </w:p>
        </w:tc>
      </w:tr>
      <w:tr w:rsidR="000D0955" w14:paraId="5D352FCB" w14:textId="77777777" w:rsidTr="18BCD895">
        <w:trPr>
          <w:trHeight w:val="473"/>
        </w:trPr>
        <w:tc>
          <w:tcPr>
            <w:tcW w:w="2126" w:type="dxa"/>
            <w:vMerge w:val="restart"/>
          </w:tcPr>
          <w:p w14:paraId="6F5E9104" w14:textId="77777777" w:rsidR="000D0955" w:rsidRDefault="000D0955" w:rsidP="00EE040B">
            <w:pPr>
              <w:rPr>
                <w:lang w:eastAsia="en-AU"/>
              </w:rPr>
            </w:pPr>
            <w:r>
              <w:rPr>
                <w:lang w:eastAsia="en-AU"/>
              </w:rPr>
              <w:t>Carcinogenicity  - in vivo</w:t>
            </w:r>
          </w:p>
        </w:tc>
        <w:tc>
          <w:tcPr>
            <w:tcW w:w="1384" w:type="dxa"/>
          </w:tcPr>
          <w:p w14:paraId="19EE349A" w14:textId="77777777" w:rsidR="000D0955" w:rsidRDefault="000D0955" w:rsidP="00EE040B">
            <w:pPr>
              <w:rPr>
                <w:lang w:eastAsia="en-AU"/>
              </w:rPr>
            </w:pPr>
            <w:r>
              <w:rPr>
                <w:lang w:eastAsia="en-AU"/>
              </w:rPr>
              <w:t>451</w:t>
            </w:r>
          </w:p>
        </w:tc>
        <w:tc>
          <w:tcPr>
            <w:tcW w:w="5274" w:type="dxa"/>
          </w:tcPr>
          <w:p w14:paraId="6264AC05" w14:textId="77777777" w:rsidR="000D0955" w:rsidRPr="00777765" w:rsidRDefault="000D0955" w:rsidP="00542765">
            <w:pPr>
              <w:spacing w:before="160" w:after="120" w:line="360" w:lineRule="atLeast"/>
            </w:pPr>
            <w:r w:rsidRPr="00777765">
              <w:t>EU Annex V test method B.32</w:t>
            </w:r>
          </w:p>
          <w:p w14:paraId="4B281EDF" w14:textId="77777777" w:rsidR="000D0955" w:rsidRDefault="000D0955" w:rsidP="00542765">
            <w:pPr>
              <w:spacing w:before="160" w:after="120" w:line="360" w:lineRule="atLeast"/>
            </w:pPr>
            <w:r w:rsidRPr="00777765">
              <w:t>OCSP</w:t>
            </w:r>
            <w:r>
              <w:t xml:space="preserve">P 870.4200, OPPT 798.3300, </w:t>
            </w:r>
            <w:r w:rsidRPr="00777765">
              <w:t>OPP 83-2</w:t>
            </w:r>
          </w:p>
        </w:tc>
      </w:tr>
      <w:tr w:rsidR="000D0955" w14:paraId="579BB864" w14:textId="77777777" w:rsidTr="18BCD895">
        <w:trPr>
          <w:trHeight w:val="472"/>
        </w:trPr>
        <w:tc>
          <w:tcPr>
            <w:tcW w:w="2126" w:type="dxa"/>
            <w:vMerge/>
          </w:tcPr>
          <w:p w14:paraId="5C777655" w14:textId="77777777" w:rsidR="000D0955" w:rsidRDefault="000D0955" w:rsidP="00EE040B">
            <w:pPr>
              <w:rPr>
                <w:lang w:eastAsia="en-AU"/>
              </w:rPr>
            </w:pPr>
          </w:p>
        </w:tc>
        <w:tc>
          <w:tcPr>
            <w:tcW w:w="1384" w:type="dxa"/>
          </w:tcPr>
          <w:p w14:paraId="6E0370D2" w14:textId="77777777" w:rsidR="000D0955" w:rsidRDefault="000D0955" w:rsidP="00EE040B">
            <w:pPr>
              <w:rPr>
                <w:lang w:eastAsia="en-AU"/>
              </w:rPr>
            </w:pPr>
            <w:r>
              <w:rPr>
                <w:lang w:eastAsia="en-AU"/>
              </w:rPr>
              <w:t>453</w:t>
            </w:r>
          </w:p>
        </w:tc>
        <w:tc>
          <w:tcPr>
            <w:tcW w:w="5274" w:type="dxa"/>
          </w:tcPr>
          <w:p w14:paraId="150C0F3E" w14:textId="77777777" w:rsidR="000D0955" w:rsidRPr="00777765" w:rsidRDefault="000D0955" w:rsidP="00215FFA">
            <w:pPr>
              <w:spacing w:before="160" w:after="120" w:line="360" w:lineRule="atLeast"/>
            </w:pPr>
            <w:r w:rsidRPr="00777765">
              <w:t>EU Annex V test method B.33</w:t>
            </w:r>
          </w:p>
          <w:p w14:paraId="0AB1872E" w14:textId="77777777" w:rsidR="000D0955" w:rsidRDefault="000D0955" w:rsidP="00215FFA">
            <w:pPr>
              <w:rPr>
                <w:lang w:eastAsia="en-AU"/>
              </w:rPr>
            </w:pPr>
            <w:r w:rsidRPr="00777765">
              <w:t xml:space="preserve">OCSPP 870.4300, </w:t>
            </w:r>
            <w:r>
              <w:t xml:space="preserve">OPPT 798.3320, </w:t>
            </w:r>
            <w:r w:rsidRPr="00777765">
              <w:t>OPP 83-5</w:t>
            </w:r>
          </w:p>
        </w:tc>
      </w:tr>
      <w:tr w:rsidR="008E33AA" w14:paraId="467D63A5" w14:textId="77777777" w:rsidTr="18BCD895">
        <w:trPr>
          <w:trHeight w:val="1291"/>
        </w:trPr>
        <w:tc>
          <w:tcPr>
            <w:tcW w:w="2126" w:type="dxa"/>
            <w:vMerge w:val="restart"/>
          </w:tcPr>
          <w:p w14:paraId="0BFDB583" w14:textId="77777777" w:rsidR="008E33AA" w:rsidRDefault="008E33AA" w:rsidP="008E33AA">
            <w:pPr>
              <w:rPr>
                <w:lang w:eastAsia="en-AU"/>
              </w:rPr>
            </w:pPr>
            <w:r>
              <w:rPr>
                <w:lang w:eastAsia="en-AU"/>
              </w:rPr>
              <w:lastRenderedPageBreak/>
              <w:t xml:space="preserve">Chromosomal abnormalities – in vivo </w:t>
            </w:r>
          </w:p>
          <w:p w14:paraId="1F292C9F" w14:textId="77777777" w:rsidR="008E33AA" w:rsidRDefault="008E33AA" w:rsidP="008E33AA">
            <w:pPr>
              <w:rPr>
                <w:lang w:eastAsia="en-AU"/>
              </w:rPr>
            </w:pPr>
          </w:p>
        </w:tc>
        <w:tc>
          <w:tcPr>
            <w:tcW w:w="1384" w:type="dxa"/>
          </w:tcPr>
          <w:p w14:paraId="09A194ED" w14:textId="77777777" w:rsidR="008E33AA" w:rsidRDefault="008E33AA" w:rsidP="008E33AA">
            <w:pPr>
              <w:rPr>
                <w:lang w:eastAsia="en-AU"/>
              </w:rPr>
            </w:pPr>
            <w:r>
              <w:rPr>
                <w:lang w:eastAsia="en-AU"/>
              </w:rPr>
              <w:t>474</w:t>
            </w:r>
          </w:p>
        </w:tc>
        <w:tc>
          <w:tcPr>
            <w:tcW w:w="5274" w:type="dxa"/>
          </w:tcPr>
          <w:p w14:paraId="16DAEE50" w14:textId="77777777" w:rsidR="008E33AA" w:rsidRPr="00777765" w:rsidRDefault="008E33AA" w:rsidP="008E33AA">
            <w:pPr>
              <w:spacing w:before="160" w:after="120" w:line="360" w:lineRule="atLeast"/>
            </w:pPr>
            <w:r w:rsidRPr="00777765">
              <w:t>EU Annex V test method B.12</w:t>
            </w:r>
          </w:p>
          <w:p w14:paraId="67F53EF6" w14:textId="77777777" w:rsidR="008E33AA" w:rsidRPr="00777765" w:rsidRDefault="008E33AA" w:rsidP="008E33AA">
            <w:pPr>
              <w:spacing w:before="160" w:after="120" w:line="360" w:lineRule="atLeast"/>
            </w:pPr>
            <w:r w:rsidRPr="00777765">
              <w:t>OCSPP 870.5395, OPPT 798.5395</w:t>
            </w:r>
            <w:r>
              <w:t>,</w:t>
            </w:r>
            <w:r w:rsidRPr="00777765">
              <w:t xml:space="preserve"> OPP 84-2</w:t>
            </w:r>
          </w:p>
        </w:tc>
      </w:tr>
      <w:tr w:rsidR="008E33AA" w14:paraId="3C329E13" w14:textId="77777777" w:rsidTr="18BCD895">
        <w:trPr>
          <w:trHeight w:val="473"/>
        </w:trPr>
        <w:tc>
          <w:tcPr>
            <w:tcW w:w="2126" w:type="dxa"/>
            <w:vMerge/>
          </w:tcPr>
          <w:p w14:paraId="53648995" w14:textId="77777777" w:rsidR="008E33AA" w:rsidRDefault="008E33AA" w:rsidP="008E33AA">
            <w:pPr>
              <w:rPr>
                <w:lang w:eastAsia="en-AU"/>
              </w:rPr>
            </w:pPr>
          </w:p>
        </w:tc>
        <w:tc>
          <w:tcPr>
            <w:tcW w:w="1384" w:type="dxa"/>
          </w:tcPr>
          <w:p w14:paraId="52FEEE65" w14:textId="77777777" w:rsidR="008E33AA" w:rsidRDefault="008E33AA" w:rsidP="008E33AA">
            <w:pPr>
              <w:rPr>
                <w:lang w:eastAsia="en-AU"/>
              </w:rPr>
            </w:pPr>
            <w:r>
              <w:rPr>
                <w:lang w:eastAsia="en-AU"/>
              </w:rPr>
              <w:t>475</w:t>
            </w:r>
          </w:p>
        </w:tc>
        <w:tc>
          <w:tcPr>
            <w:tcW w:w="5274" w:type="dxa"/>
          </w:tcPr>
          <w:p w14:paraId="190C8DA8" w14:textId="77777777" w:rsidR="008E33AA" w:rsidRPr="00777765" w:rsidRDefault="008E33AA" w:rsidP="008E33AA">
            <w:pPr>
              <w:spacing w:before="160" w:after="120" w:line="360" w:lineRule="atLeast"/>
            </w:pPr>
            <w:r w:rsidRPr="00777765">
              <w:t>EU Annex V test method B.11</w:t>
            </w:r>
          </w:p>
          <w:p w14:paraId="11A32E44" w14:textId="77777777" w:rsidR="008E33AA" w:rsidRDefault="008E33AA" w:rsidP="008E33AA">
            <w:pPr>
              <w:spacing w:before="160" w:after="120" w:line="360" w:lineRule="atLeast"/>
            </w:pPr>
            <w:r w:rsidRPr="00777765">
              <w:t>OCSPP 870.5385, OPPT 798.5385</w:t>
            </w:r>
            <w:r>
              <w:t>,</w:t>
            </w:r>
            <w:r w:rsidRPr="00777765">
              <w:t xml:space="preserve"> OPP 84-2</w:t>
            </w:r>
          </w:p>
        </w:tc>
      </w:tr>
      <w:tr w:rsidR="008E33AA" w14:paraId="63377BD2" w14:textId="77777777" w:rsidTr="18BCD895">
        <w:trPr>
          <w:trHeight w:val="1461"/>
        </w:trPr>
        <w:tc>
          <w:tcPr>
            <w:tcW w:w="2126" w:type="dxa"/>
            <w:vMerge w:val="restart"/>
          </w:tcPr>
          <w:p w14:paraId="7CE721A8" w14:textId="77777777" w:rsidR="008E33AA" w:rsidRDefault="008E33AA" w:rsidP="008E33AA">
            <w:pPr>
              <w:rPr>
                <w:lang w:eastAsia="en-AU"/>
              </w:rPr>
            </w:pPr>
            <w:r>
              <w:rPr>
                <w:lang w:eastAsia="en-AU"/>
              </w:rPr>
              <w:t>Chromosomal abnormalities – in vitro</w:t>
            </w:r>
          </w:p>
          <w:p w14:paraId="4A03134E" w14:textId="77777777" w:rsidR="008E33AA" w:rsidRDefault="008E33AA" w:rsidP="008E33AA">
            <w:pPr>
              <w:rPr>
                <w:lang w:eastAsia="en-AU"/>
              </w:rPr>
            </w:pPr>
          </w:p>
          <w:p w14:paraId="7308791D" w14:textId="77777777" w:rsidR="008E33AA" w:rsidRDefault="008E33AA" w:rsidP="008E33AA">
            <w:pPr>
              <w:rPr>
                <w:lang w:eastAsia="en-AU"/>
              </w:rPr>
            </w:pPr>
          </w:p>
          <w:p w14:paraId="271B4F50" w14:textId="77777777" w:rsidR="008E33AA" w:rsidRDefault="008E33AA" w:rsidP="008E33AA">
            <w:pPr>
              <w:rPr>
                <w:lang w:eastAsia="en-AU"/>
              </w:rPr>
            </w:pPr>
          </w:p>
        </w:tc>
        <w:tc>
          <w:tcPr>
            <w:tcW w:w="1384" w:type="dxa"/>
          </w:tcPr>
          <w:p w14:paraId="5DBE7A9D" w14:textId="77777777" w:rsidR="008E33AA" w:rsidRDefault="008E33AA" w:rsidP="008E33AA">
            <w:pPr>
              <w:rPr>
                <w:lang w:eastAsia="en-AU"/>
              </w:rPr>
            </w:pPr>
            <w:r>
              <w:rPr>
                <w:lang w:eastAsia="en-AU"/>
              </w:rPr>
              <w:t>473</w:t>
            </w:r>
          </w:p>
        </w:tc>
        <w:tc>
          <w:tcPr>
            <w:tcW w:w="5274" w:type="dxa"/>
          </w:tcPr>
          <w:p w14:paraId="6F72CEF8" w14:textId="77777777" w:rsidR="008E33AA" w:rsidRPr="00777765" w:rsidRDefault="008E33AA" w:rsidP="008E33AA">
            <w:pPr>
              <w:spacing w:before="160" w:after="120" w:line="360" w:lineRule="atLeast"/>
            </w:pPr>
            <w:r w:rsidRPr="00777765">
              <w:t>EU Annex V test method B.10</w:t>
            </w:r>
          </w:p>
          <w:p w14:paraId="227AFC8D" w14:textId="77777777" w:rsidR="008E33AA" w:rsidRDefault="008E33AA" w:rsidP="008E33AA">
            <w:pPr>
              <w:spacing w:before="160" w:after="120" w:line="360" w:lineRule="atLeast"/>
            </w:pPr>
            <w:r w:rsidRPr="00777765">
              <w:t>O</w:t>
            </w:r>
            <w:r>
              <w:t>CSPP 870.5375, OPPT 798.5375, OPP 84-2</w:t>
            </w:r>
          </w:p>
        </w:tc>
      </w:tr>
      <w:tr w:rsidR="008E33AA" w14:paraId="7FC2D168" w14:textId="77777777" w:rsidTr="18BCD895">
        <w:trPr>
          <w:trHeight w:val="473"/>
        </w:trPr>
        <w:tc>
          <w:tcPr>
            <w:tcW w:w="2126" w:type="dxa"/>
            <w:vMerge/>
          </w:tcPr>
          <w:p w14:paraId="629615E2" w14:textId="77777777" w:rsidR="008E33AA" w:rsidRDefault="008E33AA" w:rsidP="008E33AA">
            <w:pPr>
              <w:rPr>
                <w:lang w:eastAsia="en-AU"/>
              </w:rPr>
            </w:pPr>
          </w:p>
        </w:tc>
        <w:tc>
          <w:tcPr>
            <w:tcW w:w="1384" w:type="dxa"/>
          </w:tcPr>
          <w:p w14:paraId="32D25CD7" w14:textId="77777777" w:rsidR="008E33AA" w:rsidRDefault="008E33AA" w:rsidP="008E33AA">
            <w:pPr>
              <w:rPr>
                <w:lang w:eastAsia="en-AU"/>
              </w:rPr>
            </w:pPr>
            <w:r>
              <w:rPr>
                <w:lang w:eastAsia="en-AU"/>
              </w:rPr>
              <w:t>487</w:t>
            </w:r>
          </w:p>
        </w:tc>
        <w:tc>
          <w:tcPr>
            <w:tcW w:w="5274" w:type="dxa"/>
          </w:tcPr>
          <w:p w14:paraId="4B40607F" w14:textId="77777777" w:rsidR="008E33AA" w:rsidRDefault="008E33AA" w:rsidP="008E33AA">
            <w:pPr>
              <w:spacing w:before="160" w:after="120" w:line="360" w:lineRule="atLeast"/>
            </w:pPr>
            <w:r w:rsidRPr="00777765">
              <w:t>EU Annex V test method B.49</w:t>
            </w:r>
          </w:p>
        </w:tc>
      </w:tr>
      <w:tr w:rsidR="008E33AA" w14:paraId="4C106FAF" w14:textId="77777777" w:rsidTr="18BCD895">
        <w:trPr>
          <w:trHeight w:val="473"/>
        </w:trPr>
        <w:tc>
          <w:tcPr>
            <w:tcW w:w="2126" w:type="dxa"/>
            <w:vMerge/>
          </w:tcPr>
          <w:p w14:paraId="6FE88AD9" w14:textId="77777777" w:rsidR="008E33AA" w:rsidRDefault="008E33AA" w:rsidP="008E33AA">
            <w:pPr>
              <w:rPr>
                <w:lang w:eastAsia="en-AU"/>
              </w:rPr>
            </w:pPr>
          </w:p>
        </w:tc>
        <w:tc>
          <w:tcPr>
            <w:tcW w:w="1384" w:type="dxa"/>
          </w:tcPr>
          <w:p w14:paraId="4723A1A4" w14:textId="77777777" w:rsidR="008E33AA" w:rsidRDefault="008E33AA" w:rsidP="008E33AA">
            <w:pPr>
              <w:rPr>
                <w:lang w:eastAsia="en-AU"/>
              </w:rPr>
            </w:pPr>
            <w:r>
              <w:rPr>
                <w:lang w:eastAsia="en-AU"/>
              </w:rPr>
              <w:t>490</w:t>
            </w:r>
          </w:p>
        </w:tc>
        <w:tc>
          <w:tcPr>
            <w:tcW w:w="5274" w:type="dxa"/>
          </w:tcPr>
          <w:p w14:paraId="3CFCDF54" w14:textId="77777777" w:rsidR="008E33AA" w:rsidRDefault="008E33AA" w:rsidP="008E33AA">
            <w:pPr>
              <w:spacing w:before="160" w:after="120" w:line="360" w:lineRule="atLeast"/>
            </w:pPr>
            <w:r>
              <w:t>-</w:t>
            </w:r>
          </w:p>
        </w:tc>
      </w:tr>
      <w:tr w:rsidR="000D0955" w14:paraId="0497A5B6" w14:textId="77777777" w:rsidTr="18BCD895">
        <w:trPr>
          <w:trHeight w:val="473"/>
        </w:trPr>
        <w:tc>
          <w:tcPr>
            <w:tcW w:w="2126" w:type="dxa"/>
            <w:vMerge w:val="restart"/>
          </w:tcPr>
          <w:p w14:paraId="2D996212" w14:textId="77777777" w:rsidR="000D0955" w:rsidRDefault="000D0955" w:rsidP="00EE040B">
            <w:pPr>
              <w:rPr>
                <w:lang w:eastAsia="en-AU"/>
              </w:rPr>
            </w:pPr>
            <w:r>
              <w:rPr>
                <w:lang w:eastAsia="en-AU"/>
              </w:rPr>
              <w:t>Chronic toxicity – in vivo</w:t>
            </w:r>
          </w:p>
        </w:tc>
        <w:tc>
          <w:tcPr>
            <w:tcW w:w="1384" w:type="dxa"/>
          </w:tcPr>
          <w:p w14:paraId="705409AE" w14:textId="77777777" w:rsidR="000D0955" w:rsidRDefault="000D0955" w:rsidP="00585C14">
            <w:pPr>
              <w:rPr>
                <w:lang w:eastAsia="en-AU"/>
              </w:rPr>
            </w:pPr>
            <w:r>
              <w:rPr>
                <w:lang w:eastAsia="en-AU"/>
              </w:rPr>
              <w:t>452</w:t>
            </w:r>
          </w:p>
        </w:tc>
        <w:tc>
          <w:tcPr>
            <w:tcW w:w="5274" w:type="dxa"/>
          </w:tcPr>
          <w:p w14:paraId="63043A71" w14:textId="77777777" w:rsidR="000D0955" w:rsidRPr="00777765" w:rsidRDefault="000D0955" w:rsidP="00585C14">
            <w:pPr>
              <w:spacing w:before="160" w:after="120" w:line="360" w:lineRule="atLeast"/>
            </w:pPr>
            <w:r w:rsidRPr="00777765">
              <w:t>EU Annex V test method B.30</w:t>
            </w:r>
          </w:p>
          <w:p w14:paraId="3442DFFC" w14:textId="77777777" w:rsidR="000D0955" w:rsidRPr="00777765" w:rsidRDefault="000D0955" w:rsidP="00585C14">
            <w:pPr>
              <w:spacing w:before="160" w:after="120" w:line="360" w:lineRule="atLeast"/>
            </w:pPr>
            <w:r w:rsidRPr="00777765">
              <w:t>OCSPP 870.4100, OPPT 798.3260</w:t>
            </w:r>
            <w:r>
              <w:t>,</w:t>
            </w:r>
            <w:r w:rsidRPr="00777765">
              <w:t xml:space="preserve"> OPP 83-1</w:t>
            </w:r>
          </w:p>
        </w:tc>
      </w:tr>
      <w:tr w:rsidR="000D0955" w14:paraId="2B226CE2" w14:textId="77777777" w:rsidTr="18BCD895">
        <w:trPr>
          <w:trHeight w:val="472"/>
        </w:trPr>
        <w:tc>
          <w:tcPr>
            <w:tcW w:w="2126" w:type="dxa"/>
            <w:vMerge/>
          </w:tcPr>
          <w:p w14:paraId="48BCDE74" w14:textId="77777777" w:rsidR="000D0955" w:rsidRDefault="000D0955" w:rsidP="00EE040B">
            <w:pPr>
              <w:rPr>
                <w:lang w:eastAsia="en-AU"/>
              </w:rPr>
            </w:pPr>
          </w:p>
        </w:tc>
        <w:tc>
          <w:tcPr>
            <w:tcW w:w="1384" w:type="dxa"/>
          </w:tcPr>
          <w:p w14:paraId="10AEEFD8" w14:textId="77777777" w:rsidR="000D0955" w:rsidRDefault="000D0955" w:rsidP="00EE040B">
            <w:pPr>
              <w:rPr>
                <w:lang w:eastAsia="en-AU"/>
              </w:rPr>
            </w:pPr>
            <w:r>
              <w:rPr>
                <w:lang w:eastAsia="en-AU"/>
              </w:rPr>
              <w:t>453</w:t>
            </w:r>
          </w:p>
        </w:tc>
        <w:tc>
          <w:tcPr>
            <w:tcW w:w="5274" w:type="dxa"/>
          </w:tcPr>
          <w:p w14:paraId="2233F3EF" w14:textId="77777777" w:rsidR="000D0955" w:rsidRPr="00777765" w:rsidRDefault="000D0955" w:rsidP="00215FFA">
            <w:pPr>
              <w:spacing w:before="160" w:after="120" w:line="360" w:lineRule="atLeast"/>
            </w:pPr>
            <w:r w:rsidRPr="00777765">
              <w:t>EU Annex V test method B.33</w:t>
            </w:r>
          </w:p>
          <w:p w14:paraId="3E21CFB9" w14:textId="77777777" w:rsidR="000D0955" w:rsidRDefault="000D0955" w:rsidP="00215FFA">
            <w:r w:rsidRPr="00777765">
              <w:t xml:space="preserve">OCSPP 870.4300, </w:t>
            </w:r>
            <w:r>
              <w:t xml:space="preserve">OPPT 798.3320, </w:t>
            </w:r>
            <w:r w:rsidRPr="00777765">
              <w:t>OPP 83-5</w:t>
            </w:r>
          </w:p>
          <w:p w14:paraId="322AB304" w14:textId="77777777" w:rsidR="000D0955" w:rsidRDefault="000D0955" w:rsidP="00215FFA"/>
        </w:tc>
      </w:tr>
      <w:tr w:rsidR="007272BE" w14:paraId="23028DED" w14:textId="77777777" w:rsidTr="18BCD895">
        <w:trPr>
          <w:trHeight w:val="220"/>
        </w:trPr>
        <w:tc>
          <w:tcPr>
            <w:tcW w:w="2126" w:type="dxa"/>
            <w:vMerge w:val="restart"/>
          </w:tcPr>
          <w:p w14:paraId="62B7D811" w14:textId="77777777" w:rsidR="007272BE" w:rsidRDefault="007272BE" w:rsidP="003328B2">
            <w:pPr>
              <w:rPr>
                <w:lang w:eastAsia="en-AU"/>
              </w:rPr>
            </w:pPr>
            <w:r>
              <w:rPr>
                <w:lang w:eastAsia="en-AU"/>
              </w:rPr>
              <w:t>Developmental toxicity – in vivo</w:t>
            </w:r>
          </w:p>
          <w:p w14:paraId="41E8E655" w14:textId="77777777" w:rsidR="007272BE" w:rsidRDefault="007272BE" w:rsidP="00EE040B">
            <w:pPr>
              <w:rPr>
                <w:lang w:eastAsia="en-AU"/>
              </w:rPr>
            </w:pPr>
          </w:p>
        </w:tc>
        <w:tc>
          <w:tcPr>
            <w:tcW w:w="1384" w:type="dxa"/>
          </w:tcPr>
          <w:p w14:paraId="1ED922C6" w14:textId="77777777" w:rsidR="007272BE" w:rsidRDefault="007272BE" w:rsidP="00EE040B">
            <w:pPr>
              <w:rPr>
                <w:lang w:eastAsia="en-AU"/>
              </w:rPr>
            </w:pPr>
            <w:r>
              <w:rPr>
                <w:lang w:eastAsia="en-AU"/>
              </w:rPr>
              <w:t>414</w:t>
            </w:r>
          </w:p>
        </w:tc>
        <w:tc>
          <w:tcPr>
            <w:tcW w:w="5274" w:type="dxa"/>
          </w:tcPr>
          <w:p w14:paraId="0B17BBE2" w14:textId="77777777" w:rsidR="007272BE" w:rsidRPr="00777765" w:rsidRDefault="007272BE" w:rsidP="003328B2">
            <w:pPr>
              <w:spacing w:before="160" w:after="120" w:line="360" w:lineRule="atLeast"/>
            </w:pPr>
            <w:r w:rsidRPr="00777765">
              <w:t>EU Annex V test method B.31</w:t>
            </w:r>
          </w:p>
          <w:p w14:paraId="288F7830" w14:textId="77777777" w:rsidR="007272BE" w:rsidRPr="00777765" w:rsidRDefault="007272BE" w:rsidP="00EE040B">
            <w:r w:rsidRPr="00777765">
              <w:t>O</w:t>
            </w:r>
            <w:r>
              <w:t>CSPP 870.</w:t>
            </w:r>
            <w:r w:rsidRPr="00777765">
              <w:t>3700</w:t>
            </w:r>
            <w:r>
              <w:t>, OPPT 798.</w:t>
            </w:r>
            <w:r w:rsidRPr="00777765">
              <w:t>4900 or</w:t>
            </w:r>
            <w:r>
              <w:t xml:space="preserve"> </w:t>
            </w:r>
            <w:r w:rsidRPr="00777765">
              <w:t>OPP 83-3</w:t>
            </w:r>
          </w:p>
        </w:tc>
      </w:tr>
      <w:tr w:rsidR="007272BE" w14:paraId="187D6880" w14:textId="77777777" w:rsidTr="18BCD895">
        <w:trPr>
          <w:trHeight w:val="220"/>
        </w:trPr>
        <w:tc>
          <w:tcPr>
            <w:tcW w:w="2126" w:type="dxa"/>
            <w:vMerge/>
          </w:tcPr>
          <w:p w14:paraId="340B7153" w14:textId="77777777" w:rsidR="007272BE" w:rsidRDefault="007272BE" w:rsidP="00EE040B">
            <w:pPr>
              <w:rPr>
                <w:lang w:eastAsia="en-AU"/>
              </w:rPr>
            </w:pPr>
          </w:p>
        </w:tc>
        <w:tc>
          <w:tcPr>
            <w:tcW w:w="1384" w:type="dxa"/>
          </w:tcPr>
          <w:p w14:paraId="360747C8" w14:textId="77777777" w:rsidR="007272BE" w:rsidRPr="00777765" w:rsidRDefault="007272BE" w:rsidP="00EE040B">
            <w:r>
              <w:rPr>
                <w:lang w:eastAsia="en-AU"/>
              </w:rPr>
              <w:t>426</w:t>
            </w:r>
          </w:p>
        </w:tc>
        <w:tc>
          <w:tcPr>
            <w:tcW w:w="5274" w:type="dxa"/>
          </w:tcPr>
          <w:p w14:paraId="50599A33" w14:textId="77777777" w:rsidR="007272BE" w:rsidRPr="00777765" w:rsidRDefault="007272BE" w:rsidP="00F83816">
            <w:pPr>
              <w:spacing w:before="160" w:after="120" w:line="360" w:lineRule="atLeast"/>
            </w:pPr>
            <w:r>
              <w:t>OCSPP 870.6300, OPP 83-6</w:t>
            </w:r>
          </w:p>
        </w:tc>
      </w:tr>
      <w:tr w:rsidR="007272BE" w14:paraId="69BA87B1" w14:textId="77777777" w:rsidTr="18BCD895">
        <w:trPr>
          <w:trHeight w:val="220"/>
        </w:trPr>
        <w:tc>
          <w:tcPr>
            <w:tcW w:w="2126" w:type="dxa"/>
            <w:vMerge/>
          </w:tcPr>
          <w:p w14:paraId="1E1EC567" w14:textId="77777777" w:rsidR="007272BE" w:rsidRDefault="007272BE" w:rsidP="007272BE">
            <w:pPr>
              <w:rPr>
                <w:lang w:eastAsia="en-AU"/>
              </w:rPr>
            </w:pPr>
          </w:p>
        </w:tc>
        <w:tc>
          <w:tcPr>
            <w:tcW w:w="1384" w:type="dxa"/>
          </w:tcPr>
          <w:p w14:paraId="1D87BE29" w14:textId="77777777" w:rsidR="007272BE" w:rsidRDefault="0ADD7D30" w:rsidP="007272BE">
            <w:pPr>
              <w:rPr>
                <w:lang w:eastAsia="en-AU"/>
              </w:rPr>
            </w:pPr>
            <w:r>
              <w:rPr>
                <w:lang w:eastAsia="en-AU"/>
              </w:rPr>
              <w:t>422</w:t>
            </w:r>
            <w:r w:rsidR="007272BE">
              <w:rPr>
                <w:rStyle w:val="FootnoteReference"/>
                <w:lang w:eastAsia="en-AU"/>
              </w:rPr>
              <w:footnoteReference w:id="21"/>
            </w:r>
          </w:p>
        </w:tc>
        <w:tc>
          <w:tcPr>
            <w:tcW w:w="5274" w:type="dxa"/>
          </w:tcPr>
          <w:p w14:paraId="7B96F824" w14:textId="77777777" w:rsidR="007272BE" w:rsidRDefault="007272BE" w:rsidP="007272BE">
            <w:pPr>
              <w:spacing w:before="160" w:after="120" w:line="360" w:lineRule="atLeast"/>
            </w:pPr>
            <w:r w:rsidRPr="00777765">
              <w:t>OCSPP 870.3650</w:t>
            </w:r>
            <w:r w:rsidRPr="007272BE">
              <w:rPr>
                <w:vertAlign w:val="superscript"/>
              </w:rPr>
              <w:t>10</w:t>
            </w:r>
          </w:p>
        </w:tc>
      </w:tr>
      <w:tr w:rsidR="007272BE" w14:paraId="76921114" w14:textId="77777777" w:rsidTr="18BCD895">
        <w:trPr>
          <w:trHeight w:val="220"/>
        </w:trPr>
        <w:tc>
          <w:tcPr>
            <w:tcW w:w="2126" w:type="dxa"/>
            <w:vMerge w:val="restart"/>
          </w:tcPr>
          <w:p w14:paraId="33F49301" w14:textId="77777777" w:rsidR="007272BE" w:rsidRDefault="007272BE" w:rsidP="007272BE">
            <w:pPr>
              <w:rPr>
                <w:lang w:eastAsia="en-AU"/>
              </w:rPr>
            </w:pPr>
            <w:r>
              <w:rPr>
                <w:lang w:eastAsia="en-AU"/>
              </w:rPr>
              <w:t>Eye damage – in vitro</w:t>
            </w:r>
          </w:p>
          <w:p w14:paraId="48B850F3" w14:textId="77777777" w:rsidR="007272BE" w:rsidRDefault="007272BE" w:rsidP="007272BE">
            <w:pPr>
              <w:rPr>
                <w:lang w:eastAsia="en-AU"/>
              </w:rPr>
            </w:pPr>
          </w:p>
          <w:p w14:paraId="62064DF8" w14:textId="77777777" w:rsidR="007272BE" w:rsidRDefault="007272BE" w:rsidP="007272BE">
            <w:pPr>
              <w:rPr>
                <w:lang w:eastAsia="en-AU"/>
              </w:rPr>
            </w:pPr>
          </w:p>
        </w:tc>
        <w:tc>
          <w:tcPr>
            <w:tcW w:w="1384" w:type="dxa"/>
          </w:tcPr>
          <w:p w14:paraId="26EA1F2D" w14:textId="77777777" w:rsidR="007272BE" w:rsidRDefault="007272BE" w:rsidP="007272BE">
            <w:pPr>
              <w:rPr>
                <w:lang w:eastAsia="en-AU"/>
              </w:rPr>
            </w:pPr>
            <w:r>
              <w:rPr>
                <w:lang w:eastAsia="en-AU"/>
              </w:rPr>
              <w:t>437</w:t>
            </w:r>
          </w:p>
        </w:tc>
        <w:tc>
          <w:tcPr>
            <w:tcW w:w="5274" w:type="dxa"/>
          </w:tcPr>
          <w:p w14:paraId="7EBAD364" w14:textId="77777777" w:rsidR="007272BE" w:rsidRPr="00777765" w:rsidRDefault="007272BE" w:rsidP="007272BE">
            <w:pPr>
              <w:spacing w:before="160" w:after="120" w:line="360" w:lineRule="atLeast"/>
            </w:pPr>
            <w:r w:rsidRPr="00777765">
              <w:t>EU Annex V test method B.47</w:t>
            </w:r>
          </w:p>
          <w:p w14:paraId="604C9F8F" w14:textId="77777777" w:rsidR="007272BE" w:rsidRDefault="007272BE" w:rsidP="007272BE">
            <w:pPr>
              <w:spacing w:before="160" w:after="120" w:line="360" w:lineRule="atLeast"/>
            </w:pPr>
            <w:r w:rsidRPr="00777765">
              <w:lastRenderedPageBreak/>
              <w:t>EURL ECVAM DB-ALM protocols No. 98 and 124</w:t>
            </w:r>
          </w:p>
        </w:tc>
      </w:tr>
      <w:tr w:rsidR="007272BE" w14:paraId="49F49E4D" w14:textId="77777777" w:rsidTr="18BCD895">
        <w:trPr>
          <w:trHeight w:val="220"/>
        </w:trPr>
        <w:tc>
          <w:tcPr>
            <w:tcW w:w="2126" w:type="dxa"/>
            <w:vMerge/>
          </w:tcPr>
          <w:p w14:paraId="5CA62E31" w14:textId="77777777" w:rsidR="007272BE" w:rsidRDefault="007272BE" w:rsidP="007272BE">
            <w:pPr>
              <w:rPr>
                <w:lang w:eastAsia="en-AU"/>
              </w:rPr>
            </w:pPr>
          </w:p>
        </w:tc>
        <w:tc>
          <w:tcPr>
            <w:tcW w:w="1384" w:type="dxa"/>
          </w:tcPr>
          <w:p w14:paraId="6E46E670" w14:textId="77777777" w:rsidR="007272BE" w:rsidRDefault="007272BE" w:rsidP="007272BE">
            <w:pPr>
              <w:rPr>
                <w:lang w:eastAsia="en-AU"/>
              </w:rPr>
            </w:pPr>
            <w:r>
              <w:rPr>
                <w:lang w:eastAsia="en-AU"/>
              </w:rPr>
              <w:t>438</w:t>
            </w:r>
          </w:p>
        </w:tc>
        <w:tc>
          <w:tcPr>
            <w:tcW w:w="5274" w:type="dxa"/>
          </w:tcPr>
          <w:p w14:paraId="31035252" w14:textId="77777777" w:rsidR="007272BE" w:rsidRPr="00777765" w:rsidRDefault="007272BE" w:rsidP="007272BE">
            <w:pPr>
              <w:spacing w:before="160" w:after="120" w:line="360" w:lineRule="atLeast"/>
            </w:pPr>
            <w:r w:rsidRPr="00777765">
              <w:t>EU Annex V test method B.48</w:t>
            </w:r>
          </w:p>
          <w:p w14:paraId="6779E289" w14:textId="77777777" w:rsidR="007272BE" w:rsidRDefault="007272BE" w:rsidP="007272BE">
            <w:pPr>
              <w:spacing w:before="160" w:after="120" w:line="360" w:lineRule="atLeast"/>
            </w:pPr>
            <w:r w:rsidRPr="00777765">
              <w:t>EURL ECVAM DB-ALM protocol No. 80</w:t>
            </w:r>
          </w:p>
        </w:tc>
      </w:tr>
      <w:tr w:rsidR="007272BE" w14:paraId="3D0E80E7" w14:textId="77777777" w:rsidTr="18BCD895">
        <w:trPr>
          <w:trHeight w:val="220"/>
        </w:trPr>
        <w:tc>
          <w:tcPr>
            <w:tcW w:w="2126" w:type="dxa"/>
            <w:vMerge/>
          </w:tcPr>
          <w:p w14:paraId="4869C577" w14:textId="77777777" w:rsidR="007272BE" w:rsidRDefault="007272BE" w:rsidP="007272BE">
            <w:pPr>
              <w:rPr>
                <w:lang w:eastAsia="en-AU"/>
              </w:rPr>
            </w:pPr>
          </w:p>
        </w:tc>
        <w:tc>
          <w:tcPr>
            <w:tcW w:w="1384" w:type="dxa"/>
          </w:tcPr>
          <w:p w14:paraId="1CC949BD" w14:textId="77777777" w:rsidR="007272BE" w:rsidRDefault="007272BE" w:rsidP="007272BE">
            <w:pPr>
              <w:rPr>
                <w:lang w:eastAsia="en-AU"/>
              </w:rPr>
            </w:pPr>
            <w:r>
              <w:rPr>
                <w:lang w:eastAsia="en-AU"/>
              </w:rPr>
              <w:t>460</w:t>
            </w:r>
          </w:p>
        </w:tc>
        <w:tc>
          <w:tcPr>
            <w:tcW w:w="5274" w:type="dxa"/>
          </w:tcPr>
          <w:p w14:paraId="711E9386" w14:textId="77777777" w:rsidR="007272BE" w:rsidRDefault="007272BE" w:rsidP="007272BE">
            <w:pPr>
              <w:spacing w:before="160" w:after="120" w:line="360" w:lineRule="atLeast"/>
            </w:pPr>
            <w:r w:rsidRPr="00777765">
              <w:t>EURL ECVAM DB-ALM protocol No. 71</w:t>
            </w:r>
          </w:p>
        </w:tc>
      </w:tr>
      <w:tr w:rsidR="007272BE" w14:paraId="2CF61E14" w14:textId="77777777" w:rsidTr="18BCD895">
        <w:trPr>
          <w:trHeight w:val="220"/>
        </w:trPr>
        <w:tc>
          <w:tcPr>
            <w:tcW w:w="2126" w:type="dxa"/>
            <w:vMerge/>
          </w:tcPr>
          <w:p w14:paraId="7073F641" w14:textId="77777777" w:rsidR="007272BE" w:rsidRDefault="007272BE" w:rsidP="007272BE">
            <w:pPr>
              <w:rPr>
                <w:lang w:eastAsia="en-AU"/>
              </w:rPr>
            </w:pPr>
          </w:p>
        </w:tc>
        <w:tc>
          <w:tcPr>
            <w:tcW w:w="1384" w:type="dxa"/>
          </w:tcPr>
          <w:p w14:paraId="2BBB21BD" w14:textId="77777777" w:rsidR="007272BE" w:rsidRDefault="007272BE" w:rsidP="007272BE">
            <w:pPr>
              <w:rPr>
                <w:lang w:eastAsia="en-AU"/>
              </w:rPr>
            </w:pPr>
            <w:r>
              <w:rPr>
                <w:lang w:eastAsia="en-AU"/>
              </w:rPr>
              <w:t>491</w:t>
            </w:r>
          </w:p>
        </w:tc>
        <w:tc>
          <w:tcPr>
            <w:tcW w:w="5274" w:type="dxa"/>
          </w:tcPr>
          <w:p w14:paraId="450A0888" w14:textId="77777777" w:rsidR="007272BE" w:rsidRDefault="007272BE" w:rsidP="007272BE">
            <w:pPr>
              <w:spacing w:before="160" w:after="120" w:line="360" w:lineRule="atLeast"/>
            </w:pPr>
            <w:r>
              <w:t>-</w:t>
            </w:r>
          </w:p>
        </w:tc>
      </w:tr>
      <w:tr w:rsidR="007272BE" w14:paraId="037B61AD" w14:textId="77777777" w:rsidTr="18BCD895">
        <w:trPr>
          <w:trHeight w:val="220"/>
        </w:trPr>
        <w:tc>
          <w:tcPr>
            <w:tcW w:w="2126" w:type="dxa"/>
            <w:vMerge/>
          </w:tcPr>
          <w:p w14:paraId="78ECA27B" w14:textId="77777777" w:rsidR="007272BE" w:rsidRDefault="007272BE" w:rsidP="007272BE">
            <w:pPr>
              <w:rPr>
                <w:lang w:eastAsia="en-AU"/>
              </w:rPr>
            </w:pPr>
          </w:p>
        </w:tc>
        <w:tc>
          <w:tcPr>
            <w:tcW w:w="1384" w:type="dxa"/>
          </w:tcPr>
          <w:p w14:paraId="292231E2" w14:textId="77777777" w:rsidR="007272BE" w:rsidRDefault="007272BE" w:rsidP="007272BE">
            <w:pPr>
              <w:rPr>
                <w:lang w:eastAsia="en-AU"/>
              </w:rPr>
            </w:pPr>
            <w:r>
              <w:rPr>
                <w:lang w:eastAsia="en-AU"/>
              </w:rPr>
              <w:t>494</w:t>
            </w:r>
          </w:p>
        </w:tc>
        <w:tc>
          <w:tcPr>
            <w:tcW w:w="5274" w:type="dxa"/>
          </w:tcPr>
          <w:p w14:paraId="1FE085D8" w14:textId="77777777" w:rsidR="007272BE" w:rsidRDefault="007272BE" w:rsidP="007272BE">
            <w:pPr>
              <w:spacing w:before="160" w:after="120" w:line="360" w:lineRule="atLeast"/>
            </w:pPr>
            <w:r>
              <w:t>-</w:t>
            </w:r>
          </w:p>
        </w:tc>
      </w:tr>
      <w:tr w:rsidR="007272BE" w14:paraId="337126FF" w14:textId="77777777" w:rsidTr="18BCD895">
        <w:trPr>
          <w:trHeight w:val="220"/>
        </w:trPr>
        <w:tc>
          <w:tcPr>
            <w:tcW w:w="2126" w:type="dxa"/>
          </w:tcPr>
          <w:p w14:paraId="2F5ED1C9" w14:textId="77777777" w:rsidR="007272BE" w:rsidRDefault="007272BE" w:rsidP="007272BE">
            <w:pPr>
              <w:rPr>
                <w:lang w:eastAsia="en-AU"/>
              </w:rPr>
            </w:pPr>
            <w:r>
              <w:rPr>
                <w:lang w:eastAsia="en-AU"/>
              </w:rPr>
              <w:t xml:space="preserve">Eye irritation – in vitro </w:t>
            </w:r>
          </w:p>
        </w:tc>
        <w:tc>
          <w:tcPr>
            <w:tcW w:w="1384" w:type="dxa"/>
          </w:tcPr>
          <w:p w14:paraId="63A2DEBD" w14:textId="77777777" w:rsidR="007272BE" w:rsidRDefault="007272BE" w:rsidP="007272BE">
            <w:pPr>
              <w:rPr>
                <w:lang w:eastAsia="en-AU"/>
              </w:rPr>
            </w:pPr>
            <w:r>
              <w:rPr>
                <w:lang w:eastAsia="en-AU"/>
              </w:rPr>
              <w:t>492</w:t>
            </w:r>
          </w:p>
        </w:tc>
        <w:tc>
          <w:tcPr>
            <w:tcW w:w="5274" w:type="dxa"/>
          </w:tcPr>
          <w:p w14:paraId="7A47E6E0" w14:textId="77777777" w:rsidR="007272BE" w:rsidRPr="00777765" w:rsidRDefault="007272BE" w:rsidP="007272BE">
            <w:pPr>
              <w:spacing w:before="160" w:after="120" w:line="360" w:lineRule="atLeast"/>
            </w:pPr>
            <w:r>
              <w:t>-</w:t>
            </w:r>
          </w:p>
        </w:tc>
      </w:tr>
      <w:tr w:rsidR="007272BE" w14:paraId="27AC6F7F" w14:textId="77777777" w:rsidTr="18BCD895">
        <w:trPr>
          <w:trHeight w:val="220"/>
        </w:trPr>
        <w:tc>
          <w:tcPr>
            <w:tcW w:w="2126" w:type="dxa"/>
          </w:tcPr>
          <w:p w14:paraId="16F1D5C9" w14:textId="77777777" w:rsidR="007272BE" w:rsidRDefault="007272BE" w:rsidP="007272BE">
            <w:pPr>
              <w:rPr>
                <w:lang w:eastAsia="en-AU"/>
              </w:rPr>
            </w:pPr>
            <w:r>
              <w:rPr>
                <w:lang w:eastAsia="en-AU"/>
              </w:rPr>
              <w:t>Eye irritation – in vivo</w:t>
            </w:r>
          </w:p>
        </w:tc>
        <w:tc>
          <w:tcPr>
            <w:tcW w:w="1384" w:type="dxa"/>
          </w:tcPr>
          <w:p w14:paraId="56A34EFE" w14:textId="77777777" w:rsidR="007272BE" w:rsidRDefault="007272BE" w:rsidP="007272BE">
            <w:pPr>
              <w:rPr>
                <w:lang w:eastAsia="en-AU"/>
              </w:rPr>
            </w:pPr>
            <w:r>
              <w:rPr>
                <w:lang w:eastAsia="en-AU"/>
              </w:rPr>
              <w:t>405</w:t>
            </w:r>
          </w:p>
        </w:tc>
        <w:tc>
          <w:tcPr>
            <w:tcW w:w="5274" w:type="dxa"/>
          </w:tcPr>
          <w:p w14:paraId="521A5158" w14:textId="77777777" w:rsidR="007272BE" w:rsidRPr="00777765" w:rsidRDefault="007272BE" w:rsidP="007272BE">
            <w:pPr>
              <w:spacing w:before="160" w:after="120" w:line="360" w:lineRule="atLeast"/>
            </w:pPr>
            <w:r w:rsidRPr="00777765">
              <w:t>EU Annex V test methods B.5</w:t>
            </w:r>
          </w:p>
          <w:p w14:paraId="56AF8C76" w14:textId="77777777" w:rsidR="007272BE" w:rsidRDefault="007272BE" w:rsidP="007272BE">
            <w:pPr>
              <w:spacing w:before="160" w:after="120" w:line="360" w:lineRule="atLeast"/>
            </w:pPr>
            <w:r w:rsidRPr="00777765">
              <w:t>OCSPP 870.2400, OPPT 798.4500 or OPP 81-4</w:t>
            </w:r>
          </w:p>
        </w:tc>
      </w:tr>
      <w:tr w:rsidR="007272BE" w14:paraId="04307E9B" w14:textId="77777777" w:rsidTr="18BCD895">
        <w:trPr>
          <w:trHeight w:val="220"/>
        </w:trPr>
        <w:tc>
          <w:tcPr>
            <w:tcW w:w="2126" w:type="dxa"/>
            <w:vMerge w:val="restart"/>
          </w:tcPr>
          <w:p w14:paraId="1D3E32CE" w14:textId="77777777" w:rsidR="007272BE" w:rsidRDefault="007272BE" w:rsidP="00AF226A">
            <w:pPr>
              <w:rPr>
                <w:lang w:eastAsia="en-AU"/>
              </w:rPr>
            </w:pPr>
            <w:r>
              <w:rPr>
                <w:lang w:eastAsia="en-AU"/>
              </w:rPr>
              <w:t>Gene mutation – in vivo</w:t>
            </w:r>
            <w:r w:rsidR="00AF226A">
              <w:rPr>
                <w:lang w:eastAsia="en-AU"/>
              </w:rPr>
              <w:t xml:space="preserve"> </w:t>
            </w:r>
          </w:p>
        </w:tc>
        <w:tc>
          <w:tcPr>
            <w:tcW w:w="1384" w:type="dxa"/>
          </w:tcPr>
          <w:p w14:paraId="762FD03D" w14:textId="77777777" w:rsidR="007272BE" w:rsidRDefault="007272BE" w:rsidP="007272BE">
            <w:pPr>
              <w:rPr>
                <w:lang w:eastAsia="en-AU"/>
              </w:rPr>
            </w:pPr>
            <w:r>
              <w:rPr>
                <w:lang w:eastAsia="en-AU"/>
              </w:rPr>
              <w:t>486</w:t>
            </w:r>
          </w:p>
        </w:tc>
        <w:tc>
          <w:tcPr>
            <w:tcW w:w="5274" w:type="dxa"/>
          </w:tcPr>
          <w:p w14:paraId="2354B856" w14:textId="77777777" w:rsidR="007272BE" w:rsidRPr="00777765" w:rsidRDefault="007272BE" w:rsidP="007272BE">
            <w:pPr>
              <w:spacing w:before="160" w:after="120" w:line="360" w:lineRule="atLeast"/>
            </w:pPr>
            <w:r>
              <w:t xml:space="preserve">EU </w:t>
            </w:r>
            <w:r w:rsidRPr="00777765">
              <w:t>Annex V test method B.39</w:t>
            </w:r>
          </w:p>
        </w:tc>
      </w:tr>
      <w:tr w:rsidR="007272BE" w14:paraId="789D1524" w14:textId="77777777" w:rsidTr="18BCD895">
        <w:trPr>
          <w:trHeight w:val="220"/>
        </w:trPr>
        <w:tc>
          <w:tcPr>
            <w:tcW w:w="2126" w:type="dxa"/>
            <w:vMerge/>
          </w:tcPr>
          <w:p w14:paraId="5375BF19" w14:textId="77777777" w:rsidR="007272BE" w:rsidRDefault="007272BE" w:rsidP="007272BE">
            <w:pPr>
              <w:rPr>
                <w:lang w:eastAsia="en-AU"/>
              </w:rPr>
            </w:pPr>
          </w:p>
        </w:tc>
        <w:tc>
          <w:tcPr>
            <w:tcW w:w="1384" w:type="dxa"/>
          </w:tcPr>
          <w:p w14:paraId="67310429" w14:textId="77777777" w:rsidR="007272BE" w:rsidRDefault="007272BE" w:rsidP="007272BE">
            <w:pPr>
              <w:rPr>
                <w:lang w:eastAsia="en-AU"/>
              </w:rPr>
            </w:pPr>
            <w:r>
              <w:rPr>
                <w:lang w:eastAsia="en-AU"/>
              </w:rPr>
              <w:t>488</w:t>
            </w:r>
          </w:p>
        </w:tc>
        <w:tc>
          <w:tcPr>
            <w:tcW w:w="5274" w:type="dxa"/>
          </w:tcPr>
          <w:p w14:paraId="5E79902E" w14:textId="77777777" w:rsidR="007272BE" w:rsidRDefault="007272BE" w:rsidP="007272BE">
            <w:pPr>
              <w:spacing w:before="160" w:after="120" w:line="360" w:lineRule="atLeast"/>
            </w:pPr>
            <w:r w:rsidRPr="00777765">
              <w:t>EU Annex V test method B.58</w:t>
            </w:r>
          </w:p>
        </w:tc>
      </w:tr>
      <w:tr w:rsidR="007272BE" w14:paraId="5859FC75" w14:textId="77777777" w:rsidTr="18BCD895">
        <w:trPr>
          <w:trHeight w:val="220"/>
        </w:trPr>
        <w:tc>
          <w:tcPr>
            <w:tcW w:w="2126" w:type="dxa"/>
            <w:vMerge/>
          </w:tcPr>
          <w:p w14:paraId="3D40FD84" w14:textId="77777777" w:rsidR="007272BE" w:rsidRDefault="007272BE" w:rsidP="007272BE">
            <w:pPr>
              <w:rPr>
                <w:lang w:eastAsia="en-AU"/>
              </w:rPr>
            </w:pPr>
          </w:p>
        </w:tc>
        <w:tc>
          <w:tcPr>
            <w:tcW w:w="1384" w:type="dxa"/>
          </w:tcPr>
          <w:p w14:paraId="014A791D" w14:textId="77777777" w:rsidR="007272BE" w:rsidRDefault="007272BE" w:rsidP="007272BE">
            <w:pPr>
              <w:rPr>
                <w:lang w:eastAsia="en-AU"/>
              </w:rPr>
            </w:pPr>
            <w:r>
              <w:rPr>
                <w:lang w:eastAsia="en-AU"/>
              </w:rPr>
              <w:t>489</w:t>
            </w:r>
          </w:p>
        </w:tc>
        <w:tc>
          <w:tcPr>
            <w:tcW w:w="5274" w:type="dxa"/>
          </w:tcPr>
          <w:p w14:paraId="2114FDF1" w14:textId="77777777" w:rsidR="007272BE" w:rsidRDefault="007272BE" w:rsidP="007272BE">
            <w:pPr>
              <w:spacing w:before="160" w:after="120" w:line="360" w:lineRule="atLeast"/>
            </w:pPr>
            <w:r>
              <w:t>-</w:t>
            </w:r>
          </w:p>
          <w:p w14:paraId="3D5EC711" w14:textId="77777777" w:rsidR="007272BE" w:rsidRDefault="007272BE" w:rsidP="007272BE">
            <w:pPr>
              <w:spacing w:before="160" w:after="120" w:line="360" w:lineRule="atLeast"/>
            </w:pPr>
          </w:p>
          <w:p w14:paraId="7807A536" w14:textId="77777777" w:rsidR="007272BE" w:rsidRDefault="007272BE" w:rsidP="007272BE">
            <w:pPr>
              <w:spacing w:before="160" w:after="120" w:line="360" w:lineRule="atLeast"/>
            </w:pPr>
          </w:p>
        </w:tc>
      </w:tr>
      <w:tr w:rsidR="007272BE" w14:paraId="1D4F3129" w14:textId="77777777" w:rsidTr="18BCD895">
        <w:trPr>
          <w:trHeight w:val="220"/>
        </w:trPr>
        <w:tc>
          <w:tcPr>
            <w:tcW w:w="2126" w:type="dxa"/>
            <w:vMerge w:val="restart"/>
          </w:tcPr>
          <w:p w14:paraId="0F36E774" w14:textId="77777777" w:rsidR="007272BE" w:rsidRDefault="007272BE" w:rsidP="007272BE">
            <w:pPr>
              <w:rPr>
                <w:lang w:eastAsia="en-AU"/>
              </w:rPr>
            </w:pPr>
            <w:r>
              <w:rPr>
                <w:lang w:eastAsia="en-AU"/>
              </w:rPr>
              <w:t>Gene mutation – in vitro</w:t>
            </w:r>
          </w:p>
          <w:p w14:paraId="485A038A" w14:textId="77777777" w:rsidR="007272BE" w:rsidRDefault="007272BE" w:rsidP="007272BE">
            <w:pPr>
              <w:rPr>
                <w:lang w:eastAsia="en-AU"/>
              </w:rPr>
            </w:pPr>
          </w:p>
        </w:tc>
        <w:tc>
          <w:tcPr>
            <w:tcW w:w="1384" w:type="dxa"/>
          </w:tcPr>
          <w:p w14:paraId="40469A07" w14:textId="77777777" w:rsidR="007272BE" w:rsidRDefault="007272BE" w:rsidP="007272BE">
            <w:pPr>
              <w:rPr>
                <w:lang w:eastAsia="en-AU"/>
              </w:rPr>
            </w:pPr>
            <w:r>
              <w:rPr>
                <w:lang w:eastAsia="en-AU"/>
              </w:rPr>
              <w:t>471</w:t>
            </w:r>
          </w:p>
        </w:tc>
        <w:tc>
          <w:tcPr>
            <w:tcW w:w="5274" w:type="dxa"/>
          </w:tcPr>
          <w:p w14:paraId="6F8FD0A9" w14:textId="77777777" w:rsidR="007272BE" w:rsidRPr="00777765" w:rsidRDefault="007272BE" w:rsidP="007272BE">
            <w:pPr>
              <w:spacing w:before="160" w:after="120" w:line="360" w:lineRule="atLeast"/>
            </w:pPr>
            <w:r w:rsidRPr="00777765">
              <w:t>EU Annex V test methods B.13 and B.14</w:t>
            </w:r>
          </w:p>
          <w:p w14:paraId="7B44E697" w14:textId="77777777" w:rsidR="007272BE" w:rsidRDefault="007272BE" w:rsidP="007272BE">
            <w:pPr>
              <w:spacing w:before="160" w:after="120" w:line="360" w:lineRule="atLeast"/>
            </w:pPr>
            <w:r w:rsidRPr="00777765">
              <w:t>OCSPP 870.5100, OPPT 798.5100, OPPT 798.5265</w:t>
            </w:r>
            <w:r>
              <w:t>,</w:t>
            </w:r>
            <w:r w:rsidRPr="00777765">
              <w:t xml:space="preserve"> OPP 84-2</w:t>
            </w:r>
          </w:p>
        </w:tc>
      </w:tr>
      <w:tr w:rsidR="007272BE" w14:paraId="66AE2AF0" w14:textId="77777777" w:rsidTr="18BCD895">
        <w:trPr>
          <w:trHeight w:val="220"/>
        </w:trPr>
        <w:tc>
          <w:tcPr>
            <w:tcW w:w="2126" w:type="dxa"/>
            <w:vMerge/>
          </w:tcPr>
          <w:p w14:paraId="021DA094" w14:textId="77777777" w:rsidR="007272BE" w:rsidRDefault="007272BE" w:rsidP="007272BE">
            <w:pPr>
              <w:rPr>
                <w:lang w:eastAsia="en-AU"/>
              </w:rPr>
            </w:pPr>
          </w:p>
        </w:tc>
        <w:tc>
          <w:tcPr>
            <w:tcW w:w="1384" w:type="dxa"/>
          </w:tcPr>
          <w:p w14:paraId="45A60776" w14:textId="77777777" w:rsidR="007272BE" w:rsidRDefault="007272BE" w:rsidP="007272BE">
            <w:pPr>
              <w:rPr>
                <w:lang w:eastAsia="en-AU"/>
              </w:rPr>
            </w:pPr>
            <w:r>
              <w:rPr>
                <w:lang w:eastAsia="en-AU"/>
              </w:rPr>
              <w:t>476</w:t>
            </w:r>
          </w:p>
        </w:tc>
        <w:tc>
          <w:tcPr>
            <w:tcW w:w="5274" w:type="dxa"/>
          </w:tcPr>
          <w:p w14:paraId="0D790E78" w14:textId="77777777" w:rsidR="007272BE" w:rsidRPr="00777765" w:rsidRDefault="007272BE" w:rsidP="007272BE">
            <w:pPr>
              <w:spacing w:before="160" w:after="120" w:line="360" w:lineRule="atLeast"/>
            </w:pPr>
            <w:r w:rsidRPr="00777765">
              <w:t>EU Annex V test method B.17</w:t>
            </w:r>
          </w:p>
          <w:p w14:paraId="782CB87A" w14:textId="77777777" w:rsidR="007272BE" w:rsidRDefault="007272BE" w:rsidP="007272BE">
            <w:pPr>
              <w:spacing w:before="160" w:after="120" w:line="360" w:lineRule="atLeast"/>
            </w:pPr>
            <w:r>
              <w:t>OCSPP 870.5300, OPPT 798.5300,</w:t>
            </w:r>
            <w:r w:rsidRPr="00777765">
              <w:t xml:space="preserve"> OPP 84-2</w:t>
            </w:r>
          </w:p>
        </w:tc>
      </w:tr>
      <w:tr w:rsidR="007272BE" w14:paraId="3FEFF09D" w14:textId="77777777" w:rsidTr="18BCD895">
        <w:trPr>
          <w:trHeight w:val="220"/>
        </w:trPr>
        <w:tc>
          <w:tcPr>
            <w:tcW w:w="2126" w:type="dxa"/>
            <w:vMerge w:val="restart"/>
          </w:tcPr>
          <w:p w14:paraId="42B21486" w14:textId="77777777" w:rsidR="007272BE" w:rsidRDefault="007272BE" w:rsidP="007272BE">
            <w:pPr>
              <w:rPr>
                <w:lang w:eastAsia="en-AU"/>
              </w:rPr>
            </w:pPr>
            <w:r>
              <w:rPr>
                <w:lang w:eastAsia="en-AU"/>
              </w:rPr>
              <w:t xml:space="preserve">Heritable germ cell mutagenicity – in vivo </w:t>
            </w:r>
          </w:p>
          <w:p w14:paraId="44CA42A1" w14:textId="77777777" w:rsidR="007272BE" w:rsidRDefault="007272BE" w:rsidP="007272BE">
            <w:pPr>
              <w:rPr>
                <w:lang w:eastAsia="en-AU"/>
              </w:rPr>
            </w:pPr>
          </w:p>
        </w:tc>
        <w:tc>
          <w:tcPr>
            <w:tcW w:w="1384" w:type="dxa"/>
          </w:tcPr>
          <w:p w14:paraId="1E6AEE30" w14:textId="77777777" w:rsidR="007272BE" w:rsidRDefault="007272BE" w:rsidP="007272BE">
            <w:pPr>
              <w:rPr>
                <w:lang w:eastAsia="en-AU"/>
              </w:rPr>
            </w:pPr>
            <w:r>
              <w:rPr>
                <w:lang w:eastAsia="en-AU"/>
              </w:rPr>
              <w:t>478</w:t>
            </w:r>
          </w:p>
        </w:tc>
        <w:tc>
          <w:tcPr>
            <w:tcW w:w="5274" w:type="dxa"/>
          </w:tcPr>
          <w:p w14:paraId="074056CC" w14:textId="77777777" w:rsidR="007272BE" w:rsidRDefault="007272BE" w:rsidP="007272BE">
            <w:pPr>
              <w:spacing w:before="160" w:after="120" w:line="360" w:lineRule="atLeast"/>
            </w:pPr>
            <w:r w:rsidRPr="00777765">
              <w:t>EU Annex V test metho</w:t>
            </w:r>
            <w:r>
              <w:t>d B.22</w:t>
            </w:r>
          </w:p>
          <w:p w14:paraId="4A4E7BCB" w14:textId="77777777" w:rsidR="007272BE" w:rsidRDefault="007272BE" w:rsidP="007272BE">
            <w:pPr>
              <w:spacing w:before="160" w:after="120" w:line="360" w:lineRule="atLeast"/>
            </w:pPr>
            <w:r>
              <w:t>OPPT 798.5450, 870.5450</w:t>
            </w:r>
          </w:p>
        </w:tc>
      </w:tr>
      <w:tr w:rsidR="007272BE" w14:paraId="1CE7B1FC" w14:textId="77777777" w:rsidTr="18BCD895">
        <w:trPr>
          <w:trHeight w:val="220"/>
        </w:trPr>
        <w:tc>
          <w:tcPr>
            <w:tcW w:w="2126" w:type="dxa"/>
            <w:vMerge/>
          </w:tcPr>
          <w:p w14:paraId="72EE9704" w14:textId="77777777" w:rsidR="007272BE" w:rsidRDefault="007272BE" w:rsidP="007272BE">
            <w:pPr>
              <w:rPr>
                <w:lang w:eastAsia="en-AU"/>
              </w:rPr>
            </w:pPr>
          </w:p>
        </w:tc>
        <w:tc>
          <w:tcPr>
            <w:tcW w:w="1384" w:type="dxa"/>
          </w:tcPr>
          <w:p w14:paraId="46246871" w14:textId="77777777" w:rsidR="007272BE" w:rsidRDefault="007272BE" w:rsidP="007272BE">
            <w:pPr>
              <w:rPr>
                <w:lang w:eastAsia="en-AU"/>
              </w:rPr>
            </w:pPr>
            <w:r>
              <w:rPr>
                <w:lang w:eastAsia="en-AU"/>
              </w:rPr>
              <w:t>485</w:t>
            </w:r>
          </w:p>
        </w:tc>
        <w:tc>
          <w:tcPr>
            <w:tcW w:w="5274" w:type="dxa"/>
          </w:tcPr>
          <w:p w14:paraId="7DC797C8" w14:textId="77777777" w:rsidR="007272BE" w:rsidRDefault="007272BE" w:rsidP="007272BE">
            <w:pPr>
              <w:spacing w:before="160" w:after="120" w:line="360" w:lineRule="atLeast"/>
            </w:pPr>
            <w:r w:rsidRPr="00777765">
              <w:t>EU Annex V test metho</w:t>
            </w:r>
            <w:r>
              <w:t>d B.25</w:t>
            </w:r>
          </w:p>
          <w:p w14:paraId="6D16C099" w14:textId="77777777" w:rsidR="007272BE" w:rsidRDefault="007272BE" w:rsidP="007272BE">
            <w:pPr>
              <w:spacing w:before="160" w:after="120" w:line="360" w:lineRule="atLeast"/>
            </w:pPr>
            <w:r>
              <w:t>OPPT 798.5460, 870.5460</w:t>
            </w:r>
          </w:p>
        </w:tc>
      </w:tr>
      <w:tr w:rsidR="007272BE" w14:paraId="5C863B67" w14:textId="77777777" w:rsidTr="18BCD895">
        <w:trPr>
          <w:trHeight w:val="220"/>
        </w:trPr>
        <w:tc>
          <w:tcPr>
            <w:tcW w:w="2126" w:type="dxa"/>
            <w:vMerge w:val="restart"/>
          </w:tcPr>
          <w:p w14:paraId="7FA3C285" w14:textId="77777777" w:rsidR="007272BE" w:rsidRDefault="007272BE" w:rsidP="007272BE">
            <w:pPr>
              <w:rPr>
                <w:lang w:eastAsia="en-AU"/>
              </w:rPr>
            </w:pPr>
            <w:r>
              <w:rPr>
                <w:lang w:eastAsia="en-AU"/>
              </w:rPr>
              <w:t>Reproductive toxicity – in vivo</w:t>
            </w:r>
          </w:p>
        </w:tc>
        <w:tc>
          <w:tcPr>
            <w:tcW w:w="1384" w:type="dxa"/>
          </w:tcPr>
          <w:p w14:paraId="486A6E70" w14:textId="77777777" w:rsidR="007272BE" w:rsidRDefault="007272BE" w:rsidP="007272BE">
            <w:r>
              <w:rPr>
                <w:lang w:eastAsia="en-AU"/>
              </w:rPr>
              <w:t>421</w:t>
            </w:r>
          </w:p>
        </w:tc>
        <w:tc>
          <w:tcPr>
            <w:tcW w:w="5274" w:type="dxa"/>
          </w:tcPr>
          <w:p w14:paraId="361B9DEC" w14:textId="77777777" w:rsidR="007272BE" w:rsidRDefault="007272BE" w:rsidP="007272BE">
            <w:pPr>
              <w:spacing w:before="160" w:after="120" w:line="360" w:lineRule="atLeast"/>
            </w:pPr>
            <w:r w:rsidRPr="00777765">
              <w:t>OCSPP 870.3550</w:t>
            </w:r>
          </w:p>
        </w:tc>
      </w:tr>
      <w:tr w:rsidR="007272BE" w14:paraId="08701F54" w14:textId="77777777" w:rsidTr="18BCD895">
        <w:trPr>
          <w:trHeight w:val="220"/>
        </w:trPr>
        <w:tc>
          <w:tcPr>
            <w:tcW w:w="2126" w:type="dxa"/>
            <w:vMerge/>
          </w:tcPr>
          <w:p w14:paraId="24A1C200" w14:textId="77777777" w:rsidR="007272BE" w:rsidRDefault="007272BE" w:rsidP="007272BE">
            <w:pPr>
              <w:rPr>
                <w:lang w:eastAsia="en-AU"/>
              </w:rPr>
            </w:pPr>
          </w:p>
        </w:tc>
        <w:tc>
          <w:tcPr>
            <w:tcW w:w="1384" w:type="dxa"/>
          </w:tcPr>
          <w:p w14:paraId="6C9C3CD5" w14:textId="77777777" w:rsidR="007272BE" w:rsidRDefault="0ADD7D30" w:rsidP="007272BE">
            <w:r>
              <w:rPr>
                <w:lang w:eastAsia="en-AU"/>
              </w:rPr>
              <w:t>422</w:t>
            </w:r>
            <w:r w:rsidR="007272BE">
              <w:rPr>
                <w:rStyle w:val="FootnoteReference"/>
                <w:lang w:eastAsia="en-AU"/>
              </w:rPr>
              <w:footnoteReference w:id="22"/>
            </w:r>
          </w:p>
        </w:tc>
        <w:tc>
          <w:tcPr>
            <w:tcW w:w="5274" w:type="dxa"/>
          </w:tcPr>
          <w:p w14:paraId="40D6B87B" w14:textId="77777777" w:rsidR="007272BE" w:rsidRDefault="007272BE" w:rsidP="007272BE">
            <w:pPr>
              <w:spacing w:before="160" w:after="120" w:line="360" w:lineRule="atLeast"/>
            </w:pPr>
            <w:r w:rsidRPr="00777765">
              <w:t>OCSPP 870.3650</w:t>
            </w:r>
            <w:r w:rsidRPr="007272BE">
              <w:rPr>
                <w:vertAlign w:val="superscript"/>
              </w:rPr>
              <w:t>11</w:t>
            </w:r>
          </w:p>
        </w:tc>
      </w:tr>
      <w:tr w:rsidR="007272BE" w14:paraId="1AA75032" w14:textId="77777777" w:rsidTr="18BCD895">
        <w:trPr>
          <w:trHeight w:val="220"/>
        </w:trPr>
        <w:tc>
          <w:tcPr>
            <w:tcW w:w="2126" w:type="dxa"/>
            <w:vMerge/>
          </w:tcPr>
          <w:p w14:paraId="506E886C" w14:textId="77777777" w:rsidR="007272BE" w:rsidRDefault="007272BE" w:rsidP="007272BE">
            <w:pPr>
              <w:rPr>
                <w:lang w:eastAsia="en-AU"/>
              </w:rPr>
            </w:pPr>
          </w:p>
        </w:tc>
        <w:tc>
          <w:tcPr>
            <w:tcW w:w="1384" w:type="dxa"/>
          </w:tcPr>
          <w:p w14:paraId="3B7465D6" w14:textId="77777777" w:rsidR="007272BE" w:rsidRDefault="007272BE" w:rsidP="007272BE">
            <w:r>
              <w:rPr>
                <w:lang w:eastAsia="en-AU"/>
              </w:rPr>
              <w:t>443</w:t>
            </w:r>
          </w:p>
        </w:tc>
        <w:tc>
          <w:tcPr>
            <w:tcW w:w="5274" w:type="dxa"/>
          </w:tcPr>
          <w:p w14:paraId="7B738AF8" w14:textId="77777777" w:rsidR="007272BE" w:rsidRDefault="007272BE" w:rsidP="007272BE">
            <w:pPr>
              <w:spacing w:before="160" w:after="120" w:line="360" w:lineRule="atLeast"/>
            </w:pPr>
            <w:r w:rsidRPr="00777765">
              <w:t>EU Annex V test method B.56</w:t>
            </w:r>
          </w:p>
        </w:tc>
      </w:tr>
      <w:tr w:rsidR="007272BE" w14:paraId="5E143C22" w14:textId="77777777" w:rsidTr="18BCD895">
        <w:trPr>
          <w:trHeight w:val="220"/>
        </w:trPr>
        <w:tc>
          <w:tcPr>
            <w:tcW w:w="2126" w:type="dxa"/>
            <w:vMerge/>
          </w:tcPr>
          <w:p w14:paraId="1FBC4AA2" w14:textId="77777777" w:rsidR="007272BE" w:rsidRDefault="007272BE" w:rsidP="007272BE">
            <w:pPr>
              <w:rPr>
                <w:lang w:eastAsia="en-AU"/>
              </w:rPr>
            </w:pPr>
          </w:p>
        </w:tc>
        <w:tc>
          <w:tcPr>
            <w:tcW w:w="1384" w:type="dxa"/>
          </w:tcPr>
          <w:p w14:paraId="1587F2BC" w14:textId="77777777" w:rsidR="007272BE" w:rsidRDefault="007272BE" w:rsidP="007272BE">
            <w:r>
              <w:rPr>
                <w:lang w:eastAsia="en-AU"/>
              </w:rPr>
              <w:t>415</w:t>
            </w:r>
          </w:p>
        </w:tc>
        <w:tc>
          <w:tcPr>
            <w:tcW w:w="5274" w:type="dxa"/>
          </w:tcPr>
          <w:p w14:paraId="1B77CD86" w14:textId="77777777" w:rsidR="007272BE" w:rsidRDefault="007272BE" w:rsidP="007272BE">
            <w:pPr>
              <w:spacing w:before="160" w:after="120" w:line="360" w:lineRule="atLeast"/>
            </w:pPr>
            <w:r>
              <w:t>EU Annex V test method B.34</w:t>
            </w:r>
          </w:p>
        </w:tc>
      </w:tr>
      <w:tr w:rsidR="007272BE" w14:paraId="5462244E" w14:textId="77777777" w:rsidTr="18BCD895">
        <w:trPr>
          <w:trHeight w:val="220"/>
        </w:trPr>
        <w:tc>
          <w:tcPr>
            <w:tcW w:w="2126" w:type="dxa"/>
            <w:vMerge/>
          </w:tcPr>
          <w:p w14:paraId="4953D5DE" w14:textId="77777777" w:rsidR="007272BE" w:rsidRDefault="007272BE" w:rsidP="007272BE">
            <w:pPr>
              <w:rPr>
                <w:lang w:eastAsia="en-AU"/>
              </w:rPr>
            </w:pPr>
          </w:p>
        </w:tc>
        <w:tc>
          <w:tcPr>
            <w:tcW w:w="1384" w:type="dxa"/>
          </w:tcPr>
          <w:p w14:paraId="3040869B" w14:textId="77777777" w:rsidR="007272BE" w:rsidRDefault="007272BE" w:rsidP="007272BE">
            <w:r>
              <w:rPr>
                <w:lang w:eastAsia="en-AU"/>
              </w:rPr>
              <w:t>416</w:t>
            </w:r>
          </w:p>
        </w:tc>
        <w:tc>
          <w:tcPr>
            <w:tcW w:w="5274" w:type="dxa"/>
          </w:tcPr>
          <w:p w14:paraId="3678C3CC" w14:textId="77777777" w:rsidR="007272BE" w:rsidRPr="00777765" w:rsidRDefault="007272BE" w:rsidP="007272BE">
            <w:pPr>
              <w:spacing w:before="160" w:after="120" w:line="360" w:lineRule="atLeast"/>
            </w:pPr>
            <w:r w:rsidRPr="00777765">
              <w:t>EU Annex V test method B.35</w:t>
            </w:r>
          </w:p>
          <w:p w14:paraId="51FC3AA1" w14:textId="77777777" w:rsidR="007272BE" w:rsidRPr="00777765" w:rsidRDefault="007272BE" w:rsidP="007272BE">
            <w:pPr>
              <w:spacing w:before="160" w:after="120" w:line="360" w:lineRule="atLeast"/>
            </w:pPr>
            <w:r w:rsidRPr="00777765">
              <w:t>OCSPP 870.3800, OPPT 798.4700 or OPP 83-4</w:t>
            </w:r>
          </w:p>
        </w:tc>
      </w:tr>
      <w:tr w:rsidR="007272BE" w14:paraId="796143B0" w14:textId="77777777" w:rsidTr="18BCD895">
        <w:trPr>
          <w:trHeight w:val="220"/>
        </w:trPr>
        <w:tc>
          <w:tcPr>
            <w:tcW w:w="2126" w:type="dxa"/>
            <w:vMerge w:val="restart"/>
          </w:tcPr>
          <w:p w14:paraId="54179ACD" w14:textId="77777777" w:rsidR="007272BE" w:rsidRDefault="007272BE" w:rsidP="007272BE">
            <w:pPr>
              <w:rPr>
                <w:lang w:eastAsia="en-AU"/>
              </w:rPr>
            </w:pPr>
            <w:r>
              <w:rPr>
                <w:lang w:eastAsia="en-AU"/>
              </w:rPr>
              <w:t>Skin corrosion – in vitro</w:t>
            </w:r>
          </w:p>
          <w:p w14:paraId="289A9BD7" w14:textId="77777777" w:rsidR="007272BE" w:rsidRDefault="007272BE" w:rsidP="007272BE">
            <w:pPr>
              <w:rPr>
                <w:lang w:eastAsia="en-AU"/>
              </w:rPr>
            </w:pPr>
          </w:p>
          <w:p w14:paraId="4E595A20" w14:textId="77777777" w:rsidR="007272BE" w:rsidRDefault="007272BE" w:rsidP="007272BE">
            <w:pPr>
              <w:rPr>
                <w:lang w:eastAsia="en-AU"/>
              </w:rPr>
            </w:pPr>
          </w:p>
        </w:tc>
        <w:tc>
          <w:tcPr>
            <w:tcW w:w="1384" w:type="dxa"/>
          </w:tcPr>
          <w:p w14:paraId="54E3615B" w14:textId="77777777" w:rsidR="007272BE" w:rsidRDefault="007272BE" w:rsidP="007272BE">
            <w:r>
              <w:rPr>
                <w:lang w:eastAsia="en-AU"/>
              </w:rPr>
              <w:t>430</w:t>
            </w:r>
          </w:p>
        </w:tc>
        <w:tc>
          <w:tcPr>
            <w:tcW w:w="5274" w:type="dxa"/>
          </w:tcPr>
          <w:p w14:paraId="321AB0D5" w14:textId="77777777" w:rsidR="007272BE" w:rsidRPr="00777765" w:rsidRDefault="007272BE" w:rsidP="007272BE">
            <w:pPr>
              <w:spacing w:before="160" w:after="120" w:line="360" w:lineRule="atLeast"/>
            </w:pPr>
            <w:r w:rsidRPr="00777765">
              <w:t>EU Annex V test method B.43</w:t>
            </w:r>
          </w:p>
          <w:p w14:paraId="44FEADE0" w14:textId="77777777" w:rsidR="007272BE" w:rsidRDefault="007272BE" w:rsidP="007272BE">
            <w:pPr>
              <w:spacing w:before="160" w:after="120" w:line="360" w:lineRule="atLeast"/>
            </w:pPr>
            <w:r w:rsidRPr="00777765">
              <w:t>EURL ECVAM DB-ALM protocol No.115</w:t>
            </w:r>
          </w:p>
        </w:tc>
      </w:tr>
      <w:tr w:rsidR="007272BE" w14:paraId="0762FBC9" w14:textId="77777777" w:rsidTr="18BCD895">
        <w:trPr>
          <w:trHeight w:val="220"/>
        </w:trPr>
        <w:tc>
          <w:tcPr>
            <w:tcW w:w="2126" w:type="dxa"/>
            <w:vMerge/>
          </w:tcPr>
          <w:p w14:paraId="236EA48F" w14:textId="77777777" w:rsidR="007272BE" w:rsidRDefault="007272BE" w:rsidP="007272BE">
            <w:pPr>
              <w:rPr>
                <w:lang w:eastAsia="en-AU"/>
              </w:rPr>
            </w:pPr>
          </w:p>
        </w:tc>
        <w:tc>
          <w:tcPr>
            <w:tcW w:w="1384" w:type="dxa"/>
          </w:tcPr>
          <w:p w14:paraId="66ABD1E5" w14:textId="77777777" w:rsidR="007272BE" w:rsidRDefault="007272BE" w:rsidP="007272BE">
            <w:r>
              <w:rPr>
                <w:lang w:eastAsia="en-AU"/>
              </w:rPr>
              <w:t>431</w:t>
            </w:r>
          </w:p>
        </w:tc>
        <w:tc>
          <w:tcPr>
            <w:tcW w:w="5274" w:type="dxa"/>
          </w:tcPr>
          <w:p w14:paraId="68A03720" w14:textId="77777777" w:rsidR="007272BE" w:rsidRPr="00777765" w:rsidRDefault="007272BE" w:rsidP="007272BE">
            <w:pPr>
              <w:spacing w:before="160" w:after="120" w:line="360" w:lineRule="atLeast"/>
            </w:pPr>
            <w:r w:rsidRPr="00777765">
              <w:t>EU Annex V test method B.40</w:t>
            </w:r>
          </w:p>
          <w:p w14:paraId="656FA6E8" w14:textId="77777777" w:rsidR="007272BE" w:rsidRDefault="007272BE" w:rsidP="007272BE">
            <w:pPr>
              <w:spacing w:before="160" w:after="120" w:line="360" w:lineRule="atLeast"/>
            </w:pPr>
            <w:r w:rsidRPr="00777765">
              <w:t>EURL ECVAM DB-ALM protocols No.118 and 119</w:t>
            </w:r>
          </w:p>
        </w:tc>
      </w:tr>
      <w:tr w:rsidR="007272BE" w14:paraId="59CD20F1" w14:textId="77777777" w:rsidTr="18BCD895">
        <w:trPr>
          <w:trHeight w:val="220"/>
        </w:trPr>
        <w:tc>
          <w:tcPr>
            <w:tcW w:w="2126" w:type="dxa"/>
            <w:vMerge/>
          </w:tcPr>
          <w:p w14:paraId="7B61F7E7" w14:textId="77777777" w:rsidR="007272BE" w:rsidRDefault="007272BE" w:rsidP="007272BE">
            <w:pPr>
              <w:rPr>
                <w:lang w:eastAsia="en-AU"/>
              </w:rPr>
            </w:pPr>
          </w:p>
        </w:tc>
        <w:tc>
          <w:tcPr>
            <w:tcW w:w="1384" w:type="dxa"/>
          </w:tcPr>
          <w:p w14:paraId="7870475C" w14:textId="77777777" w:rsidR="007272BE" w:rsidRDefault="007272BE" w:rsidP="007272BE">
            <w:r>
              <w:rPr>
                <w:lang w:eastAsia="en-AU"/>
              </w:rPr>
              <w:t>435</w:t>
            </w:r>
          </w:p>
        </w:tc>
        <w:tc>
          <w:tcPr>
            <w:tcW w:w="5274" w:type="dxa"/>
          </w:tcPr>
          <w:p w14:paraId="066E8ABD" w14:textId="77777777" w:rsidR="007272BE" w:rsidRPr="00777765" w:rsidRDefault="007272BE" w:rsidP="007272BE">
            <w:pPr>
              <w:spacing w:before="160" w:after="120" w:line="360" w:lineRule="atLeast"/>
            </w:pPr>
            <w:r w:rsidRPr="00777765">
              <w:t>EURL ECVAM DB-ALM protocol No.116</w:t>
            </w:r>
          </w:p>
        </w:tc>
      </w:tr>
      <w:tr w:rsidR="007272BE" w14:paraId="2E34BA64" w14:textId="77777777" w:rsidTr="18BCD895">
        <w:trPr>
          <w:trHeight w:val="220"/>
        </w:trPr>
        <w:tc>
          <w:tcPr>
            <w:tcW w:w="2126" w:type="dxa"/>
          </w:tcPr>
          <w:p w14:paraId="2D75A4CE" w14:textId="77777777" w:rsidR="007272BE" w:rsidRDefault="007272BE" w:rsidP="007272BE">
            <w:pPr>
              <w:rPr>
                <w:lang w:eastAsia="en-AU"/>
              </w:rPr>
            </w:pPr>
            <w:r>
              <w:rPr>
                <w:lang w:eastAsia="en-AU"/>
              </w:rPr>
              <w:t>Skin irritation – in vitro</w:t>
            </w:r>
          </w:p>
        </w:tc>
        <w:tc>
          <w:tcPr>
            <w:tcW w:w="1384" w:type="dxa"/>
          </w:tcPr>
          <w:p w14:paraId="154031DB" w14:textId="77777777" w:rsidR="007272BE" w:rsidRDefault="007272BE" w:rsidP="007272BE">
            <w:pPr>
              <w:rPr>
                <w:lang w:eastAsia="en-AU"/>
              </w:rPr>
            </w:pPr>
            <w:r>
              <w:rPr>
                <w:lang w:eastAsia="en-AU"/>
              </w:rPr>
              <w:t>439</w:t>
            </w:r>
          </w:p>
        </w:tc>
        <w:tc>
          <w:tcPr>
            <w:tcW w:w="5274" w:type="dxa"/>
          </w:tcPr>
          <w:p w14:paraId="5AC548D1" w14:textId="77777777" w:rsidR="007272BE" w:rsidRPr="00777765" w:rsidRDefault="007272BE" w:rsidP="007272BE">
            <w:pPr>
              <w:spacing w:before="160" w:after="120" w:line="360" w:lineRule="atLeast"/>
            </w:pPr>
            <w:r w:rsidRPr="00777765">
              <w:t>EU Annex V test method B.46</w:t>
            </w:r>
          </w:p>
          <w:p w14:paraId="5D8764D9" w14:textId="77777777" w:rsidR="007272BE" w:rsidRPr="00777765" w:rsidRDefault="007272BE" w:rsidP="007272BE">
            <w:pPr>
              <w:spacing w:before="160" w:after="120" w:line="360" w:lineRule="atLeast"/>
            </w:pPr>
            <w:r w:rsidRPr="00777765">
              <w:t>EURL ECVAM DB-ALM protocols No.131, 135 and 138</w:t>
            </w:r>
          </w:p>
        </w:tc>
      </w:tr>
      <w:tr w:rsidR="002755CC" w14:paraId="1568999B" w14:textId="77777777" w:rsidTr="18BCD895">
        <w:trPr>
          <w:trHeight w:val="220"/>
        </w:trPr>
        <w:tc>
          <w:tcPr>
            <w:tcW w:w="2126" w:type="dxa"/>
          </w:tcPr>
          <w:p w14:paraId="37DF54D6" w14:textId="77777777" w:rsidR="002755CC" w:rsidRDefault="002755CC" w:rsidP="002755CC">
            <w:pPr>
              <w:rPr>
                <w:lang w:eastAsia="en-AU"/>
              </w:rPr>
            </w:pPr>
            <w:r>
              <w:rPr>
                <w:lang w:eastAsia="en-AU"/>
              </w:rPr>
              <w:t>Skin irritation – in vivo</w:t>
            </w:r>
          </w:p>
        </w:tc>
        <w:tc>
          <w:tcPr>
            <w:tcW w:w="1384" w:type="dxa"/>
          </w:tcPr>
          <w:p w14:paraId="0DC66CAA" w14:textId="77777777" w:rsidR="002755CC" w:rsidRDefault="002755CC" w:rsidP="002755CC">
            <w:pPr>
              <w:rPr>
                <w:lang w:eastAsia="en-AU"/>
              </w:rPr>
            </w:pPr>
            <w:r>
              <w:rPr>
                <w:lang w:eastAsia="en-AU"/>
              </w:rPr>
              <w:t>404</w:t>
            </w:r>
          </w:p>
        </w:tc>
        <w:tc>
          <w:tcPr>
            <w:tcW w:w="5274" w:type="dxa"/>
          </w:tcPr>
          <w:p w14:paraId="10435DD9" w14:textId="77777777" w:rsidR="002755CC" w:rsidRPr="00777765" w:rsidRDefault="002755CC" w:rsidP="002755CC">
            <w:pPr>
              <w:spacing w:before="160" w:after="120" w:line="360" w:lineRule="atLeast"/>
            </w:pPr>
            <w:r w:rsidRPr="00777765">
              <w:t>EU Annex V test method B.4.</w:t>
            </w:r>
          </w:p>
          <w:p w14:paraId="03740821" w14:textId="77777777" w:rsidR="002755CC" w:rsidRPr="00777765" w:rsidRDefault="002755CC" w:rsidP="002755CC">
            <w:pPr>
              <w:spacing w:before="160" w:after="120" w:line="360" w:lineRule="atLeast"/>
            </w:pPr>
            <w:r w:rsidRPr="00777765">
              <w:t>O</w:t>
            </w:r>
            <w:r>
              <w:t xml:space="preserve">CSPP 870.2500, OPPT 798.4470, </w:t>
            </w:r>
            <w:r w:rsidRPr="00777765">
              <w:t>OPP 81-5</w:t>
            </w:r>
          </w:p>
        </w:tc>
      </w:tr>
      <w:tr w:rsidR="002755CC" w14:paraId="25A866C2" w14:textId="77777777" w:rsidTr="18BCD895">
        <w:trPr>
          <w:trHeight w:val="220"/>
        </w:trPr>
        <w:tc>
          <w:tcPr>
            <w:tcW w:w="2126" w:type="dxa"/>
          </w:tcPr>
          <w:p w14:paraId="68D98AF3" w14:textId="77777777" w:rsidR="002755CC" w:rsidRDefault="002755CC" w:rsidP="002755CC">
            <w:pPr>
              <w:rPr>
                <w:lang w:eastAsia="en-AU"/>
              </w:rPr>
            </w:pPr>
            <w:r>
              <w:rPr>
                <w:lang w:eastAsia="en-AU"/>
              </w:rPr>
              <w:lastRenderedPageBreak/>
              <w:t>Skin sensitisation – in chemico (1</w:t>
            </w:r>
            <w:r w:rsidRPr="00703EBC">
              <w:rPr>
                <w:vertAlign w:val="superscript"/>
                <w:lang w:eastAsia="en-AU"/>
              </w:rPr>
              <w:t>st</w:t>
            </w:r>
            <w:r>
              <w:rPr>
                <w:lang w:eastAsia="en-AU"/>
              </w:rPr>
              <w:t xml:space="preserve"> key event in skin sensitisation)</w:t>
            </w:r>
          </w:p>
        </w:tc>
        <w:tc>
          <w:tcPr>
            <w:tcW w:w="1384" w:type="dxa"/>
          </w:tcPr>
          <w:p w14:paraId="7CB47C97" w14:textId="77777777" w:rsidR="002755CC" w:rsidRDefault="002755CC" w:rsidP="002755CC">
            <w:pPr>
              <w:rPr>
                <w:lang w:eastAsia="en-AU"/>
              </w:rPr>
            </w:pPr>
            <w:r>
              <w:rPr>
                <w:lang w:eastAsia="en-AU"/>
              </w:rPr>
              <w:t>442C</w:t>
            </w:r>
          </w:p>
        </w:tc>
        <w:tc>
          <w:tcPr>
            <w:tcW w:w="5274" w:type="dxa"/>
          </w:tcPr>
          <w:p w14:paraId="331CB7C6" w14:textId="77777777" w:rsidR="002755CC" w:rsidRPr="00777765" w:rsidRDefault="002755CC" w:rsidP="002755CC">
            <w:pPr>
              <w:spacing w:before="160" w:after="120" w:line="360" w:lineRule="atLeast"/>
            </w:pPr>
            <w:r w:rsidRPr="00777765">
              <w:t>EU Annex V test methods B.59</w:t>
            </w:r>
          </w:p>
          <w:p w14:paraId="6FC2F7C6" w14:textId="77777777" w:rsidR="002755CC" w:rsidRPr="00777765" w:rsidRDefault="002755CC" w:rsidP="002755CC">
            <w:pPr>
              <w:spacing w:before="160" w:after="120" w:line="360" w:lineRule="atLeast"/>
            </w:pPr>
            <w:r w:rsidRPr="00777765">
              <w:t>EURL ECVAM DB-ALM protocol No.154</w:t>
            </w:r>
          </w:p>
        </w:tc>
      </w:tr>
      <w:tr w:rsidR="002755CC" w14:paraId="6A6F40E3" w14:textId="77777777" w:rsidTr="18BCD895">
        <w:trPr>
          <w:trHeight w:val="220"/>
        </w:trPr>
        <w:tc>
          <w:tcPr>
            <w:tcW w:w="2126" w:type="dxa"/>
          </w:tcPr>
          <w:p w14:paraId="487AF5D2" w14:textId="77777777" w:rsidR="002755CC" w:rsidRDefault="002755CC" w:rsidP="002755CC">
            <w:pPr>
              <w:rPr>
                <w:lang w:eastAsia="en-AU"/>
              </w:rPr>
            </w:pPr>
            <w:r>
              <w:rPr>
                <w:lang w:eastAsia="en-AU"/>
              </w:rPr>
              <w:t>Skin sensitisation – in vitro (2</w:t>
            </w:r>
            <w:r w:rsidRPr="00703EBC">
              <w:rPr>
                <w:vertAlign w:val="superscript"/>
                <w:lang w:eastAsia="en-AU"/>
              </w:rPr>
              <w:t>nd</w:t>
            </w:r>
            <w:r>
              <w:rPr>
                <w:lang w:eastAsia="en-AU"/>
              </w:rPr>
              <w:t xml:space="preserve"> key event in skin sensitisation) </w:t>
            </w:r>
          </w:p>
          <w:p w14:paraId="30354EDC" w14:textId="77777777" w:rsidR="002755CC" w:rsidRDefault="002755CC" w:rsidP="002755CC">
            <w:pPr>
              <w:rPr>
                <w:lang w:eastAsia="en-AU"/>
              </w:rPr>
            </w:pPr>
          </w:p>
        </w:tc>
        <w:tc>
          <w:tcPr>
            <w:tcW w:w="1384" w:type="dxa"/>
          </w:tcPr>
          <w:p w14:paraId="081F1209" w14:textId="77777777" w:rsidR="002755CC" w:rsidRDefault="002755CC" w:rsidP="002755CC">
            <w:pPr>
              <w:rPr>
                <w:lang w:eastAsia="en-AU"/>
              </w:rPr>
            </w:pPr>
            <w:r>
              <w:rPr>
                <w:lang w:eastAsia="en-AU"/>
              </w:rPr>
              <w:t>442D</w:t>
            </w:r>
          </w:p>
          <w:p w14:paraId="2B039B05" w14:textId="77777777" w:rsidR="002755CC" w:rsidRDefault="002755CC" w:rsidP="002755CC">
            <w:pPr>
              <w:rPr>
                <w:lang w:eastAsia="en-AU"/>
              </w:rPr>
            </w:pPr>
          </w:p>
        </w:tc>
        <w:tc>
          <w:tcPr>
            <w:tcW w:w="5274" w:type="dxa"/>
          </w:tcPr>
          <w:p w14:paraId="445EC7B0" w14:textId="77777777" w:rsidR="002755CC" w:rsidRPr="00777765" w:rsidRDefault="002755CC" w:rsidP="002755CC">
            <w:pPr>
              <w:spacing w:before="160" w:after="120" w:line="360" w:lineRule="atLeast"/>
            </w:pPr>
            <w:r w:rsidRPr="00777765">
              <w:t>EU Annex V test method B.60</w:t>
            </w:r>
          </w:p>
          <w:p w14:paraId="031F7F9C" w14:textId="77777777" w:rsidR="002755CC" w:rsidRDefault="002755CC" w:rsidP="002755CC">
            <w:pPr>
              <w:spacing w:before="160" w:after="120" w:line="360" w:lineRule="atLeast"/>
            </w:pPr>
            <w:r w:rsidRPr="00777765">
              <w:t>EURL ECVAM DB-ALM protocol No.155</w:t>
            </w:r>
          </w:p>
        </w:tc>
      </w:tr>
      <w:tr w:rsidR="002755CC" w14:paraId="00AC79F5" w14:textId="77777777" w:rsidTr="18BCD895">
        <w:trPr>
          <w:trHeight w:val="220"/>
        </w:trPr>
        <w:tc>
          <w:tcPr>
            <w:tcW w:w="2126" w:type="dxa"/>
          </w:tcPr>
          <w:p w14:paraId="49192DAB" w14:textId="77777777" w:rsidR="002755CC" w:rsidRDefault="002755CC" w:rsidP="002755CC">
            <w:pPr>
              <w:rPr>
                <w:lang w:eastAsia="en-AU"/>
              </w:rPr>
            </w:pPr>
            <w:r>
              <w:rPr>
                <w:lang w:eastAsia="en-AU"/>
              </w:rPr>
              <w:t>Skin sensitisation – in vitro (3</w:t>
            </w:r>
            <w:r w:rsidRPr="00703EBC">
              <w:rPr>
                <w:vertAlign w:val="superscript"/>
                <w:lang w:eastAsia="en-AU"/>
              </w:rPr>
              <w:t>rd</w:t>
            </w:r>
            <w:r>
              <w:rPr>
                <w:lang w:eastAsia="en-AU"/>
              </w:rPr>
              <w:t xml:space="preserve"> key event in skin sensitisation)</w:t>
            </w:r>
          </w:p>
        </w:tc>
        <w:tc>
          <w:tcPr>
            <w:tcW w:w="1384" w:type="dxa"/>
          </w:tcPr>
          <w:p w14:paraId="65F9C47F" w14:textId="77777777" w:rsidR="002755CC" w:rsidRDefault="002755CC" w:rsidP="002755CC">
            <w:pPr>
              <w:rPr>
                <w:lang w:eastAsia="en-AU"/>
              </w:rPr>
            </w:pPr>
            <w:r>
              <w:rPr>
                <w:lang w:eastAsia="en-AU"/>
              </w:rPr>
              <w:t>442E</w:t>
            </w:r>
          </w:p>
        </w:tc>
        <w:tc>
          <w:tcPr>
            <w:tcW w:w="5274" w:type="dxa"/>
          </w:tcPr>
          <w:p w14:paraId="39F43200" w14:textId="77777777" w:rsidR="002755CC" w:rsidRDefault="002755CC" w:rsidP="002755CC">
            <w:pPr>
              <w:spacing w:before="160" w:after="120" w:line="360" w:lineRule="atLeast"/>
            </w:pPr>
            <w:r w:rsidRPr="00777765">
              <w:t>EURL ECVAM DB-ALM protocol No.158</w:t>
            </w:r>
          </w:p>
          <w:p w14:paraId="682EF91F" w14:textId="77777777" w:rsidR="002755CC" w:rsidRDefault="002755CC" w:rsidP="002755CC">
            <w:pPr>
              <w:spacing w:before="160" w:after="120" w:line="360" w:lineRule="atLeast"/>
            </w:pPr>
          </w:p>
          <w:p w14:paraId="6D181345" w14:textId="77777777" w:rsidR="002755CC" w:rsidRDefault="002755CC" w:rsidP="002755CC">
            <w:pPr>
              <w:spacing w:before="160" w:after="120" w:line="360" w:lineRule="atLeast"/>
            </w:pPr>
          </w:p>
          <w:p w14:paraId="4FA82551" w14:textId="77777777" w:rsidR="002755CC" w:rsidRDefault="002755CC" w:rsidP="002755CC">
            <w:pPr>
              <w:spacing w:before="160" w:after="120" w:line="360" w:lineRule="atLeast"/>
            </w:pPr>
          </w:p>
        </w:tc>
      </w:tr>
      <w:tr w:rsidR="002755CC" w14:paraId="1E50DF85" w14:textId="77777777" w:rsidTr="18BCD895">
        <w:trPr>
          <w:trHeight w:val="220"/>
        </w:trPr>
        <w:tc>
          <w:tcPr>
            <w:tcW w:w="2126" w:type="dxa"/>
            <w:vMerge w:val="restart"/>
          </w:tcPr>
          <w:p w14:paraId="73CF6433" w14:textId="77777777" w:rsidR="002755CC" w:rsidRDefault="002755CC" w:rsidP="002755CC">
            <w:pPr>
              <w:rPr>
                <w:lang w:eastAsia="en-AU"/>
              </w:rPr>
            </w:pPr>
            <w:r>
              <w:rPr>
                <w:lang w:eastAsia="en-AU"/>
              </w:rPr>
              <w:t>Skin sensitisation – in vivo</w:t>
            </w:r>
          </w:p>
          <w:p w14:paraId="7643DB35" w14:textId="77777777" w:rsidR="002755CC" w:rsidRDefault="002755CC" w:rsidP="002755CC">
            <w:pPr>
              <w:rPr>
                <w:lang w:eastAsia="en-AU"/>
              </w:rPr>
            </w:pPr>
          </w:p>
          <w:p w14:paraId="243D6E2D" w14:textId="77777777" w:rsidR="002755CC" w:rsidRDefault="002755CC" w:rsidP="002755CC">
            <w:pPr>
              <w:rPr>
                <w:lang w:eastAsia="en-AU"/>
              </w:rPr>
            </w:pPr>
          </w:p>
          <w:p w14:paraId="63B879CE" w14:textId="77777777" w:rsidR="002755CC" w:rsidRDefault="002755CC" w:rsidP="002755CC">
            <w:pPr>
              <w:rPr>
                <w:lang w:eastAsia="en-AU"/>
              </w:rPr>
            </w:pPr>
          </w:p>
        </w:tc>
        <w:tc>
          <w:tcPr>
            <w:tcW w:w="1384" w:type="dxa"/>
          </w:tcPr>
          <w:p w14:paraId="3725BC49" w14:textId="77777777" w:rsidR="002755CC" w:rsidRDefault="002755CC" w:rsidP="002755CC">
            <w:pPr>
              <w:rPr>
                <w:lang w:eastAsia="en-AU"/>
              </w:rPr>
            </w:pPr>
            <w:r>
              <w:rPr>
                <w:lang w:eastAsia="en-AU"/>
              </w:rPr>
              <w:t>406</w:t>
            </w:r>
          </w:p>
        </w:tc>
        <w:tc>
          <w:tcPr>
            <w:tcW w:w="5274" w:type="dxa"/>
          </w:tcPr>
          <w:p w14:paraId="3DB51E4D" w14:textId="77777777" w:rsidR="002755CC" w:rsidRPr="00777765" w:rsidRDefault="002755CC" w:rsidP="002755CC">
            <w:pPr>
              <w:spacing w:before="160" w:after="120" w:line="360" w:lineRule="atLeast"/>
            </w:pPr>
            <w:r w:rsidRPr="00777765">
              <w:t>EU Annex V test method B.6</w:t>
            </w:r>
          </w:p>
          <w:p w14:paraId="68584B62" w14:textId="77777777" w:rsidR="002755CC" w:rsidRDefault="002755CC" w:rsidP="002755CC">
            <w:pPr>
              <w:spacing w:before="160" w:after="120" w:line="360" w:lineRule="atLeast"/>
            </w:pPr>
            <w:r w:rsidRPr="00777765">
              <w:t>OCSPP 870.2600, OPPT 798.4100 or OPP 81-6</w:t>
            </w:r>
          </w:p>
        </w:tc>
      </w:tr>
      <w:tr w:rsidR="002755CC" w14:paraId="3910879A" w14:textId="77777777" w:rsidTr="18BCD895">
        <w:trPr>
          <w:trHeight w:val="220"/>
        </w:trPr>
        <w:tc>
          <w:tcPr>
            <w:tcW w:w="2126" w:type="dxa"/>
            <w:vMerge/>
          </w:tcPr>
          <w:p w14:paraId="1F9BC0E4" w14:textId="77777777" w:rsidR="002755CC" w:rsidRDefault="002755CC" w:rsidP="002755CC">
            <w:pPr>
              <w:rPr>
                <w:lang w:eastAsia="en-AU"/>
              </w:rPr>
            </w:pPr>
          </w:p>
        </w:tc>
        <w:tc>
          <w:tcPr>
            <w:tcW w:w="1384" w:type="dxa"/>
          </w:tcPr>
          <w:p w14:paraId="3543C0EC" w14:textId="77777777" w:rsidR="002755CC" w:rsidRDefault="002755CC" w:rsidP="002755CC">
            <w:pPr>
              <w:rPr>
                <w:lang w:eastAsia="en-AU"/>
              </w:rPr>
            </w:pPr>
            <w:r>
              <w:rPr>
                <w:lang w:eastAsia="en-AU"/>
              </w:rPr>
              <w:t>429</w:t>
            </w:r>
          </w:p>
        </w:tc>
        <w:tc>
          <w:tcPr>
            <w:tcW w:w="5274" w:type="dxa"/>
          </w:tcPr>
          <w:p w14:paraId="034CEC43" w14:textId="77777777" w:rsidR="002755CC" w:rsidRDefault="002755CC" w:rsidP="002755CC">
            <w:pPr>
              <w:spacing w:before="160" w:after="120" w:line="360" w:lineRule="atLeast"/>
            </w:pPr>
            <w:r w:rsidRPr="00777765">
              <w:t>EU Annex V test method B.42</w:t>
            </w:r>
          </w:p>
        </w:tc>
      </w:tr>
      <w:tr w:rsidR="002755CC" w14:paraId="1476A1A9" w14:textId="77777777" w:rsidTr="18BCD895">
        <w:trPr>
          <w:trHeight w:val="220"/>
        </w:trPr>
        <w:tc>
          <w:tcPr>
            <w:tcW w:w="2126" w:type="dxa"/>
            <w:vMerge/>
          </w:tcPr>
          <w:p w14:paraId="4A2F00CE" w14:textId="77777777" w:rsidR="002755CC" w:rsidRDefault="002755CC" w:rsidP="002755CC">
            <w:pPr>
              <w:rPr>
                <w:lang w:eastAsia="en-AU"/>
              </w:rPr>
            </w:pPr>
          </w:p>
        </w:tc>
        <w:tc>
          <w:tcPr>
            <w:tcW w:w="1384" w:type="dxa"/>
          </w:tcPr>
          <w:p w14:paraId="083EB1DC" w14:textId="77777777" w:rsidR="002755CC" w:rsidRDefault="002755CC" w:rsidP="002755CC">
            <w:pPr>
              <w:rPr>
                <w:lang w:eastAsia="en-AU"/>
              </w:rPr>
            </w:pPr>
            <w:r>
              <w:rPr>
                <w:lang w:eastAsia="en-AU"/>
              </w:rPr>
              <w:t>442A</w:t>
            </w:r>
          </w:p>
        </w:tc>
        <w:tc>
          <w:tcPr>
            <w:tcW w:w="5274" w:type="dxa"/>
          </w:tcPr>
          <w:p w14:paraId="683A0249" w14:textId="77777777" w:rsidR="002755CC" w:rsidRDefault="002755CC" w:rsidP="002755CC">
            <w:pPr>
              <w:spacing w:before="160" w:after="120" w:line="360" w:lineRule="atLeast"/>
            </w:pPr>
            <w:r w:rsidRPr="00777765">
              <w:t>EU Annex V test method B.50</w:t>
            </w:r>
          </w:p>
        </w:tc>
      </w:tr>
      <w:tr w:rsidR="002755CC" w14:paraId="7D805315" w14:textId="77777777" w:rsidTr="18BCD895">
        <w:trPr>
          <w:trHeight w:val="220"/>
        </w:trPr>
        <w:tc>
          <w:tcPr>
            <w:tcW w:w="2126" w:type="dxa"/>
            <w:vMerge/>
          </w:tcPr>
          <w:p w14:paraId="26247C87" w14:textId="77777777" w:rsidR="002755CC" w:rsidRDefault="002755CC" w:rsidP="002755CC">
            <w:pPr>
              <w:rPr>
                <w:lang w:eastAsia="en-AU"/>
              </w:rPr>
            </w:pPr>
          </w:p>
        </w:tc>
        <w:tc>
          <w:tcPr>
            <w:tcW w:w="1384" w:type="dxa"/>
          </w:tcPr>
          <w:p w14:paraId="60CA205B" w14:textId="77777777" w:rsidR="002755CC" w:rsidRDefault="002755CC" w:rsidP="002755CC">
            <w:pPr>
              <w:rPr>
                <w:lang w:eastAsia="en-AU"/>
              </w:rPr>
            </w:pPr>
            <w:r>
              <w:rPr>
                <w:lang w:eastAsia="en-AU"/>
              </w:rPr>
              <w:t>442B</w:t>
            </w:r>
          </w:p>
        </w:tc>
        <w:tc>
          <w:tcPr>
            <w:tcW w:w="5274" w:type="dxa"/>
          </w:tcPr>
          <w:p w14:paraId="454830AE" w14:textId="77777777" w:rsidR="002755CC" w:rsidRDefault="002755CC" w:rsidP="002755CC">
            <w:pPr>
              <w:spacing w:before="160" w:after="120" w:line="360" w:lineRule="atLeast"/>
            </w:pPr>
            <w:r w:rsidRPr="00777765">
              <w:t>EU Annex V test method B.51</w:t>
            </w:r>
          </w:p>
        </w:tc>
      </w:tr>
      <w:tr w:rsidR="002755CC" w14:paraId="438933B0" w14:textId="77777777" w:rsidTr="18BCD895">
        <w:trPr>
          <w:trHeight w:val="220"/>
        </w:trPr>
        <w:tc>
          <w:tcPr>
            <w:tcW w:w="2126" w:type="dxa"/>
          </w:tcPr>
          <w:p w14:paraId="3F003E98" w14:textId="77777777" w:rsidR="002755CC" w:rsidRDefault="002755CC" w:rsidP="002755CC">
            <w:pPr>
              <w:rPr>
                <w:lang w:eastAsia="en-AU"/>
              </w:rPr>
            </w:pPr>
            <w:r>
              <w:rPr>
                <w:lang w:eastAsia="en-AU"/>
              </w:rPr>
              <w:t>Subacute dermal toxicity - in vivo</w:t>
            </w:r>
          </w:p>
        </w:tc>
        <w:tc>
          <w:tcPr>
            <w:tcW w:w="1384" w:type="dxa"/>
          </w:tcPr>
          <w:p w14:paraId="076E31B4" w14:textId="77777777" w:rsidR="002755CC" w:rsidRDefault="002755CC" w:rsidP="002755CC">
            <w:pPr>
              <w:rPr>
                <w:lang w:eastAsia="en-AU"/>
              </w:rPr>
            </w:pPr>
            <w:r>
              <w:t>410</w:t>
            </w:r>
          </w:p>
        </w:tc>
        <w:tc>
          <w:tcPr>
            <w:tcW w:w="5274" w:type="dxa"/>
          </w:tcPr>
          <w:p w14:paraId="297569C2" w14:textId="77777777" w:rsidR="002755CC" w:rsidRPr="00777765" w:rsidRDefault="002755CC" w:rsidP="002755CC">
            <w:pPr>
              <w:spacing w:before="160" w:after="120" w:line="360" w:lineRule="atLeast"/>
            </w:pPr>
            <w:r w:rsidRPr="00777765">
              <w:t>EU Annex V test method B.9</w:t>
            </w:r>
          </w:p>
          <w:p w14:paraId="18670721" w14:textId="77777777" w:rsidR="002755CC" w:rsidRPr="00777765" w:rsidRDefault="002755CC" w:rsidP="002755CC">
            <w:pPr>
              <w:spacing w:before="160" w:after="120" w:line="360" w:lineRule="atLeast"/>
            </w:pPr>
            <w:r w:rsidRPr="00777765">
              <w:t>OCSPP 870.3200 or OPP 82-2</w:t>
            </w:r>
          </w:p>
        </w:tc>
      </w:tr>
      <w:tr w:rsidR="002755CC" w14:paraId="0538F939" w14:textId="77777777" w:rsidTr="18BCD895">
        <w:trPr>
          <w:trHeight w:val="220"/>
        </w:trPr>
        <w:tc>
          <w:tcPr>
            <w:tcW w:w="2126" w:type="dxa"/>
          </w:tcPr>
          <w:p w14:paraId="0190B158" w14:textId="77777777" w:rsidR="002755CC" w:rsidRDefault="002755CC" w:rsidP="002755CC">
            <w:pPr>
              <w:rPr>
                <w:lang w:eastAsia="en-AU"/>
              </w:rPr>
            </w:pPr>
            <w:r>
              <w:rPr>
                <w:lang w:eastAsia="en-AU"/>
              </w:rPr>
              <w:t>Subacute inhalation toxicity – in vivo</w:t>
            </w:r>
          </w:p>
        </w:tc>
        <w:tc>
          <w:tcPr>
            <w:tcW w:w="1384" w:type="dxa"/>
          </w:tcPr>
          <w:p w14:paraId="26F03E9C" w14:textId="77777777" w:rsidR="002755CC" w:rsidRDefault="002755CC" w:rsidP="002755CC">
            <w:r>
              <w:rPr>
                <w:lang w:eastAsia="en-AU"/>
              </w:rPr>
              <w:t>412</w:t>
            </w:r>
          </w:p>
        </w:tc>
        <w:tc>
          <w:tcPr>
            <w:tcW w:w="5274" w:type="dxa"/>
          </w:tcPr>
          <w:p w14:paraId="699E9EA4" w14:textId="77777777" w:rsidR="002755CC" w:rsidRPr="00777765" w:rsidRDefault="002755CC" w:rsidP="002755CC">
            <w:pPr>
              <w:spacing w:before="160" w:after="120" w:line="360" w:lineRule="atLeast"/>
            </w:pPr>
            <w:r w:rsidRPr="00777765">
              <w:t>EU Annex V test method B.8</w:t>
            </w:r>
          </w:p>
        </w:tc>
      </w:tr>
      <w:tr w:rsidR="002755CC" w14:paraId="64711B91" w14:textId="77777777" w:rsidTr="18BCD895">
        <w:trPr>
          <w:trHeight w:val="220"/>
        </w:trPr>
        <w:tc>
          <w:tcPr>
            <w:tcW w:w="2126" w:type="dxa"/>
          </w:tcPr>
          <w:p w14:paraId="75BDB042" w14:textId="77777777" w:rsidR="002755CC" w:rsidRDefault="002755CC" w:rsidP="002755CC">
            <w:pPr>
              <w:rPr>
                <w:lang w:eastAsia="en-AU"/>
              </w:rPr>
            </w:pPr>
            <w:r>
              <w:rPr>
                <w:lang w:eastAsia="en-AU"/>
              </w:rPr>
              <w:t>Subacute oral toxicity – in vivo</w:t>
            </w:r>
          </w:p>
        </w:tc>
        <w:tc>
          <w:tcPr>
            <w:tcW w:w="1384" w:type="dxa"/>
          </w:tcPr>
          <w:p w14:paraId="091FC8CB" w14:textId="77777777" w:rsidR="002755CC" w:rsidRDefault="002755CC" w:rsidP="002755CC">
            <w:pPr>
              <w:rPr>
                <w:lang w:eastAsia="en-AU"/>
              </w:rPr>
            </w:pPr>
            <w:r>
              <w:t>407</w:t>
            </w:r>
          </w:p>
        </w:tc>
        <w:tc>
          <w:tcPr>
            <w:tcW w:w="5274" w:type="dxa"/>
          </w:tcPr>
          <w:p w14:paraId="2366CE1E" w14:textId="77777777" w:rsidR="002755CC" w:rsidRPr="00777765" w:rsidRDefault="002755CC" w:rsidP="002755CC">
            <w:pPr>
              <w:spacing w:before="160" w:after="120" w:line="360" w:lineRule="atLeast"/>
            </w:pPr>
            <w:r w:rsidRPr="00777765">
              <w:t>EU Annex V test method B.7</w:t>
            </w:r>
          </w:p>
          <w:p w14:paraId="39FE1B7B" w14:textId="77777777" w:rsidR="002755CC" w:rsidRPr="00777765" w:rsidRDefault="002755CC" w:rsidP="002755CC">
            <w:pPr>
              <w:spacing w:before="160" w:after="120" w:line="360" w:lineRule="atLeast"/>
            </w:pPr>
            <w:r w:rsidRPr="00777765">
              <w:t>OCSPP 870.3050</w:t>
            </w:r>
          </w:p>
        </w:tc>
      </w:tr>
      <w:tr w:rsidR="002755CC" w14:paraId="2FFB4102" w14:textId="77777777" w:rsidTr="18BCD895">
        <w:trPr>
          <w:trHeight w:val="220"/>
        </w:trPr>
        <w:tc>
          <w:tcPr>
            <w:tcW w:w="2126" w:type="dxa"/>
          </w:tcPr>
          <w:p w14:paraId="623B7A5E" w14:textId="77777777" w:rsidR="002755CC" w:rsidRDefault="002755CC" w:rsidP="002755CC">
            <w:pPr>
              <w:rPr>
                <w:lang w:eastAsia="en-AU"/>
              </w:rPr>
            </w:pPr>
            <w:r>
              <w:rPr>
                <w:lang w:eastAsia="en-AU"/>
              </w:rPr>
              <w:lastRenderedPageBreak/>
              <w:t>Subchronic dermal toxicity – in vivo</w:t>
            </w:r>
          </w:p>
        </w:tc>
        <w:tc>
          <w:tcPr>
            <w:tcW w:w="1384" w:type="dxa"/>
          </w:tcPr>
          <w:p w14:paraId="1ED2492F" w14:textId="77777777" w:rsidR="002755CC" w:rsidRDefault="002755CC" w:rsidP="002755CC">
            <w:pPr>
              <w:rPr>
                <w:lang w:eastAsia="en-AU"/>
              </w:rPr>
            </w:pPr>
            <w:r>
              <w:rPr>
                <w:lang w:eastAsia="en-AU"/>
              </w:rPr>
              <w:t>411</w:t>
            </w:r>
          </w:p>
        </w:tc>
        <w:tc>
          <w:tcPr>
            <w:tcW w:w="5274" w:type="dxa"/>
          </w:tcPr>
          <w:p w14:paraId="044E4C2C" w14:textId="77777777" w:rsidR="002755CC" w:rsidRPr="00777765" w:rsidRDefault="002755CC" w:rsidP="002755CC">
            <w:pPr>
              <w:spacing w:before="160" w:after="120" w:line="360" w:lineRule="atLeast"/>
            </w:pPr>
            <w:r w:rsidRPr="00777765">
              <w:t>EU Annex V test method B.28</w:t>
            </w:r>
          </w:p>
          <w:p w14:paraId="4ACCDB06" w14:textId="77777777" w:rsidR="002755CC" w:rsidRPr="00777765" w:rsidRDefault="002755CC" w:rsidP="002755CC">
            <w:pPr>
              <w:spacing w:before="160" w:after="120" w:line="360" w:lineRule="atLeast"/>
            </w:pPr>
            <w:r w:rsidRPr="00777765">
              <w:t>O</w:t>
            </w:r>
            <w:r>
              <w:t xml:space="preserve">CSPP 870.3250, OPPT 798.2250, </w:t>
            </w:r>
            <w:r w:rsidRPr="00777765">
              <w:t>OPP 82-3</w:t>
            </w:r>
          </w:p>
        </w:tc>
      </w:tr>
      <w:tr w:rsidR="002755CC" w14:paraId="6EBEE920" w14:textId="77777777" w:rsidTr="18BCD895">
        <w:trPr>
          <w:trHeight w:val="220"/>
        </w:trPr>
        <w:tc>
          <w:tcPr>
            <w:tcW w:w="2126" w:type="dxa"/>
          </w:tcPr>
          <w:p w14:paraId="54F9BCAC" w14:textId="77777777" w:rsidR="002755CC" w:rsidRDefault="002755CC" w:rsidP="002755CC">
            <w:pPr>
              <w:rPr>
                <w:lang w:eastAsia="en-AU"/>
              </w:rPr>
            </w:pPr>
            <w:r>
              <w:rPr>
                <w:lang w:eastAsia="en-AU"/>
              </w:rPr>
              <w:t>Subchronic inhalation toxicity – in vivo</w:t>
            </w:r>
          </w:p>
        </w:tc>
        <w:tc>
          <w:tcPr>
            <w:tcW w:w="1384" w:type="dxa"/>
          </w:tcPr>
          <w:p w14:paraId="0BC7EF40" w14:textId="77777777" w:rsidR="002755CC" w:rsidRDefault="002755CC" w:rsidP="002755CC">
            <w:pPr>
              <w:rPr>
                <w:lang w:eastAsia="en-AU"/>
              </w:rPr>
            </w:pPr>
            <w:r>
              <w:rPr>
                <w:lang w:eastAsia="en-AU"/>
              </w:rPr>
              <w:t>413</w:t>
            </w:r>
          </w:p>
        </w:tc>
        <w:tc>
          <w:tcPr>
            <w:tcW w:w="5274" w:type="dxa"/>
          </w:tcPr>
          <w:p w14:paraId="103218C9" w14:textId="77777777" w:rsidR="002755CC" w:rsidRPr="00777765" w:rsidRDefault="002755CC" w:rsidP="002755CC">
            <w:pPr>
              <w:spacing w:before="160" w:after="120" w:line="360" w:lineRule="atLeast"/>
            </w:pPr>
            <w:r w:rsidRPr="00777765">
              <w:t>EU Annex V test method B.29</w:t>
            </w:r>
          </w:p>
          <w:p w14:paraId="6CED82C6" w14:textId="77777777" w:rsidR="002755CC" w:rsidRPr="00777765" w:rsidRDefault="002755CC" w:rsidP="002755CC">
            <w:pPr>
              <w:spacing w:before="160" w:after="120" w:line="360" w:lineRule="atLeast"/>
            </w:pPr>
            <w:r>
              <w:t xml:space="preserve">OCSPP 870.3465, OPPT 798.2450, </w:t>
            </w:r>
            <w:r w:rsidRPr="00777765">
              <w:t>OPP 82-4</w:t>
            </w:r>
          </w:p>
        </w:tc>
      </w:tr>
      <w:tr w:rsidR="002755CC" w14:paraId="49624205" w14:textId="77777777" w:rsidTr="18BCD895">
        <w:trPr>
          <w:trHeight w:val="220"/>
        </w:trPr>
        <w:tc>
          <w:tcPr>
            <w:tcW w:w="2126" w:type="dxa"/>
            <w:vMerge w:val="restart"/>
          </w:tcPr>
          <w:p w14:paraId="2D0272ED" w14:textId="77777777" w:rsidR="002755CC" w:rsidRDefault="002755CC" w:rsidP="002755CC">
            <w:pPr>
              <w:rPr>
                <w:lang w:eastAsia="en-AU"/>
              </w:rPr>
            </w:pPr>
            <w:r>
              <w:rPr>
                <w:lang w:eastAsia="en-AU"/>
              </w:rPr>
              <w:t>Subchronic oral toxicity – in vivo</w:t>
            </w:r>
          </w:p>
          <w:p w14:paraId="51FFC324" w14:textId="77777777" w:rsidR="002755CC" w:rsidRDefault="002755CC" w:rsidP="002755CC">
            <w:pPr>
              <w:rPr>
                <w:lang w:eastAsia="en-AU"/>
              </w:rPr>
            </w:pPr>
          </w:p>
        </w:tc>
        <w:tc>
          <w:tcPr>
            <w:tcW w:w="1384" w:type="dxa"/>
          </w:tcPr>
          <w:p w14:paraId="5BEE1C23" w14:textId="77777777" w:rsidR="002755CC" w:rsidRDefault="002755CC" w:rsidP="002755CC">
            <w:pPr>
              <w:rPr>
                <w:lang w:eastAsia="en-AU"/>
              </w:rPr>
            </w:pPr>
            <w:r>
              <w:rPr>
                <w:lang w:eastAsia="en-AU"/>
              </w:rPr>
              <w:t>408</w:t>
            </w:r>
          </w:p>
        </w:tc>
        <w:tc>
          <w:tcPr>
            <w:tcW w:w="5274" w:type="dxa"/>
          </w:tcPr>
          <w:p w14:paraId="58BA3F4F" w14:textId="77777777" w:rsidR="002755CC" w:rsidRDefault="002755CC" w:rsidP="002755CC">
            <w:r w:rsidRPr="00777765">
              <w:t>EU Annex V test method</w:t>
            </w:r>
            <w:r>
              <w:t xml:space="preserve"> B.26</w:t>
            </w:r>
          </w:p>
          <w:p w14:paraId="7C1B964F" w14:textId="77777777" w:rsidR="002755CC" w:rsidRDefault="002755CC" w:rsidP="002755CC">
            <w:pPr>
              <w:spacing w:before="160" w:after="120" w:line="360" w:lineRule="atLeast"/>
              <w:rPr>
                <w:lang w:eastAsia="en-AU"/>
              </w:rPr>
            </w:pPr>
            <w:r w:rsidRPr="00777765">
              <w:t>OCSPP 870.3100, OPPT 798.2650</w:t>
            </w:r>
            <w:r>
              <w:t>,</w:t>
            </w:r>
            <w:r w:rsidRPr="00777765">
              <w:t xml:space="preserve"> OPP 82-1</w:t>
            </w:r>
          </w:p>
        </w:tc>
      </w:tr>
      <w:tr w:rsidR="002755CC" w14:paraId="21B72DCF" w14:textId="77777777" w:rsidTr="18BCD895">
        <w:trPr>
          <w:trHeight w:val="1978"/>
        </w:trPr>
        <w:tc>
          <w:tcPr>
            <w:tcW w:w="2126" w:type="dxa"/>
            <w:vMerge/>
          </w:tcPr>
          <w:p w14:paraId="598B9441" w14:textId="77777777" w:rsidR="002755CC" w:rsidRDefault="002755CC" w:rsidP="002755CC">
            <w:pPr>
              <w:rPr>
                <w:lang w:eastAsia="en-AU"/>
              </w:rPr>
            </w:pPr>
          </w:p>
        </w:tc>
        <w:tc>
          <w:tcPr>
            <w:tcW w:w="1384" w:type="dxa"/>
          </w:tcPr>
          <w:p w14:paraId="5AC364AB" w14:textId="77777777" w:rsidR="002755CC" w:rsidRDefault="002755CC" w:rsidP="002755CC">
            <w:pPr>
              <w:rPr>
                <w:lang w:eastAsia="en-AU"/>
              </w:rPr>
            </w:pPr>
            <w:r>
              <w:rPr>
                <w:lang w:eastAsia="en-AU"/>
              </w:rPr>
              <w:t>409</w:t>
            </w:r>
          </w:p>
        </w:tc>
        <w:tc>
          <w:tcPr>
            <w:tcW w:w="5274" w:type="dxa"/>
          </w:tcPr>
          <w:p w14:paraId="14F9D2E9" w14:textId="77777777" w:rsidR="002755CC" w:rsidRPr="00777765" w:rsidRDefault="002755CC" w:rsidP="002755CC">
            <w:pPr>
              <w:spacing w:before="160" w:after="120" w:line="360" w:lineRule="atLeast"/>
            </w:pPr>
            <w:r w:rsidRPr="00777765">
              <w:t>EU Annex V test method B.27</w:t>
            </w:r>
          </w:p>
          <w:p w14:paraId="4F1CDF81" w14:textId="77777777" w:rsidR="002755CC" w:rsidRDefault="002755CC" w:rsidP="002755CC">
            <w:pPr>
              <w:rPr>
                <w:lang w:eastAsia="en-AU"/>
              </w:rPr>
            </w:pPr>
            <w:r w:rsidRPr="00777765">
              <w:t>OCSPP 870.3150</w:t>
            </w:r>
            <w:r>
              <w:t>,</w:t>
            </w:r>
            <w:r w:rsidRPr="00777765">
              <w:t xml:space="preserve"> OPP 82-1</w:t>
            </w:r>
          </w:p>
        </w:tc>
      </w:tr>
    </w:tbl>
    <w:p w14:paraId="0B651ECA" w14:textId="77777777" w:rsidR="00BE0262" w:rsidRDefault="00BE0262" w:rsidP="00EE040B">
      <w:pPr>
        <w:rPr>
          <w:lang w:eastAsia="en-AU"/>
        </w:rPr>
      </w:pPr>
    </w:p>
    <w:p w14:paraId="415AF4E3" w14:textId="77777777" w:rsidR="00BE0262" w:rsidRDefault="00BE0262">
      <w:pPr>
        <w:spacing w:before="0" w:after="200" w:line="276" w:lineRule="auto"/>
        <w:rPr>
          <w:lang w:eastAsia="en-AU"/>
        </w:rPr>
      </w:pPr>
      <w:r>
        <w:rPr>
          <w:lang w:eastAsia="en-AU"/>
        </w:rPr>
        <w:br w:type="page"/>
      </w:r>
    </w:p>
    <w:p w14:paraId="59718992" w14:textId="77777777" w:rsidR="008E33AA" w:rsidRDefault="008E33AA" w:rsidP="000D0955">
      <w:pPr>
        <w:pStyle w:val="Heading3"/>
        <w:ind w:left="709"/>
        <w:rPr>
          <w:lang w:eastAsia="en-AU"/>
        </w:rPr>
      </w:pPr>
      <w:r w:rsidRPr="1FFCC16C">
        <w:rPr>
          <w:lang w:eastAsia="en-AU"/>
        </w:rPr>
        <w:lastRenderedPageBreak/>
        <w:t>Acceptable test guidelines for environment hazard characteristics</w:t>
      </w:r>
      <w:r w:rsidR="00E5004C" w:rsidRPr="1FFCC16C">
        <w:rPr>
          <w:lang w:eastAsia="en-AU"/>
        </w:rPr>
        <w:t xml:space="preserve"> and properties</w:t>
      </w:r>
    </w:p>
    <w:tbl>
      <w:tblPr>
        <w:tblStyle w:val="TableGrid"/>
        <w:tblW w:w="8784" w:type="dxa"/>
        <w:tblLook w:val="04A0" w:firstRow="1" w:lastRow="0" w:firstColumn="1" w:lastColumn="0" w:noHBand="0" w:noVBand="1"/>
        <w:tblCaption w:val="Table of acceptable test guidelines for environment hazard characteristics"/>
      </w:tblPr>
      <w:tblGrid>
        <w:gridCol w:w="2126"/>
        <w:gridCol w:w="1384"/>
        <w:gridCol w:w="5274"/>
      </w:tblGrid>
      <w:tr w:rsidR="002F2F6B" w:rsidRPr="006F6A3F" w14:paraId="15246CEA" w14:textId="77777777" w:rsidTr="000D0955">
        <w:trPr>
          <w:tblHeader/>
        </w:trPr>
        <w:tc>
          <w:tcPr>
            <w:tcW w:w="2126" w:type="dxa"/>
            <w:shd w:val="clear" w:color="auto" w:fill="133286" w:themeFill="text2"/>
          </w:tcPr>
          <w:p w14:paraId="73B78F76" w14:textId="77777777" w:rsidR="002F2F6B" w:rsidRPr="006F6A3F" w:rsidRDefault="002F2F6B" w:rsidP="008E33AA">
            <w:pPr>
              <w:rPr>
                <w:b/>
                <w:lang w:eastAsia="en-AU"/>
              </w:rPr>
            </w:pPr>
            <w:r w:rsidRPr="006F6A3F">
              <w:rPr>
                <w:b/>
                <w:lang w:eastAsia="en-AU"/>
              </w:rPr>
              <w:t xml:space="preserve">Hazard </w:t>
            </w:r>
            <w:r w:rsidR="009346FF">
              <w:rPr>
                <w:b/>
                <w:lang w:eastAsia="en-AU"/>
              </w:rPr>
              <w:t xml:space="preserve">or property </w:t>
            </w:r>
            <w:r>
              <w:rPr>
                <w:b/>
                <w:lang w:eastAsia="en-AU"/>
              </w:rPr>
              <w:t xml:space="preserve">tested </w:t>
            </w:r>
          </w:p>
        </w:tc>
        <w:tc>
          <w:tcPr>
            <w:tcW w:w="1384" w:type="dxa"/>
            <w:shd w:val="clear" w:color="auto" w:fill="133286" w:themeFill="text2"/>
          </w:tcPr>
          <w:p w14:paraId="64079182" w14:textId="77777777" w:rsidR="002F2F6B" w:rsidRPr="006F6A3F" w:rsidRDefault="002F2F6B" w:rsidP="008E33AA">
            <w:pPr>
              <w:rPr>
                <w:b/>
                <w:lang w:eastAsia="en-AU"/>
              </w:rPr>
            </w:pPr>
            <w:r>
              <w:rPr>
                <w:b/>
                <w:lang w:eastAsia="en-AU"/>
              </w:rPr>
              <w:t>OECD t</w:t>
            </w:r>
            <w:r w:rsidRPr="006F6A3F">
              <w:rPr>
                <w:b/>
                <w:lang w:eastAsia="en-AU"/>
              </w:rPr>
              <w:t>est guidelines</w:t>
            </w:r>
          </w:p>
        </w:tc>
        <w:tc>
          <w:tcPr>
            <w:tcW w:w="5274" w:type="dxa"/>
            <w:shd w:val="clear" w:color="auto" w:fill="133286" w:themeFill="text2"/>
          </w:tcPr>
          <w:p w14:paraId="11661AF2" w14:textId="77777777" w:rsidR="002F2F6B" w:rsidRPr="006F6A3F" w:rsidRDefault="002F2F6B" w:rsidP="008E33AA">
            <w:pPr>
              <w:rPr>
                <w:b/>
                <w:lang w:eastAsia="en-AU"/>
              </w:rPr>
            </w:pPr>
            <w:r>
              <w:rPr>
                <w:b/>
                <w:lang w:eastAsia="en-AU"/>
              </w:rPr>
              <w:t>Equivalent test guidelines</w:t>
            </w:r>
          </w:p>
        </w:tc>
      </w:tr>
      <w:tr w:rsidR="003375A6" w14:paraId="5BC5DA58" w14:textId="77777777" w:rsidTr="008E33AA">
        <w:trPr>
          <w:trHeight w:val="473"/>
        </w:trPr>
        <w:tc>
          <w:tcPr>
            <w:tcW w:w="2126" w:type="dxa"/>
          </w:tcPr>
          <w:p w14:paraId="31730CEC" w14:textId="77777777" w:rsidR="003375A6" w:rsidRDefault="003375A6" w:rsidP="003375A6">
            <w:pPr>
              <w:rPr>
                <w:lang w:eastAsia="en-AU"/>
              </w:rPr>
            </w:pPr>
            <w:r>
              <w:rPr>
                <w:lang w:eastAsia="en-AU"/>
              </w:rPr>
              <w:t>Acute aquatic toxicity – in vivo (fish)</w:t>
            </w:r>
          </w:p>
        </w:tc>
        <w:tc>
          <w:tcPr>
            <w:tcW w:w="1384" w:type="dxa"/>
          </w:tcPr>
          <w:p w14:paraId="25C39141" w14:textId="77777777" w:rsidR="003375A6" w:rsidRDefault="00E41CCD" w:rsidP="003375A6">
            <w:pPr>
              <w:rPr>
                <w:lang w:eastAsia="en-AU"/>
              </w:rPr>
            </w:pPr>
            <w:r>
              <w:rPr>
                <w:lang w:eastAsia="en-AU"/>
              </w:rPr>
              <w:t>203</w:t>
            </w:r>
          </w:p>
        </w:tc>
        <w:tc>
          <w:tcPr>
            <w:tcW w:w="5274" w:type="dxa"/>
          </w:tcPr>
          <w:p w14:paraId="5AA82415" w14:textId="77777777" w:rsidR="00E41CCD" w:rsidRPr="00777765" w:rsidRDefault="00E41CCD" w:rsidP="00E41CCD">
            <w:pPr>
              <w:spacing w:before="160" w:after="120" w:line="360" w:lineRule="atLeast"/>
            </w:pPr>
            <w:r w:rsidRPr="00777765">
              <w:t>ISO 10229</w:t>
            </w:r>
          </w:p>
          <w:p w14:paraId="7F7D1FAD" w14:textId="77777777" w:rsidR="00E41CCD" w:rsidRPr="00777765" w:rsidRDefault="00E41CCD" w:rsidP="00E41CCD">
            <w:pPr>
              <w:spacing w:before="160" w:after="120" w:line="360" w:lineRule="atLeast"/>
            </w:pPr>
            <w:r w:rsidRPr="00777765">
              <w:t>EU Annex V test method C.1</w:t>
            </w:r>
          </w:p>
          <w:p w14:paraId="7E353F2F" w14:textId="77777777" w:rsidR="003375A6" w:rsidRDefault="00E41CCD" w:rsidP="003375A6">
            <w:pPr>
              <w:spacing w:before="160" w:after="120" w:line="360" w:lineRule="atLeast"/>
            </w:pPr>
            <w:r w:rsidRPr="00777765">
              <w:t>OCSP</w:t>
            </w:r>
            <w:r>
              <w:t>P 850.1075, OPP 72-1, OPP 72-3</w:t>
            </w:r>
          </w:p>
        </w:tc>
      </w:tr>
      <w:tr w:rsidR="003375A6" w14:paraId="378056BE" w14:textId="77777777" w:rsidTr="008E33AA">
        <w:trPr>
          <w:trHeight w:val="473"/>
        </w:trPr>
        <w:tc>
          <w:tcPr>
            <w:tcW w:w="2126" w:type="dxa"/>
          </w:tcPr>
          <w:p w14:paraId="50564DF1" w14:textId="77777777" w:rsidR="003375A6" w:rsidRDefault="003375A6" w:rsidP="003375A6">
            <w:pPr>
              <w:rPr>
                <w:lang w:eastAsia="en-AU"/>
              </w:rPr>
            </w:pPr>
            <w:r>
              <w:rPr>
                <w:lang w:eastAsia="en-AU"/>
              </w:rPr>
              <w:t>Acute aquatic toxicity – in vivo (invertebrates)</w:t>
            </w:r>
          </w:p>
        </w:tc>
        <w:tc>
          <w:tcPr>
            <w:tcW w:w="1384" w:type="dxa"/>
          </w:tcPr>
          <w:p w14:paraId="19F8E694" w14:textId="77777777" w:rsidR="003375A6" w:rsidRDefault="00E41CCD" w:rsidP="003375A6">
            <w:pPr>
              <w:rPr>
                <w:lang w:eastAsia="en-AU"/>
              </w:rPr>
            </w:pPr>
            <w:r>
              <w:rPr>
                <w:lang w:eastAsia="en-AU"/>
              </w:rPr>
              <w:t>202</w:t>
            </w:r>
          </w:p>
        </w:tc>
        <w:tc>
          <w:tcPr>
            <w:tcW w:w="5274" w:type="dxa"/>
          </w:tcPr>
          <w:p w14:paraId="7CB26EF0" w14:textId="77777777" w:rsidR="00E41CCD" w:rsidRPr="00777765" w:rsidRDefault="00E41CCD" w:rsidP="00E41CCD">
            <w:pPr>
              <w:spacing w:before="160" w:after="120" w:line="360" w:lineRule="atLeast"/>
            </w:pPr>
            <w:r w:rsidRPr="00777765">
              <w:t>ISO 6341</w:t>
            </w:r>
          </w:p>
          <w:p w14:paraId="6456EFB6" w14:textId="77777777" w:rsidR="00E41CCD" w:rsidRPr="00777765" w:rsidRDefault="00E41CCD" w:rsidP="00E41CCD">
            <w:pPr>
              <w:spacing w:before="160" w:after="120" w:line="360" w:lineRule="atLeast"/>
            </w:pPr>
            <w:r w:rsidRPr="00777765">
              <w:t>EU Annex V test method C. 2</w:t>
            </w:r>
          </w:p>
          <w:p w14:paraId="76370323" w14:textId="77777777" w:rsidR="003375A6" w:rsidRDefault="00E41CCD" w:rsidP="003375A6">
            <w:pPr>
              <w:spacing w:before="160" w:after="120" w:line="360" w:lineRule="atLeast"/>
            </w:pPr>
            <w:r>
              <w:t>OCSPP 850.1010 or OPP 72-2</w:t>
            </w:r>
          </w:p>
        </w:tc>
      </w:tr>
      <w:tr w:rsidR="003375A6" w14:paraId="38A4A246" w14:textId="77777777" w:rsidTr="008E33AA">
        <w:trPr>
          <w:trHeight w:val="473"/>
        </w:trPr>
        <w:tc>
          <w:tcPr>
            <w:tcW w:w="2126" w:type="dxa"/>
          </w:tcPr>
          <w:p w14:paraId="518C88C5" w14:textId="77777777" w:rsidR="003375A6" w:rsidRDefault="003375A6" w:rsidP="003375A6">
            <w:pPr>
              <w:rPr>
                <w:lang w:eastAsia="en-AU"/>
              </w:rPr>
            </w:pPr>
            <w:r>
              <w:rPr>
                <w:lang w:eastAsia="en-AU"/>
              </w:rPr>
              <w:t>Acute aquatic toxicity – in vivo (algae or other aquatic plants)</w:t>
            </w:r>
          </w:p>
        </w:tc>
        <w:tc>
          <w:tcPr>
            <w:tcW w:w="1384" w:type="dxa"/>
          </w:tcPr>
          <w:p w14:paraId="1767CDED" w14:textId="77777777" w:rsidR="003375A6" w:rsidRDefault="00E41CCD" w:rsidP="003375A6">
            <w:pPr>
              <w:rPr>
                <w:lang w:eastAsia="en-AU"/>
              </w:rPr>
            </w:pPr>
            <w:r>
              <w:rPr>
                <w:lang w:eastAsia="en-AU"/>
              </w:rPr>
              <w:t>201</w:t>
            </w:r>
          </w:p>
        </w:tc>
        <w:tc>
          <w:tcPr>
            <w:tcW w:w="5274" w:type="dxa"/>
          </w:tcPr>
          <w:p w14:paraId="0453C735" w14:textId="77777777" w:rsidR="00E41CCD" w:rsidRPr="00777765" w:rsidRDefault="00E41CCD" w:rsidP="00E41CCD">
            <w:pPr>
              <w:spacing w:before="160" w:after="120" w:line="360" w:lineRule="atLeast"/>
            </w:pPr>
            <w:r w:rsidRPr="00777765">
              <w:t>EU Annex V test methods C.3</w:t>
            </w:r>
          </w:p>
          <w:p w14:paraId="1D0DE205" w14:textId="77777777" w:rsidR="003375A6" w:rsidRDefault="00E41CCD" w:rsidP="003375A6">
            <w:pPr>
              <w:spacing w:before="160" w:after="120" w:line="360" w:lineRule="atLeast"/>
            </w:pPr>
            <w:r w:rsidRPr="00777765">
              <w:t>OCSPP 850.4550, OPPT 797.1050, OPP 122-2</w:t>
            </w:r>
            <w:r>
              <w:t>, OPP 123-2</w:t>
            </w:r>
          </w:p>
        </w:tc>
      </w:tr>
      <w:tr w:rsidR="00FC50AF" w14:paraId="2A506540" w14:textId="77777777" w:rsidTr="008E33AA">
        <w:trPr>
          <w:trHeight w:val="473"/>
        </w:trPr>
        <w:tc>
          <w:tcPr>
            <w:tcW w:w="2126" w:type="dxa"/>
            <w:vMerge w:val="restart"/>
          </w:tcPr>
          <w:p w14:paraId="1EF223B6" w14:textId="77777777" w:rsidR="00FC50AF" w:rsidRDefault="00FC50AF" w:rsidP="003375A6">
            <w:pPr>
              <w:rPr>
                <w:lang w:eastAsia="en-AU"/>
              </w:rPr>
            </w:pPr>
            <w:r>
              <w:rPr>
                <w:lang w:eastAsia="en-AU"/>
              </w:rPr>
              <w:t xml:space="preserve">Bioaccumulation </w:t>
            </w:r>
          </w:p>
        </w:tc>
        <w:tc>
          <w:tcPr>
            <w:tcW w:w="1384" w:type="dxa"/>
          </w:tcPr>
          <w:p w14:paraId="4A50AD25" w14:textId="77777777" w:rsidR="00FC50AF" w:rsidRDefault="00FC50AF" w:rsidP="003375A6">
            <w:pPr>
              <w:rPr>
                <w:lang w:eastAsia="en-AU"/>
              </w:rPr>
            </w:pPr>
            <w:r>
              <w:rPr>
                <w:lang w:eastAsia="en-AU"/>
              </w:rPr>
              <w:t>315</w:t>
            </w:r>
          </w:p>
        </w:tc>
        <w:tc>
          <w:tcPr>
            <w:tcW w:w="5274" w:type="dxa"/>
          </w:tcPr>
          <w:p w14:paraId="140F4ED8" w14:textId="77777777" w:rsidR="00FC50AF" w:rsidRDefault="000F42F2" w:rsidP="003375A6">
            <w:pPr>
              <w:spacing w:before="160" w:after="120" w:line="360" w:lineRule="atLeast"/>
            </w:pPr>
            <w:r w:rsidRPr="69A0576C">
              <w:rPr>
                <w:rFonts w:eastAsia="Segoe UI" w:cs="Segoe UI"/>
              </w:rPr>
              <w:t>OCSPP 850.1710</w:t>
            </w:r>
          </w:p>
        </w:tc>
      </w:tr>
      <w:tr w:rsidR="00FC50AF" w14:paraId="3E6D3FFC" w14:textId="77777777" w:rsidTr="008E33AA">
        <w:trPr>
          <w:trHeight w:val="473"/>
        </w:trPr>
        <w:tc>
          <w:tcPr>
            <w:tcW w:w="2126" w:type="dxa"/>
            <w:vMerge/>
          </w:tcPr>
          <w:p w14:paraId="6949053D" w14:textId="77777777" w:rsidR="00FC50AF" w:rsidRDefault="00FC50AF" w:rsidP="003375A6">
            <w:pPr>
              <w:rPr>
                <w:lang w:eastAsia="en-AU"/>
              </w:rPr>
            </w:pPr>
          </w:p>
        </w:tc>
        <w:tc>
          <w:tcPr>
            <w:tcW w:w="1384" w:type="dxa"/>
          </w:tcPr>
          <w:p w14:paraId="315AEFD2" w14:textId="77777777" w:rsidR="00FC50AF" w:rsidRDefault="00FC50AF" w:rsidP="003375A6">
            <w:pPr>
              <w:rPr>
                <w:lang w:eastAsia="en-AU"/>
              </w:rPr>
            </w:pPr>
            <w:r>
              <w:rPr>
                <w:lang w:eastAsia="en-AU"/>
              </w:rPr>
              <w:t>317</w:t>
            </w:r>
          </w:p>
        </w:tc>
        <w:tc>
          <w:tcPr>
            <w:tcW w:w="5274" w:type="dxa"/>
          </w:tcPr>
          <w:p w14:paraId="08AF0C08" w14:textId="77777777" w:rsidR="00FC50AF" w:rsidRDefault="000F42F2" w:rsidP="003375A6">
            <w:pPr>
              <w:spacing w:before="160" w:after="120" w:line="360" w:lineRule="atLeast"/>
            </w:pPr>
            <w:r>
              <w:t>-</w:t>
            </w:r>
          </w:p>
        </w:tc>
      </w:tr>
      <w:tr w:rsidR="003375A6" w14:paraId="5B3DEBE5" w14:textId="77777777" w:rsidTr="008E33AA">
        <w:trPr>
          <w:trHeight w:val="473"/>
        </w:trPr>
        <w:tc>
          <w:tcPr>
            <w:tcW w:w="2126" w:type="dxa"/>
          </w:tcPr>
          <w:p w14:paraId="003C7F6B" w14:textId="77777777" w:rsidR="003375A6" w:rsidRDefault="003375A6" w:rsidP="003375A6">
            <w:pPr>
              <w:rPr>
                <w:lang w:eastAsia="en-AU"/>
              </w:rPr>
            </w:pPr>
            <w:r>
              <w:rPr>
                <w:lang w:eastAsia="en-AU"/>
              </w:rPr>
              <w:t xml:space="preserve">Bioconcentration </w:t>
            </w:r>
          </w:p>
        </w:tc>
        <w:tc>
          <w:tcPr>
            <w:tcW w:w="1384" w:type="dxa"/>
          </w:tcPr>
          <w:p w14:paraId="2BF0C952" w14:textId="77777777" w:rsidR="003375A6" w:rsidRDefault="003375A6" w:rsidP="003375A6">
            <w:pPr>
              <w:rPr>
                <w:lang w:eastAsia="en-AU"/>
              </w:rPr>
            </w:pPr>
            <w:r>
              <w:rPr>
                <w:lang w:eastAsia="en-AU"/>
              </w:rPr>
              <w:t>305</w:t>
            </w:r>
          </w:p>
        </w:tc>
        <w:tc>
          <w:tcPr>
            <w:tcW w:w="5274" w:type="dxa"/>
          </w:tcPr>
          <w:p w14:paraId="4F681107" w14:textId="77777777" w:rsidR="00FC50AF" w:rsidRPr="00777765" w:rsidRDefault="00FC50AF" w:rsidP="00FC50AF">
            <w:pPr>
              <w:spacing w:before="160" w:after="120" w:line="360" w:lineRule="atLeast"/>
            </w:pPr>
            <w:r w:rsidRPr="00777765">
              <w:t>EU Annex V test methods C.13</w:t>
            </w:r>
          </w:p>
          <w:p w14:paraId="66621148" w14:textId="77777777" w:rsidR="003375A6" w:rsidRDefault="00FC50AF" w:rsidP="003375A6">
            <w:pPr>
              <w:spacing w:before="160" w:after="120" w:line="360" w:lineRule="atLeast"/>
            </w:pPr>
            <w:r w:rsidRPr="00777765">
              <w:t>OCSPP 850.1730 or OPP 72-6</w:t>
            </w:r>
          </w:p>
        </w:tc>
      </w:tr>
      <w:tr w:rsidR="003375A6" w:rsidRPr="00777765" w14:paraId="0ECB887F" w14:textId="77777777" w:rsidTr="008E33AA">
        <w:trPr>
          <w:trHeight w:val="473"/>
        </w:trPr>
        <w:tc>
          <w:tcPr>
            <w:tcW w:w="2126" w:type="dxa"/>
          </w:tcPr>
          <w:p w14:paraId="718F89E1" w14:textId="77777777" w:rsidR="003375A6" w:rsidRDefault="003375A6" w:rsidP="003375A6">
            <w:pPr>
              <w:rPr>
                <w:lang w:eastAsia="en-AU"/>
              </w:rPr>
            </w:pPr>
            <w:r>
              <w:rPr>
                <w:lang w:eastAsia="en-AU"/>
              </w:rPr>
              <w:t>Chronic aquatic toxicity – in vivo (fish)</w:t>
            </w:r>
          </w:p>
        </w:tc>
        <w:tc>
          <w:tcPr>
            <w:tcW w:w="1384" w:type="dxa"/>
          </w:tcPr>
          <w:p w14:paraId="2AA966D7" w14:textId="77777777" w:rsidR="003375A6" w:rsidRDefault="00E41CCD" w:rsidP="003375A6">
            <w:pPr>
              <w:rPr>
                <w:lang w:eastAsia="en-AU"/>
              </w:rPr>
            </w:pPr>
            <w:r>
              <w:rPr>
                <w:lang w:eastAsia="en-AU"/>
              </w:rPr>
              <w:t>210</w:t>
            </w:r>
          </w:p>
        </w:tc>
        <w:tc>
          <w:tcPr>
            <w:tcW w:w="5274" w:type="dxa"/>
          </w:tcPr>
          <w:p w14:paraId="3FDB0160" w14:textId="77777777" w:rsidR="000F42F2" w:rsidRPr="00777765" w:rsidRDefault="000F42F2" w:rsidP="000F42F2">
            <w:pPr>
              <w:spacing w:before="160" w:after="120" w:line="360" w:lineRule="atLeast"/>
            </w:pPr>
            <w:r w:rsidRPr="69A0576C">
              <w:rPr>
                <w:rFonts w:eastAsia="Segoe UI" w:cs="Segoe UI"/>
              </w:rPr>
              <w:t>OCSPP 850.1400</w:t>
            </w:r>
          </w:p>
          <w:p w14:paraId="4FD08D5A" w14:textId="77777777" w:rsidR="003375A6" w:rsidRPr="00777765" w:rsidRDefault="000F42F2" w:rsidP="000F42F2">
            <w:pPr>
              <w:spacing w:before="160" w:after="120" w:line="360" w:lineRule="atLeast"/>
            </w:pPr>
            <w:r w:rsidRPr="69A0576C">
              <w:rPr>
                <w:rFonts w:eastAsia="Segoe UI" w:cs="Segoe UI"/>
              </w:rPr>
              <w:t>EU Annex V test method C.15</w:t>
            </w:r>
          </w:p>
        </w:tc>
      </w:tr>
      <w:tr w:rsidR="003375A6" w:rsidRPr="00777765" w14:paraId="4FC9F8A2" w14:textId="77777777" w:rsidTr="008E33AA">
        <w:trPr>
          <w:trHeight w:val="473"/>
        </w:trPr>
        <w:tc>
          <w:tcPr>
            <w:tcW w:w="2126" w:type="dxa"/>
          </w:tcPr>
          <w:p w14:paraId="31401899" w14:textId="77777777" w:rsidR="003375A6" w:rsidRDefault="003375A6" w:rsidP="003375A6">
            <w:pPr>
              <w:rPr>
                <w:lang w:eastAsia="en-AU"/>
              </w:rPr>
            </w:pPr>
            <w:r>
              <w:rPr>
                <w:lang w:eastAsia="en-AU"/>
              </w:rPr>
              <w:t>Chronic aquatic toxicity – in vivo (invertebrates)</w:t>
            </w:r>
          </w:p>
        </w:tc>
        <w:tc>
          <w:tcPr>
            <w:tcW w:w="1384" w:type="dxa"/>
          </w:tcPr>
          <w:p w14:paraId="02FC82B9" w14:textId="77777777" w:rsidR="003375A6" w:rsidRDefault="00E41CCD" w:rsidP="003375A6">
            <w:pPr>
              <w:rPr>
                <w:lang w:eastAsia="en-AU"/>
              </w:rPr>
            </w:pPr>
            <w:r>
              <w:rPr>
                <w:lang w:eastAsia="en-AU"/>
              </w:rPr>
              <w:t>211</w:t>
            </w:r>
          </w:p>
        </w:tc>
        <w:tc>
          <w:tcPr>
            <w:tcW w:w="5274" w:type="dxa"/>
          </w:tcPr>
          <w:p w14:paraId="2C2F9E38" w14:textId="77777777" w:rsidR="000F42F2" w:rsidRPr="00777765" w:rsidRDefault="000F42F2" w:rsidP="000F42F2">
            <w:pPr>
              <w:spacing w:before="160" w:after="120" w:line="360" w:lineRule="atLeast"/>
            </w:pPr>
            <w:r w:rsidRPr="69A0576C">
              <w:rPr>
                <w:rFonts w:eastAsia="Segoe UI" w:cs="Segoe UI"/>
              </w:rPr>
              <w:t>OCSPP 850.1300</w:t>
            </w:r>
          </w:p>
          <w:p w14:paraId="39D587DD" w14:textId="77777777" w:rsidR="003375A6" w:rsidRPr="00777765" w:rsidRDefault="000F42F2" w:rsidP="000F42F2">
            <w:pPr>
              <w:spacing w:before="160" w:after="120" w:line="360" w:lineRule="atLeast"/>
            </w:pPr>
            <w:r w:rsidRPr="69A0576C">
              <w:rPr>
                <w:rFonts w:eastAsia="Segoe UI" w:cs="Segoe UI"/>
              </w:rPr>
              <w:t>EU Annex V test method C.20</w:t>
            </w:r>
          </w:p>
        </w:tc>
      </w:tr>
      <w:tr w:rsidR="003375A6" w:rsidRPr="00777765" w14:paraId="6961209D" w14:textId="77777777" w:rsidTr="008E33AA">
        <w:trPr>
          <w:trHeight w:val="473"/>
        </w:trPr>
        <w:tc>
          <w:tcPr>
            <w:tcW w:w="2126" w:type="dxa"/>
          </w:tcPr>
          <w:p w14:paraId="12544668" w14:textId="77777777" w:rsidR="003375A6" w:rsidRDefault="003375A6" w:rsidP="003375A6">
            <w:pPr>
              <w:rPr>
                <w:lang w:eastAsia="en-AU"/>
              </w:rPr>
            </w:pPr>
            <w:r>
              <w:rPr>
                <w:lang w:eastAsia="en-AU"/>
              </w:rPr>
              <w:t>Chronic aquatic toxicity – in vivo (algae or other aquatic plants)</w:t>
            </w:r>
          </w:p>
        </w:tc>
        <w:tc>
          <w:tcPr>
            <w:tcW w:w="1384" w:type="dxa"/>
          </w:tcPr>
          <w:p w14:paraId="461DB84E" w14:textId="77777777" w:rsidR="003375A6" w:rsidRDefault="00E41CCD" w:rsidP="003375A6">
            <w:pPr>
              <w:rPr>
                <w:lang w:eastAsia="en-AU"/>
              </w:rPr>
            </w:pPr>
            <w:r>
              <w:rPr>
                <w:lang w:eastAsia="en-AU"/>
              </w:rPr>
              <w:t>201</w:t>
            </w:r>
          </w:p>
        </w:tc>
        <w:tc>
          <w:tcPr>
            <w:tcW w:w="5274" w:type="dxa"/>
          </w:tcPr>
          <w:p w14:paraId="7D346ED6" w14:textId="77777777" w:rsidR="000F42F2" w:rsidRDefault="000F42F2" w:rsidP="000F42F2">
            <w:pPr>
              <w:spacing w:before="160" w:after="120" w:line="360" w:lineRule="atLeast"/>
            </w:pPr>
            <w:r w:rsidRPr="69A0576C">
              <w:rPr>
                <w:rFonts w:eastAsia="Segoe UI" w:cs="Segoe UI"/>
              </w:rPr>
              <w:t>OCSPP 850.4550</w:t>
            </w:r>
          </w:p>
          <w:p w14:paraId="5F8CF429" w14:textId="77777777" w:rsidR="000F42F2" w:rsidRDefault="000F42F2" w:rsidP="000F42F2">
            <w:pPr>
              <w:spacing w:before="160" w:after="120" w:line="360" w:lineRule="atLeast"/>
            </w:pPr>
            <w:r w:rsidRPr="69A0576C">
              <w:rPr>
                <w:rFonts w:eastAsia="Segoe UI" w:cs="Segoe UI"/>
              </w:rPr>
              <w:t>OCSPP 850.4500</w:t>
            </w:r>
          </w:p>
          <w:p w14:paraId="3D7FC2CE" w14:textId="77777777" w:rsidR="003375A6" w:rsidRDefault="000F42F2" w:rsidP="000F42F2">
            <w:pPr>
              <w:spacing w:before="160" w:after="120" w:line="360" w:lineRule="atLeast"/>
            </w:pPr>
            <w:r w:rsidRPr="69A0576C">
              <w:rPr>
                <w:rFonts w:eastAsia="Segoe UI" w:cs="Segoe UI"/>
              </w:rPr>
              <w:t>EU Annex V test method C.3</w:t>
            </w:r>
          </w:p>
        </w:tc>
      </w:tr>
      <w:tr w:rsidR="003375A6" w:rsidRPr="00777765" w14:paraId="5F4DCE00" w14:textId="77777777" w:rsidTr="008E33AA">
        <w:trPr>
          <w:trHeight w:val="220"/>
        </w:trPr>
        <w:tc>
          <w:tcPr>
            <w:tcW w:w="2126" w:type="dxa"/>
            <w:vMerge w:val="restart"/>
          </w:tcPr>
          <w:p w14:paraId="4E2D27B0" w14:textId="77777777" w:rsidR="003375A6" w:rsidRDefault="003375A6" w:rsidP="003375A6">
            <w:pPr>
              <w:rPr>
                <w:lang w:eastAsia="en-AU"/>
              </w:rPr>
            </w:pPr>
            <w:r>
              <w:rPr>
                <w:lang w:eastAsia="en-AU"/>
              </w:rPr>
              <w:lastRenderedPageBreak/>
              <w:t>Partition coefficient</w:t>
            </w:r>
          </w:p>
          <w:p w14:paraId="3558600F" w14:textId="77777777" w:rsidR="003375A6" w:rsidRDefault="003375A6" w:rsidP="003375A6">
            <w:pPr>
              <w:rPr>
                <w:lang w:eastAsia="en-AU"/>
              </w:rPr>
            </w:pPr>
          </w:p>
          <w:p w14:paraId="1A69E01D" w14:textId="77777777" w:rsidR="003375A6" w:rsidRDefault="003375A6" w:rsidP="003375A6">
            <w:pPr>
              <w:rPr>
                <w:lang w:eastAsia="en-AU"/>
              </w:rPr>
            </w:pPr>
          </w:p>
        </w:tc>
        <w:tc>
          <w:tcPr>
            <w:tcW w:w="1384" w:type="dxa"/>
          </w:tcPr>
          <w:p w14:paraId="6AC78901" w14:textId="77777777" w:rsidR="003375A6" w:rsidRDefault="003375A6" w:rsidP="003375A6">
            <w:pPr>
              <w:rPr>
                <w:lang w:eastAsia="en-AU"/>
              </w:rPr>
            </w:pPr>
            <w:r>
              <w:rPr>
                <w:lang w:eastAsia="en-AU"/>
              </w:rPr>
              <w:t>107</w:t>
            </w:r>
          </w:p>
        </w:tc>
        <w:tc>
          <w:tcPr>
            <w:tcW w:w="5274" w:type="dxa"/>
          </w:tcPr>
          <w:p w14:paraId="03DFEEB7" w14:textId="77777777" w:rsidR="003375A6" w:rsidRPr="00777765" w:rsidRDefault="003375A6" w:rsidP="003375A6">
            <w:pPr>
              <w:spacing w:before="160" w:after="120" w:line="360" w:lineRule="atLeast"/>
            </w:pPr>
            <w:r w:rsidRPr="00777765">
              <w:t>EU Annex V test methods A.8</w:t>
            </w:r>
          </w:p>
          <w:p w14:paraId="40D5A5FE" w14:textId="77777777" w:rsidR="003375A6" w:rsidRPr="00777765" w:rsidRDefault="003375A6" w:rsidP="003375A6">
            <w:pPr>
              <w:spacing w:before="160" w:after="120" w:line="360" w:lineRule="atLeast"/>
            </w:pPr>
            <w:r w:rsidRPr="00777765">
              <w:t>OCSPP 830.7</w:t>
            </w:r>
            <w:r>
              <w:t>550, OPPT 796.1550, OPP 63-11</w:t>
            </w:r>
          </w:p>
        </w:tc>
      </w:tr>
      <w:tr w:rsidR="003375A6" w:rsidRPr="00777765" w14:paraId="12275E3A" w14:textId="77777777" w:rsidTr="008E33AA">
        <w:trPr>
          <w:trHeight w:val="220"/>
        </w:trPr>
        <w:tc>
          <w:tcPr>
            <w:tcW w:w="2126" w:type="dxa"/>
            <w:vMerge/>
          </w:tcPr>
          <w:p w14:paraId="46E4AFD7" w14:textId="77777777" w:rsidR="003375A6" w:rsidRDefault="003375A6" w:rsidP="003375A6">
            <w:pPr>
              <w:rPr>
                <w:lang w:eastAsia="en-AU"/>
              </w:rPr>
            </w:pPr>
          </w:p>
        </w:tc>
        <w:tc>
          <w:tcPr>
            <w:tcW w:w="1384" w:type="dxa"/>
          </w:tcPr>
          <w:p w14:paraId="4E3A9CC7" w14:textId="77777777" w:rsidR="003375A6" w:rsidRDefault="003375A6" w:rsidP="003375A6">
            <w:pPr>
              <w:rPr>
                <w:lang w:eastAsia="en-AU"/>
              </w:rPr>
            </w:pPr>
            <w:r>
              <w:rPr>
                <w:lang w:eastAsia="en-AU"/>
              </w:rPr>
              <w:t>117</w:t>
            </w:r>
          </w:p>
        </w:tc>
        <w:tc>
          <w:tcPr>
            <w:tcW w:w="5274" w:type="dxa"/>
          </w:tcPr>
          <w:p w14:paraId="399D57AF" w14:textId="77777777" w:rsidR="003375A6" w:rsidRPr="00777765" w:rsidRDefault="003375A6" w:rsidP="003375A6">
            <w:pPr>
              <w:spacing w:before="160" w:after="120" w:line="360" w:lineRule="atLeast"/>
            </w:pPr>
            <w:r w:rsidRPr="00777765">
              <w:t>EU Annex V test methods A.8</w:t>
            </w:r>
          </w:p>
          <w:p w14:paraId="6439A2CC" w14:textId="77777777" w:rsidR="003375A6" w:rsidRDefault="003375A6" w:rsidP="003375A6">
            <w:pPr>
              <w:spacing w:before="160" w:after="120" w:line="360" w:lineRule="atLeast"/>
            </w:pPr>
            <w:r w:rsidRPr="00777765">
              <w:t>OCSPP 830</w:t>
            </w:r>
            <w:r>
              <w:t>.7570, OPPT 796.1570,</w:t>
            </w:r>
            <w:r w:rsidRPr="00777765">
              <w:t xml:space="preserve"> OPP 63-11</w:t>
            </w:r>
          </w:p>
        </w:tc>
      </w:tr>
      <w:tr w:rsidR="003375A6" w:rsidRPr="00777765" w14:paraId="22F9C2A4" w14:textId="77777777" w:rsidTr="008E33AA">
        <w:trPr>
          <w:trHeight w:val="220"/>
        </w:trPr>
        <w:tc>
          <w:tcPr>
            <w:tcW w:w="2126" w:type="dxa"/>
            <w:vMerge/>
          </w:tcPr>
          <w:p w14:paraId="0B56A30D" w14:textId="77777777" w:rsidR="003375A6" w:rsidRDefault="003375A6" w:rsidP="003375A6">
            <w:pPr>
              <w:rPr>
                <w:lang w:eastAsia="en-AU"/>
              </w:rPr>
            </w:pPr>
          </w:p>
        </w:tc>
        <w:tc>
          <w:tcPr>
            <w:tcW w:w="1384" w:type="dxa"/>
          </w:tcPr>
          <w:p w14:paraId="15B9E43F" w14:textId="77777777" w:rsidR="003375A6" w:rsidRDefault="003375A6" w:rsidP="003375A6">
            <w:pPr>
              <w:rPr>
                <w:lang w:eastAsia="en-AU"/>
              </w:rPr>
            </w:pPr>
            <w:r>
              <w:rPr>
                <w:lang w:eastAsia="en-AU"/>
              </w:rPr>
              <w:t>123</w:t>
            </w:r>
          </w:p>
        </w:tc>
        <w:tc>
          <w:tcPr>
            <w:tcW w:w="5274" w:type="dxa"/>
          </w:tcPr>
          <w:p w14:paraId="1775F30C" w14:textId="77777777" w:rsidR="003375A6" w:rsidRDefault="003375A6" w:rsidP="003375A6">
            <w:pPr>
              <w:spacing w:before="160" w:after="120" w:line="360" w:lineRule="atLeast"/>
            </w:pPr>
            <w:r>
              <w:t>EU Annex V test methods A.8</w:t>
            </w:r>
          </w:p>
        </w:tc>
      </w:tr>
      <w:tr w:rsidR="003375A6" w:rsidRPr="00777765" w14:paraId="51B38E5C" w14:textId="77777777" w:rsidTr="008E33AA">
        <w:trPr>
          <w:trHeight w:val="220"/>
        </w:trPr>
        <w:tc>
          <w:tcPr>
            <w:tcW w:w="2126" w:type="dxa"/>
          </w:tcPr>
          <w:p w14:paraId="62ACD8A8" w14:textId="77777777" w:rsidR="003375A6" w:rsidRDefault="003375A6" w:rsidP="003375A6">
            <w:pPr>
              <w:rPr>
                <w:lang w:eastAsia="en-AU"/>
              </w:rPr>
            </w:pPr>
            <w:r>
              <w:rPr>
                <w:lang w:eastAsia="en-AU"/>
              </w:rPr>
              <w:t>Ready biodegradability</w:t>
            </w:r>
          </w:p>
        </w:tc>
        <w:tc>
          <w:tcPr>
            <w:tcW w:w="1384" w:type="dxa"/>
          </w:tcPr>
          <w:p w14:paraId="1C007F06" w14:textId="77777777" w:rsidR="003375A6" w:rsidRDefault="003375A6" w:rsidP="003375A6">
            <w:pPr>
              <w:rPr>
                <w:lang w:eastAsia="en-AU"/>
              </w:rPr>
            </w:pPr>
            <w:r>
              <w:rPr>
                <w:lang w:eastAsia="en-AU"/>
              </w:rPr>
              <w:t>301</w:t>
            </w:r>
          </w:p>
        </w:tc>
        <w:tc>
          <w:tcPr>
            <w:tcW w:w="5274" w:type="dxa"/>
          </w:tcPr>
          <w:p w14:paraId="5A15C26C" w14:textId="77777777" w:rsidR="003375A6" w:rsidRPr="00777765" w:rsidRDefault="003375A6" w:rsidP="003375A6">
            <w:pPr>
              <w:spacing w:before="160" w:after="120" w:line="360" w:lineRule="atLeast"/>
            </w:pPr>
            <w:r w:rsidRPr="00777765">
              <w:t>EU Annex V test methods C.4 (A-F)</w:t>
            </w:r>
          </w:p>
          <w:p w14:paraId="0FD0A0C0" w14:textId="77777777" w:rsidR="003375A6" w:rsidRPr="00777765" w:rsidRDefault="003375A6" w:rsidP="00341717">
            <w:pPr>
              <w:spacing w:before="160" w:after="120" w:line="360" w:lineRule="atLeast"/>
            </w:pPr>
            <w:r w:rsidRPr="00777765">
              <w:t>OCSPP 835.3110, OPPT 796.318</w:t>
            </w:r>
            <w:r w:rsidR="00341717">
              <w:t xml:space="preserve">0, 796.3200, 796.3220, 796.3240, </w:t>
            </w:r>
            <w:r w:rsidRPr="00777765">
              <w:t>796.3260</w:t>
            </w:r>
          </w:p>
        </w:tc>
      </w:tr>
      <w:tr w:rsidR="00DC7FDC" w:rsidRPr="00777765" w14:paraId="09C0C08C" w14:textId="77777777" w:rsidTr="008E33AA">
        <w:trPr>
          <w:trHeight w:val="220"/>
        </w:trPr>
        <w:tc>
          <w:tcPr>
            <w:tcW w:w="2126" w:type="dxa"/>
          </w:tcPr>
          <w:p w14:paraId="70694A7E" w14:textId="77777777" w:rsidR="00DC7FDC" w:rsidRDefault="00DC7FDC" w:rsidP="003375A6">
            <w:pPr>
              <w:rPr>
                <w:lang w:eastAsia="en-AU"/>
              </w:rPr>
            </w:pPr>
            <w:r>
              <w:rPr>
                <w:lang w:eastAsia="en-AU"/>
              </w:rPr>
              <w:t>Transformation in aquatic sediment systems</w:t>
            </w:r>
          </w:p>
        </w:tc>
        <w:tc>
          <w:tcPr>
            <w:tcW w:w="1384" w:type="dxa"/>
          </w:tcPr>
          <w:p w14:paraId="125BB345" w14:textId="77777777" w:rsidR="00DC7FDC" w:rsidRDefault="00DC7FDC" w:rsidP="003375A6">
            <w:pPr>
              <w:rPr>
                <w:lang w:eastAsia="en-AU"/>
              </w:rPr>
            </w:pPr>
            <w:r>
              <w:rPr>
                <w:lang w:eastAsia="en-AU"/>
              </w:rPr>
              <w:t>308</w:t>
            </w:r>
          </w:p>
        </w:tc>
        <w:tc>
          <w:tcPr>
            <w:tcW w:w="5274" w:type="dxa"/>
          </w:tcPr>
          <w:p w14:paraId="62F91C54" w14:textId="77777777" w:rsidR="00DC7FDC" w:rsidRPr="00777765" w:rsidRDefault="00DC7FDC" w:rsidP="003375A6">
            <w:pPr>
              <w:spacing w:before="160" w:after="120" w:line="360" w:lineRule="atLeast"/>
            </w:pPr>
            <w:r>
              <w:t>-</w:t>
            </w:r>
          </w:p>
        </w:tc>
      </w:tr>
      <w:bookmarkEnd w:id="11"/>
    </w:tbl>
    <w:p w14:paraId="09FC7AF2" w14:textId="77777777" w:rsidR="00A711C5" w:rsidRDefault="00A711C5" w:rsidP="00BE0262"/>
    <w:p w14:paraId="36055D66" w14:textId="77777777" w:rsidR="00C245FE" w:rsidRDefault="00C245FE" w:rsidP="00C245FE">
      <w:pPr>
        <w:pStyle w:val="Heading3"/>
        <w:ind w:left="709"/>
        <w:rPr>
          <w:lang w:eastAsia="en-AU"/>
        </w:rPr>
      </w:pPr>
      <w:r w:rsidRPr="1FFCC16C">
        <w:rPr>
          <w:lang w:eastAsia="en-AU"/>
        </w:rPr>
        <w:t>Acceptable test guidelines for water solubility</w:t>
      </w:r>
    </w:p>
    <w:tbl>
      <w:tblPr>
        <w:tblStyle w:val="TableGrid"/>
        <w:tblW w:w="8784" w:type="dxa"/>
        <w:tblLook w:val="04A0" w:firstRow="1" w:lastRow="0" w:firstColumn="1" w:lastColumn="0" w:noHBand="0" w:noVBand="1"/>
        <w:tblCaption w:val="Table of acceptable test guidelines for environment hazard characteristics"/>
      </w:tblPr>
      <w:tblGrid>
        <w:gridCol w:w="2126"/>
        <w:gridCol w:w="1384"/>
        <w:gridCol w:w="5274"/>
      </w:tblGrid>
      <w:tr w:rsidR="00C245FE" w:rsidRPr="006F6A3F" w14:paraId="036D14DD" w14:textId="77777777" w:rsidTr="002F1715">
        <w:trPr>
          <w:tblHeader/>
        </w:trPr>
        <w:tc>
          <w:tcPr>
            <w:tcW w:w="2126" w:type="dxa"/>
            <w:shd w:val="clear" w:color="auto" w:fill="133286" w:themeFill="text2"/>
          </w:tcPr>
          <w:p w14:paraId="06DCD079" w14:textId="27D47EA2" w:rsidR="00C245FE" w:rsidRPr="006F6A3F" w:rsidRDefault="00461186" w:rsidP="002F1715">
            <w:pPr>
              <w:rPr>
                <w:b/>
                <w:lang w:eastAsia="en-AU"/>
              </w:rPr>
            </w:pPr>
            <w:r>
              <w:rPr>
                <w:b/>
                <w:lang w:eastAsia="en-AU"/>
              </w:rPr>
              <w:t>P</w:t>
            </w:r>
            <w:r w:rsidR="00C245FE">
              <w:rPr>
                <w:b/>
                <w:lang w:eastAsia="en-AU"/>
              </w:rPr>
              <w:t xml:space="preserve">roperty tested </w:t>
            </w:r>
          </w:p>
        </w:tc>
        <w:tc>
          <w:tcPr>
            <w:tcW w:w="1384" w:type="dxa"/>
            <w:shd w:val="clear" w:color="auto" w:fill="133286" w:themeFill="text2"/>
          </w:tcPr>
          <w:p w14:paraId="60367132" w14:textId="77777777" w:rsidR="00C245FE" w:rsidRPr="006F6A3F" w:rsidRDefault="00C245FE" w:rsidP="002F1715">
            <w:pPr>
              <w:rPr>
                <w:b/>
                <w:lang w:eastAsia="en-AU"/>
              </w:rPr>
            </w:pPr>
            <w:r>
              <w:rPr>
                <w:b/>
                <w:lang w:eastAsia="en-AU"/>
              </w:rPr>
              <w:t>OECD t</w:t>
            </w:r>
            <w:r w:rsidRPr="006F6A3F">
              <w:rPr>
                <w:b/>
                <w:lang w:eastAsia="en-AU"/>
              </w:rPr>
              <w:t>est guidelines</w:t>
            </w:r>
          </w:p>
        </w:tc>
        <w:tc>
          <w:tcPr>
            <w:tcW w:w="5274" w:type="dxa"/>
            <w:shd w:val="clear" w:color="auto" w:fill="133286" w:themeFill="text2"/>
          </w:tcPr>
          <w:p w14:paraId="23A170B2" w14:textId="77777777" w:rsidR="00C245FE" w:rsidRPr="006F6A3F" w:rsidRDefault="00C245FE" w:rsidP="002F1715">
            <w:pPr>
              <w:rPr>
                <w:b/>
                <w:lang w:eastAsia="en-AU"/>
              </w:rPr>
            </w:pPr>
            <w:r>
              <w:rPr>
                <w:b/>
                <w:lang w:eastAsia="en-AU"/>
              </w:rPr>
              <w:t>Equivalent test guidelines</w:t>
            </w:r>
          </w:p>
        </w:tc>
      </w:tr>
      <w:tr w:rsidR="00C245FE" w:rsidRPr="00777765" w14:paraId="0ED3AD50" w14:textId="77777777" w:rsidTr="002F1715">
        <w:trPr>
          <w:trHeight w:val="220"/>
        </w:trPr>
        <w:tc>
          <w:tcPr>
            <w:tcW w:w="2126" w:type="dxa"/>
          </w:tcPr>
          <w:p w14:paraId="0AC61E9B" w14:textId="77777777" w:rsidR="00C245FE" w:rsidRDefault="00C245FE" w:rsidP="002F1715">
            <w:pPr>
              <w:rPr>
                <w:lang w:eastAsia="en-AU"/>
              </w:rPr>
            </w:pPr>
            <w:r>
              <w:rPr>
                <w:lang w:eastAsia="en-AU"/>
              </w:rPr>
              <w:t>Water solubility – chemicals or polymers</w:t>
            </w:r>
          </w:p>
        </w:tc>
        <w:tc>
          <w:tcPr>
            <w:tcW w:w="1384" w:type="dxa"/>
          </w:tcPr>
          <w:p w14:paraId="6D90DC40" w14:textId="77777777" w:rsidR="00C245FE" w:rsidRDefault="00C245FE" w:rsidP="002F1715">
            <w:pPr>
              <w:rPr>
                <w:lang w:eastAsia="en-AU"/>
              </w:rPr>
            </w:pPr>
            <w:r>
              <w:rPr>
                <w:lang w:eastAsia="en-AU"/>
              </w:rPr>
              <w:t>105</w:t>
            </w:r>
          </w:p>
        </w:tc>
        <w:tc>
          <w:tcPr>
            <w:tcW w:w="5274" w:type="dxa"/>
          </w:tcPr>
          <w:p w14:paraId="695E6913" w14:textId="77777777" w:rsidR="00C245FE" w:rsidRDefault="00C245FE" w:rsidP="002F1715">
            <w:pPr>
              <w:spacing w:before="160" w:after="120" w:line="360" w:lineRule="atLeast"/>
            </w:pPr>
            <w:r w:rsidRPr="69A0576C">
              <w:rPr>
                <w:rFonts w:eastAsia="Segoe UI" w:cs="Segoe UI"/>
              </w:rPr>
              <w:t>OPPTS 830.7840</w:t>
            </w:r>
          </w:p>
          <w:p w14:paraId="65F1F868" w14:textId="77777777" w:rsidR="00C245FE" w:rsidRDefault="00C245FE" w:rsidP="002F1715">
            <w:pPr>
              <w:spacing w:before="160" w:after="120" w:line="360" w:lineRule="atLeast"/>
            </w:pPr>
            <w:r w:rsidRPr="69A0576C">
              <w:rPr>
                <w:rFonts w:eastAsia="Segoe UI" w:cs="Segoe UI"/>
              </w:rPr>
              <w:t>OPPTS 830.7860</w:t>
            </w:r>
          </w:p>
        </w:tc>
      </w:tr>
      <w:tr w:rsidR="00C245FE" w:rsidRPr="00777765" w14:paraId="07FE2B1D" w14:textId="77777777" w:rsidTr="002F1715">
        <w:trPr>
          <w:trHeight w:val="220"/>
        </w:trPr>
        <w:tc>
          <w:tcPr>
            <w:tcW w:w="2126" w:type="dxa"/>
          </w:tcPr>
          <w:p w14:paraId="69AC8F61" w14:textId="77777777" w:rsidR="00C245FE" w:rsidRDefault="00C245FE" w:rsidP="002F1715">
            <w:pPr>
              <w:rPr>
                <w:lang w:eastAsia="en-AU"/>
              </w:rPr>
            </w:pPr>
            <w:r>
              <w:rPr>
                <w:lang w:eastAsia="en-AU"/>
              </w:rPr>
              <w:t>Water solubility - polymers</w:t>
            </w:r>
          </w:p>
        </w:tc>
        <w:tc>
          <w:tcPr>
            <w:tcW w:w="1384" w:type="dxa"/>
          </w:tcPr>
          <w:p w14:paraId="1C057AB8" w14:textId="77777777" w:rsidR="00C245FE" w:rsidRDefault="00C245FE" w:rsidP="002F1715">
            <w:pPr>
              <w:rPr>
                <w:lang w:eastAsia="en-AU"/>
              </w:rPr>
            </w:pPr>
            <w:r>
              <w:rPr>
                <w:lang w:eastAsia="en-AU"/>
              </w:rPr>
              <w:t>120</w:t>
            </w:r>
          </w:p>
        </w:tc>
        <w:tc>
          <w:tcPr>
            <w:tcW w:w="5274" w:type="dxa"/>
          </w:tcPr>
          <w:p w14:paraId="1941AFB3" w14:textId="77777777" w:rsidR="00C245FE" w:rsidRDefault="00C245FE" w:rsidP="002F1715">
            <w:pPr>
              <w:spacing w:before="160" w:after="120" w:line="360" w:lineRule="atLeast"/>
            </w:pPr>
            <w:r>
              <w:t>-</w:t>
            </w:r>
          </w:p>
        </w:tc>
      </w:tr>
    </w:tbl>
    <w:p w14:paraId="3CC8BD25" w14:textId="77777777" w:rsidR="00C245FE" w:rsidRPr="00A711C5" w:rsidRDefault="00C245FE" w:rsidP="00BE0262"/>
    <w:sectPr w:rsidR="00C245FE" w:rsidRPr="00A711C5" w:rsidSect="007154E3">
      <w:pgSz w:w="11906" w:h="16838"/>
      <w:pgMar w:top="1440"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857EE93" w16cid:durableId="61841343"/>
  <w16cid:commentId w16cid:paraId="5F715899" w16cid:durableId="2CC642BD"/>
  <w16cid:commentId w16cid:paraId="735E919D" w16cid:durableId="365167FE"/>
  <w16cid:commentId w16cid:paraId="149760E8" w16cid:durableId="2643446B"/>
  <w16cid:commentId w16cid:paraId="4EF55CE0" w16cid:durableId="5D526007"/>
  <w16cid:commentId w16cid:paraId="0E455C28" w16cid:durableId="7E93142A"/>
  <w16cid:commentId w16cid:paraId="525AA2F9" w16cid:durableId="7BE8C653"/>
  <w16cid:commentId w16cid:paraId="20A22063" w16cid:durableId="6A4254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229A" w14:textId="77777777" w:rsidR="00934AF6" w:rsidRDefault="00934AF6" w:rsidP="007E3A65">
      <w:pPr>
        <w:spacing w:after="0"/>
      </w:pPr>
      <w:r>
        <w:separator/>
      </w:r>
    </w:p>
    <w:p w14:paraId="01E73B34" w14:textId="77777777" w:rsidR="00934AF6" w:rsidRDefault="00934AF6"/>
  </w:endnote>
  <w:endnote w:type="continuationSeparator" w:id="0">
    <w:p w14:paraId="359F495C" w14:textId="77777777" w:rsidR="00934AF6" w:rsidRDefault="00934AF6" w:rsidP="007E3A65">
      <w:pPr>
        <w:spacing w:after="0"/>
      </w:pPr>
      <w:r>
        <w:continuationSeparator/>
      </w:r>
    </w:p>
    <w:p w14:paraId="3ACE1BE6" w14:textId="77777777" w:rsidR="00934AF6" w:rsidRDefault="00934AF6"/>
  </w:endnote>
  <w:endnote w:type="continuationNotice" w:id="1">
    <w:p w14:paraId="7B066084" w14:textId="77777777" w:rsidR="00934AF6" w:rsidRDefault="00934AF6">
      <w:pPr>
        <w:spacing w:after="0"/>
      </w:pPr>
    </w:p>
    <w:p w14:paraId="3EB1AB74" w14:textId="77777777" w:rsidR="00934AF6" w:rsidRDefault="0093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E03E" w14:textId="77777777" w:rsidR="00934AF6" w:rsidRDefault="0093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EA39" w14:textId="77777777" w:rsidR="00934AF6" w:rsidRDefault="00934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C9AE" w14:textId="77777777" w:rsidR="00934AF6" w:rsidRDefault="00934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65C9" w14:textId="77777777" w:rsidR="00934AF6" w:rsidRPr="00FB79E9" w:rsidRDefault="00934AF6" w:rsidP="00FB79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171"/>
      <w:docPartObj>
        <w:docPartGallery w:val="Page Numbers (Bottom of Page)"/>
        <w:docPartUnique/>
      </w:docPartObj>
    </w:sdtPr>
    <w:sdtEndPr/>
    <w:sdtContent>
      <w:sdt>
        <w:sdtPr>
          <w:id w:val="-1457412286"/>
          <w:docPartObj>
            <w:docPartGallery w:val="Page Numbers (Top of Page)"/>
            <w:docPartUnique/>
          </w:docPartObj>
        </w:sdtPr>
        <w:sdtEndPr/>
        <w:sdtContent>
          <w:p w14:paraId="6F4C23FA" w14:textId="557289E7" w:rsidR="00934AF6" w:rsidRPr="00FB79E9" w:rsidRDefault="00934AF6" w:rsidP="00FB79E9">
            <w:pPr>
              <w:pStyle w:val="Footer"/>
              <w:tabs>
                <w:tab w:val="clear" w:pos="9026"/>
                <w:tab w:val="right" w:pos="6804"/>
              </w:tabs>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63848">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848">
              <w:rPr>
                <w:b/>
                <w:bCs/>
                <w:noProof/>
              </w:rPr>
              <w:t>81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A54CB" w14:textId="77777777" w:rsidR="00934AF6" w:rsidRDefault="00934AF6" w:rsidP="007E3A65">
      <w:pPr>
        <w:spacing w:after="0"/>
      </w:pPr>
      <w:r>
        <w:separator/>
      </w:r>
    </w:p>
    <w:p w14:paraId="29D3A5B2" w14:textId="77777777" w:rsidR="00934AF6" w:rsidRDefault="00934AF6"/>
  </w:footnote>
  <w:footnote w:type="continuationSeparator" w:id="0">
    <w:p w14:paraId="081B7006" w14:textId="77777777" w:rsidR="00934AF6" w:rsidRDefault="00934AF6" w:rsidP="007E3A65">
      <w:pPr>
        <w:spacing w:after="0"/>
      </w:pPr>
      <w:r>
        <w:continuationSeparator/>
      </w:r>
    </w:p>
    <w:p w14:paraId="1FA54A68" w14:textId="77777777" w:rsidR="00934AF6" w:rsidRDefault="00934AF6"/>
  </w:footnote>
  <w:footnote w:type="continuationNotice" w:id="1">
    <w:p w14:paraId="41148CB0" w14:textId="77777777" w:rsidR="00934AF6" w:rsidRDefault="00934AF6">
      <w:pPr>
        <w:spacing w:after="0"/>
      </w:pPr>
    </w:p>
    <w:p w14:paraId="4C660DE9" w14:textId="77777777" w:rsidR="00934AF6" w:rsidRDefault="00934AF6"/>
  </w:footnote>
  <w:footnote w:id="2">
    <w:p w14:paraId="1DCDC8AA" w14:textId="77777777" w:rsidR="00934AF6" w:rsidRDefault="00934AF6">
      <w:pPr>
        <w:pStyle w:val="FootnoteText"/>
      </w:pPr>
      <w:r>
        <w:rPr>
          <w:rStyle w:val="FootnoteReference"/>
        </w:rPr>
        <w:footnoteRef/>
      </w:r>
      <w:r>
        <w:t xml:space="preserve"> Published on the OECD website page </w:t>
      </w:r>
      <w:hyperlink r:id="rId1" w:history="1">
        <w:r>
          <w:rPr>
            <w:rStyle w:val="Hyperlink"/>
          </w:rPr>
          <w:t>http://www.oecd.org/chemicalsafety/risk-assessment/proceduresfornotificationofnewchemicals.htm</w:t>
        </w:r>
      </w:hyperlink>
    </w:p>
  </w:footnote>
  <w:footnote w:id="3">
    <w:p w14:paraId="7A97D0E2" w14:textId="77777777" w:rsidR="00934AF6" w:rsidRDefault="00934AF6" w:rsidP="00341717">
      <w:pPr>
        <w:pStyle w:val="NormalWeb"/>
        <w:shd w:val="clear" w:color="auto" w:fill="FFFFFF"/>
        <w:spacing w:before="0" w:beforeAutospacing="0" w:after="300" w:afterAutospacing="0" w:line="315" w:lineRule="atLeast"/>
        <w:textAlignment w:val="baseline"/>
      </w:pPr>
      <w:r>
        <w:rPr>
          <w:rStyle w:val="FootnoteReference"/>
        </w:rPr>
        <w:footnoteRef/>
      </w:r>
      <w:r>
        <w:t xml:space="preserve"> </w:t>
      </w:r>
      <w:r w:rsidRPr="00341717">
        <w:rPr>
          <w:rFonts w:ascii="Segoe UI" w:hAnsi="Segoe UI" w:cs="Segoe UI"/>
          <w:sz w:val="20"/>
          <w:szCs w:val="20"/>
        </w:rPr>
        <w:t>EFSA (European Food Safety Authority), Guidance on the use of the Threshold of Toxicological Concern approach in food safety assessment, EFSA Journal 2019;17(6):5708</w:t>
      </w:r>
    </w:p>
    <w:p w14:paraId="2D3577F9" w14:textId="77777777" w:rsidR="00934AF6" w:rsidRDefault="00934AF6">
      <w:pPr>
        <w:pStyle w:val="FootnoteText"/>
      </w:pPr>
    </w:p>
  </w:footnote>
  <w:footnote w:id="4">
    <w:p w14:paraId="77484752" w14:textId="77777777" w:rsidR="00934AF6" w:rsidRDefault="00934AF6">
      <w:pPr>
        <w:pStyle w:val="FootnoteText"/>
      </w:pPr>
      <w:r>
        <w:rPr>
          <w:rStyle w:val="FootnoteReference"/>
        </w:rPr>
        <w:footnoteRef/>
      </w:r>
      <w:r>
        <w:t xml:space="preserve"> </w:t>
      </w:r>
      <w:r w:rsidRPr="00045961">
        <w:t>Guidance for the identification of endocrine disruptors in the context of 39 Regulations (EU) No 528/2012 and (EC) No 1107/2009, currently a 2017 consultation draft. Accessed </w:t>
      </w:r>
      <w:hyperlink r:id="rId2" w:tgtFrame="_blank" w:tooltip="Opens in a new tab/window" w:history="1">
        <w:r w:rsidRPr="00045961">
          <w:rPr>
            <w:rStyle w:val="Hyperlink"/>
          </w:rPr>
          <w:t>here</w:t>
        </w:r>
      </w:hyperlink>
      <w:r w:rsidRPr="00045961">
        <w:t>.</w:t>
      </w:r>
    </w:p>
  </w:footnote>
  <w:footnote w:id="5">
    <w:p w14:paraId="2AE51A03" w14:textId="77777777" w:rsidR="00934AF6" w:rsidRDefault="00934AF6">
      <w:pPr>
        <w:pStyle w:val="FootnoteText"/>
      </w:pPr>
      <w:r>
        <w:rPr>
          <w:rStyle w:val="FootnoteReference"/>
        </w:rPr>
        <w:footnoteRef/>
      </w:r>
      <w:r>
        <w:t xml:space="preserve"> </w:t>
      </w:r>
      <w:r w:rsidRPr="00045961">
        <w:t>ENV/JM/MONO(2012)22, OECD Series on Testing and Assessment, No. 150 - Guidance document on standardised test guidelines for evaluating chemicals for endocrine disruption. Accessed </w:t>
      </w:r>
      <w:hyperlink r:id="rId3" w:tgtFrame="_blank" w:tooltip="Opens in a new tab/window" w:history="1">
        <w:r w:rsidRPr="00045961">
          <w:rPr>
            <w:rStyle w:val="Hyperlink"/>
          </w:rPr>
          <w:t>here</w:t>
        </w:r>
      </w:hyperlink>
      <w:r w:rsidRPr="00045961">
        <w:t>.</w:t>
      </w:r>
    </w:p>
  </w:footnote>
  <w:footnote w:id="6">
    <w:p w14:paraId="3223BD6E" w14:textId="77777777" w:rsidR="00934AF6" w:rsidRDefault="00934AF6">
      <w:pPr>
        <w:pStyle w:val="FootnoteText"/>
      </w:pPr>
      <w:r>
        <w:rPr>
          <w:rStyle w:val="FootnoteReference"/>
        </w:rPr>
        <w:footnoteRef/>
      </w:r>
      <w:r>
        <w:t xml:space="preserve"> Low concern reactive functional groups are listed in subclause 2(7) of Schedule 2, Part 1 of the IC General Rules </w:t>
      </w:r>
    </w:p>
  </w:footnote>
  <w:footnote w:id="7">
    <w:p w14:paraId="202704B9" w14:textId="77777777" w:rsidR="00934AF6" w:rsidRDefault="00934AF6">
      <w:pPr>
        <w:pStyle w:val="FootnoteText"/>
      </w:pPr>
      <w:r>
        <w:rPr>
          <w:rStyle w:val="FootnoteReference"/>
        </w:rPr>
        <w:footnoteRef/>
      </w:r>
      <w:r>
        <w:t xml:space="preserve"> Moderate concern reactive functional groups are listed in subclause 2(5) of Schedule 2, Part 1 of the IC General Rules </w:t>
      </w:r>
    </w:p>
  </w:footnote>
  <w:footnote w:id="8">
    <w:p w14:paraId="13ECE5EE" w14:textId="77777777" w:rsidR="00934AF6" w:rsidRDefault="00934AF6" w:rsidP="0049004C">
      <w:pPr>
        <w:pStyle w:val="FootnoteText"/>
      </w:pPr>
      <w:r>
        <w:rPr>
          <w:rStyle w:val="FootnoteReference"/>
        </w:rPr>
        <w:footnoteRef/>
      </w:r>
      <w:r>
        <w:t xml:space="preserve"> </w:t>
      </w:r>
      <w:r w:rsidRPr="00045961">
        <w:t>Guidance for the identification of endocrine disruptors in the context of 39 Regulations (EU) No 528/2012 and (EC) No 1107/2009, currently a 2017 consultation draft. Accessed </w:t>
      </w:r>
      <w:hyperlink r:id="rId4" w:tgtFrame="_blank" w:tooltip="Opens in a new tab/window" w:history="1">
        <w:r w:rsidRPr="00045961">
          <w:rPr>
            <w:rStyle w:val="Hyperlink"/>
          </w:rPr>
          <w:t>here</w:t>
        </w:r>
      </w:hyperlink>
      <w:r w:rsidRPr="00045961">
        <w:t>.</w:t>
      </w:r>
    </w:p>
  </w:footnote>
  <w:footnote w:id="9">
    <w:p w14:paraId="023DA233" w14:textId="77777777" w:rsidR="00934AF6" w:rsidRDefault="00934AF6" w:rsidP="0049004C">
      <w:pPr>
        <w:pStyle w:val="FootnoteText"/>
      </w:pPr>
      <w:r>
        <w:rPr>
          <w:rStyle w:val="FootnoteReference"/>
        </w:rPr>
        <w:footnoteRef/>
      </w:r>
      <w:r>
        <w:t xml:space="preserve"> </w:t>
      </w:r>
      <w:r w:rsidRPr="00045961">
        <w:t>ENV/JM/MONO(2012)22, OECD Series on Testing and Assessment, No. 150 - Guidance document on standardised test guidelines for evaluating chemicals for endocrine disruption. Accessed </w:t>
      </w:r>
      <w:hyperlink r:id="rId5" w:tgtFrame="_blank" w:tooltip="Opens in a new tab/window" w:history="1">
        <w:r w:rsidRPr="00045961">
          <w:rPr>
            <w:rStyle w:val="Hyperlink"/>
          </w:rPr>
          <w:t>here</w:t>
        </w:r>
      </w:hyperlink>
      <w:r w:rsidRPr="00045961">
        <w:t>.</w:t>
      </w:r>
    </w:p>
  </w:footnote>
  <w:footnote w:id="10">
    <w:p w14:paraId="65C19006" w14:textId="59392B05" w:rsidR="00934AF6" w:rsidRDefault="00934AF6">
      <w:pPr>
        <w:pStyle w:val="FootnoteText"/>
      </w:pPr>
      <w:r>
        <w:rPr>
          <w:rStyle w:val="FootnoteReference"/>
        </w:rPr>
        <w:footnoteRef/>
      </w:r>
      <w:r>
        <w:t xml:space="preserve"> If the chemical </w:t>
      </w:r>
      <w:r w:rsidRPr="18BCD895">
        <w:rPr>
          <w:i/>
          <w:iCs/>
        </w:rPr>
        <w:t>is</w:t>
      </w:r>
      <w:r>
        <w:t xml:space="preserve"> a highly branched organic chemical, in silico predictions and read across information cannot be used to demonstrate that the chemical does not have the persistence aspect of the persistent, bioaccumulative and toxic hazard characteristic – only studies on the chemical itself, as described in the next dot point, are acceptable</w:t>
      </w:r>
    </w:p>
  </w:footnote>
  <w:footnote w:id="11">
    <w:p w14:paraId="7557A57B" w14:textId="07BEC0F5" w:rsidR="00934AF6" w:rsidRDefault="00934AF6">
      <w:pPr>
        <w:pStyle w:val="FootnoteText"/>
      </w:pPr>
      <w:r>
        <w:rPr>
          <w:rStyle w:val="FootnoteReference"/>
        </w:rPr>
        <w:footnoteRef/>
      </w:r>
      <w:r>
        <w:t xml:space="preserve"> If the chemical </w:t>
      </w:r>
      <w:r w:rsidRPr="18BCD895">
        <w:rPr>
          <w:i/>
          <w:iCs/>
        </w:rPr>
        <w:t>is</w:t>
      </w:r>
      <w:r>
        <w:t xml:space="preserve"> a highly branched organic chemical, in silico predictions and read across information cannot be used to demonstrate that the chemical does not have the persistence aspect of the persistent, bioaccumulative and toxic hazard characteristic – only studies on the chemical itself, as described in the next dot point, are acceptable</w:t>
      </w:r>
    </w:p>
  </w:footnote>
  <w:footnote w:id="12">
    <w:p w14:paraId="7ACBBA2F" w14:textId="7D134E60" w:rsidR="00934AF6" w:rsidRDefault="00934AF6">
      <w:pPr>
        <w:pStyle w:val="FootnoteText"/>
      </w:pPr>
      <w:r>
        <w:rPr>
          <w:rStyle w:val="FootnoteReference"/>
        </w:rPr>
        <w:footnoteRef/>
      </w:r>
      <w:r>
        <w:t xml:space="preserve"> If the chemical </w:t>
      </w:r>
      <w:r w:rsidRPr="18BCD895">
        <w:rPr>
          <w:i/>
          <w:iCs/>
        </w:rPr>
        <w:t>is</w:t>
      </w:r>
      <w:r>
        <w:t xml:space="preserve"> a biocidal active or a persistent, highly branched organic chemical, in silico predictions cannot be used to demonstrate that the chemical does not have the toxicity aspect of the persistent, bioaccumulative and toxic hazard characteristic – only in vivo chronic aquatic toxicity studies, as described in the next dot point, are acceptable.</w:t>
      </w:r>
    </w:p>
  </w:footnote>
  <w:footnote w:id="13">
    <w:p w14:paraId="688454CD" w14:textId="6DA5E603" w:rsidR="00934AF6" w:rsidRDefault="00934AF6">
      <w:pPr>
        <w:pStyle w:val="FootnoteText"/>
      </w:pPr>
      <w:r>
        <w:rPr>
          <w:rStyle w:val="FootnoteReference"/>
        </w:rPr>
        <w:footnoteRef/>
      </w:r>
      <w:r>
        <w:t xml:space="preserve"> If the chemical </w:t>
      </w:r>
      <w:r w:rsidRPr="18BCD895">
        <w:rPr>
          <w:i/>
          <w:iCs/>
        </w:rPr>
        <w:t>is</w:t>
      </w:r>
      <w:r>
        <w:t xml:space="preserve"> a biocidal active or a persistent, highly branched organic chemical, in silico predictions cannot be used to demonstrate that the chemical does not have the very toxic to any aquatic life hazard characteristic – only in vivo chronic aquatic toxicity studies, as described in the next dot point, are acceptable</w:t>
      </w:r>
    </w:p>
  </w:footnote>
  <w:footnote w:id="14">
    <w:p w14:paraId="1013CA3D" w14:textId="37C217A1" w:rsidR="00934AF6" w:rsidRDefault="00934AF6">
      <w:pPr>
        <w:pStyle w:val="FootnoteText"/>
      </w:pPr>
      <w:r>
        <w:rPr>
          <w:rStyle w:val="FootnoteReference"/>
        </w:rPr>
        <w:footnoteRef/>
      </w:r>
      <w:r>
        <w:t xml:space="preserve"> If the chemical </w:t>
      </w:r>
      <w:r w:rsidRPr="18BCD895">
        <w:rPr>
          <w:i/>
          <w:iCs/>
        </w:rPr>
        <w:t>is</w:t>
      </w:r>
      <w:r>
        <w:t xml:space="preserve"> a highly branched organic chemical, in silico predictions and read across information cannot be used to demonstrate that the chemical does not have the persistence aspect of the persistent and bioaccumulative hazard characteristic – only studies on the chemical itself, as described in the next dot point, are acceptable</w:t>
      </w:r>
    </w:p>
  </w:footnote>
  <w:footnote w:id="15">
    <w:p w14:paraId="0F69DFD4" w14:textId="6BF97B2D" w:rsidR="00934AF6" w:rsidRDefault="00934AF6">
      <w:pPr>
        <w:pStyle w:val="FootnoteText"/>
      </w:pPr>
      <w:r>
        <w:rPr>
          <w:rStyle w:val="FootnoteReference"/>
        </w:rPr>
        <w:footnoteRef/>
      </w:r>
      <w:r>
        <w:t xml:space="preserve"> If the chemical </w:t>
      </w:r>
      <w:r w:rsidRPr="18BCD895">
        <w:rPr>
          <w:i/>
          <w:iCs/>
        </w:rPr>
        <w:t>is</w:t>
      </w:r>
      <w:r>
        <w:t xml:space="preserve"> a highly branched organic chemical, in silico predictions and read across information cannot be used to demonstrate that the chemical does not have the persistence aspect of the persistent and bioaccumulative hazard characteristic – only studies on the chemical itself, as described in the next dot point, are acceptable</w:t>
      </w:r>
    </w:p>
  </w:footnote>
  <w:footnote w:id="16">
    <w:p w14:paraId="2E9C83C7" w14:textId="7A5F5287" w:rsidR="00934AF6" w:rsidRDefault="00934AF6">
      <w:pPr>
        <w:pStyle w:val="FootnoteText"/>
      </w:pPr>
      <w:r>
        <w:rPr>
          <w:rStyle w:val="FootnoteReference"/>
        </w:rPr>
        <w:footnoteRef/>
      </w:r>
      <w:r>
        <w:t xml:space="preserve"> If the chemical </w:t>
      </w:r>
      <w:r w:rsidRPr="18BCD895">
        <w:rPr>
          <w:i/>
          <w:iCs/>
        </w:rPr>
        <w:t>is</w:t>
      </w:r>
      <w:r>
        <w:t xml:space="preserve"> a biocidal active or a persistent, highly branched organic chemical, in silico predictions cannot be used to demonstrate that the chemical does not have the toxic to any aquatic life hazard characteristic – only in vivo chronic aquatic toxicity studies, as described in the next dot point, are acceptable</w:t>
      </w:r>
    </w:p>
  </w:footnote>
  <w:footnote w:id="17">
    <w:p w14:paraId="03CCA411" w14:textId="3171F345" w:rsidR="00934AF6" w:rsidRDefault="00934AF6" w:rsidP="003C4DD5">
      <w:pPr>
        <w:pStyle w:val="FootnoteText"/>
      </w:pPr>
      <w:r w:rsidRPr="18BCD895">
        <w:rPr>
          <w:rStyle w:val="FootnoteReference"/>
        </w:rPr>
        <w:footnoteRef/>
      </w:r>
      <w:r>
        <w:t xml:space="preserve"> If the chemical </w:t>
      </w:r>
      <w:r w:rsidRPr="18BCD895">
        <w:rPr>
          <w:i/>
          <w:iCs/>
        </w:rPr>
        <w:t xml:space="preserve">is </w:t>
      </w:r>
      <w:r w:rsidRPr="18BCD895">
        <w:t>a highly branched organic chemical, in silico predictions and read across information cannot be used to demonstrate that the chemical does not have the bioaccumulation potential hazard characteristic – only studies on the chemical itself, as described in the next dot point, are acceptable.</w:t>
      </w:r>
    </w:p>
  </w:footnote>
  <w:footnote w:id="18">
    <w:p w14:paraId="70EAA86E" w14:textId="759F5632" w:rsidR="00934AF6" w:rsidRDefault="00934AF6">
      <w:pPr>
        <w:pStyle w:val="FootnoteText"/>
      </w:pPr>
      <w:r>
        <w:rPr>
          <w:rStyle w:val="FootnoteReference"/>
        </w:rPr>
        <w:footnoteRef/>
      </w:r>
      <w:r>
        <w:t xml:space="preserve"> If the chemical </w:t>
      </w:r>
      <w:r w:rsidRPr="18BCD895">
        <w:rPr>
          <w:i/>
          <w:iCs/>
        </w:rPr>
        <w:t>is</w:t>
      </w:r>
      <w:r>
        <w:t xml:space="preserve"> a highly branched organic chemical, in silico predictions and read across information cannot be used to demonstrate that the chemical does not have the hazard characteristic, industrial chemical (other than a polymer) that does not meet the criteria for ready biodegradability – only studies on the chemical itself, as described in the next dot point, are acceptable</w:t>
      </w:r>
    </w:p>
  </w:footnote>
  <w:footnote w:id="19">
    <w:p w14:paraId="5F94EDE8" w14:textId="71B6CDF4" w:rsidR="00934AF6" w:rsidRDefault="00934AF6">
      <w:pPr>
        <w:pStyle w:val="FootnoteText"/>
      </w:pPr>
      <w:r>
        <w:rPr>
          <w:rStyle w:val="FootnoteReference"/>
        </w:rPr>
        <w:footnoteRef/>
      </w:r>
      <w:r>
        <w:t xml:space="preserve"> If the chemical </w:t>
      </w:r>
      <w:r w:rsidRPr="18BCD895">
        <w:rPr>
          <w:i/>
          <w:iCs/>
        </w:rPr>
        <w:t>is</w:t>
      </w:r>
      <w:r>
        <w:t xml:space="preserve"> a biocidal active or a persistent, highly branched organic chemical, in silico predictions cannot be used to demonstrate that the chemical does not have the harmful to any aquatic life hazard characteristic – only in vivo chronic aquatic toxicity studies, as described in the next dot point, are acceptable</w:t>
      </w:r>
    </w:p>
  </w:footnote>
  <w:footnote w:id="20">
    <w:p w14:paraId="11841DA0" w14:textId="77777777" w:rsidR="00934AF6" w:rsidRDefault="00934AF6" w:rsidP="00750530">
      <w:pPr>
        <w:autoSpaceDE w:val="0"/>
        <w:autoSpaceDN w:val="0"/>
        <w:adjustRightInd w:val="0"/>
        <w:spacing w:before="0" w:after="0"/>
      </w:pPr>
      <w:r>
        <w:rPr>
          <w:rStyle w:val="FootnoteReference"/>
        </w:rPr>
        <w:footnoteRef/>
      </w:r>
      <w:r>
        <w:t xml:space="preserve"> </w:t>
      </w:r>
      <w:r w:rsidRPr="00750530">
        <w:rPr>
          <w:rFonts w:cs="Segoe UI"/>
        </w:rPr>
        <w:t xml:space="preserve">OECD Environment, Health and Safety Publications Series on Testing and Assessment No. 129, Guidance Document on </w:t>
      </w:r>
      <w:r w:rsidRPr="00750530">
        <w:rPr>
          <w:rFonts w:cs="Segoe UI"/>
          <w:iCs/>
        </w:rPr>
        <w:t>Using Cytotoxicity Tests To Estimate</w:t>
      </w:r>
      <w:r>
        <w:rPr>
          <w:rFonts w:cs="Segoe UI"/>
          <w:iCs/>
        </w:rPr>
        <w:t xml:space="preserve"> </w:t>
      </w:r>
      <w:r w:rsidRPr="00750530">
        <w:rPr>
          <w:rFonts w:cs="Segoe UI"/>
          <w:iCs/>
        </w:rPr>
        <w:t>Starting Doses For Acute Oral Systemic Toxicity Tests</w:t>
      </w:r>
      <w:r w:rsidRPr="00750530">
        <w:rPr>
          <w:rFonts w:cs="Segoe UI"/>
        </w:rPr>
        <w:t xml:space="preserve"> (2010)</w:t>
      </w:r>
    </w:p>
  </w:footnote>
  <w:footnote w:id="21">
    <w:p w14:paraId="14714538" w14:textId="77777777" w:rsidR="00934AF6" w:rsidRDefault="00934AF6">
      <w:pPr>
        <w:pStyle w:val="FootnoteText"/>
      </w:pPr>
      <w:r>
        <w:rPr>
          <w:rStyle w:val="FootnoteReference"/>
        </w:rPr>
        <w:footnoteRef/>
      </w:r>
      <w:r>
        <w:t xml:space="preserve"> Only for the purposes of part 6.5.1 of these Guidelines</w:t>
      </w:r>
    </w:p>
  </w:footnote>
  <w:footnote w:id="22">
    <w:p w14:paraId="58792167" w14:textId="77777777" w:rsidR="00934AF6" w:rsidRDefault="00934AF6">
      <w:pPr>
        <w:pStyle w:val="FootnoteText"/>
      </w:pPr>
      <w:r>
        <w:rPr>
          <w:rStyle w:val="FootnoteReference"/>
        </w:rPr>
        <w:footnoteRef/>
      </w:r>
      <w:r>
        <w:t xml:space="preserve"> Only for the purposes of part 6.4.1 of these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E4BE" w14:textId="77777777" w:rsidR="00934AF6" w:rsidRDefault="0093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4194" w14:textId="77777777" w:rsidR="00934AF6" w:rsidRDefault="00934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666E" w14:textId="77777777" w:rsidR="00934AF6" w:rsidRDefault="00934A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A938" w14:textId="77777777" w:rsidR="00934AF6" w:rsidRPr="00FB79E9" w:rsidRDefault="00934AF6" w:rsidP="00FB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C7635F8"/>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E3EC3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00EF84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C8C4D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80552B"/>
    <w:multiLevelType w:val="hybridMultilevel"/>
    <w:tmpl w:val="8696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5674A4"/>
    <w:multiLevelType w:val="hybridMultilevel"/>
    <w:tmpl w:val="9BB88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751EFA"/>
    <w:multiLevelType w:val="hybridMultilevel"/>
    <w:tmpl w:val="16C0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914A22"/>
    <w:multiLevelType w:val="hybridMultilevel"/>
    <w:tmpl w:val="5928D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204530"/>
    <w:multiLevelType w:val="hybridMultilevel"/>
    <w:tmpl w:val="19E26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6978C9"/>
    <w:multiLevelType w:val="hybridMultilevel"/>
    <w:tmpl w:val="001A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8355C7"/>
    <w:multiLevelType w:val="hybridMultilevel"/>
    <w:tmpl w:val="E4927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BC6215"/>
    <w:multiLevelType w:val="hybridMultilevel"/>
    <w:tmpl w:val="FCD2A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5B0081"/>
    <w:multiLevelType w:val="hybridMultilevel"/>
    <w:tmpl w:val="C5865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A16DF8"/>
    <w:multiLevelType w:val="hybridMultilevel"/>
    <w:tmpl w:val="051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667441"/>
    <w:multiLevelType w:val="hybridMultilevel"/>
    <w:tmpl w:val="84008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53DAE"/>
    <w:multiLevelType w:val="hybridMultilevel"/>
    <w:tmpl w:val="F68A922A"/>
    <w:lvl w:ilvl="0" w:tplc="E88E4116">
      <w:start w:val="1"/>
      <w:numFmt w:val="bullet"/>
      <w:lvlText w:val=""/>
      <w:lvlJc w:val="left"/>
      <w:pPr>
        <w:ind w:left="720" w:hanging="360"/>
      </w:pPr>
      <w:rPr>
        <w:rFonts w:ascii="Symbol" w:hAnsi="Symbol" w:hint="default"/>
      </w:rPr>
    </w:lvl>
    <w:lvl w:ilvl="1" w:tplc="53EE63DE">
      <w:start w:val="1"/>
      <w:numFmt w:val="bullet"/>
      <w:lvlText w:val="o"/>
      <w:lvlJc w:val="left"/>
      <w:pPr>
        <w:ind w:left="1440" w:hanging="360"/>
      </w:pPr>
      <w:rPr>
        <w:rFonts w:ascii="Courier New" w:hAnsi="Courier New" w:hint="default"/>
      </w:rPr>
    </w:lvl>
    <w:lvl w:ilvl="2" w:tplc="A21483AA">
      <w:start w:val="1"/>
      <w:numFmt w:val="bullet"/>
      <w:lvlText w:val=""/>
      <w:lvlJc w:val="left"/>
      <w:pPr>
        <w:ind w:left="2160" w:hanging="360"/>
      </w:pPr>
      <w:rPr>
        <w:rFonts w:ascii="Wingdings" w:hAnsi="Wingdings" w:hint="default"/>
      </w:rPr>
    </w:lvl>
    <w:lvl w:ilvl="3" w:tplc="7F9A96DC">
      <w:start w:val="1"/>
      <w:numFmt w:val="bullet"/>
      <w:lvlText w:val=""/>
      <w:lvlJc w:val="left"/>
      <w:pPr>
        <w:ind w:left="2880" w:hanging="360"/>
      </w:pPr>
      <w:rPr>
        <w:rFonts w:ascii="Symbol" w:hAnsi="Symbol" w:hint="default"/>
      </w:rPr>
    </w:lvl>
    <w:lvl w:ilvl="4" w:tplc="0D503A98">
      <w:start w:val="1"/>
      <w:numFmt w:val="bullet"/>
      <w:lvlText w:val="o"/>
      <w:lvlJc w:val="left"/>
      <w:pPr>
        <w:ind w:left="3600" w:hanging="360"/>
      </w:pPr>
      <w:rPr>
        <w:rFonts w:ascii="Courier New" w:hAnsi="Courier New" w:hint="default"/>
      </w:rPr>
    </w:lvl>
    <w:lvl w:ilvl="5" w:tplc="24B6C8F4">
      <w:start w:val="1"/>
      <w:numFmt w:val="bullet"/>
      <w:lvlText w:val=""/>
      <w:lvlJc w:val="left"/>
      <w:pPr>
        <w:ind w:left="4320" w:hanging="360"/>
      </w:pPr>
      <w:rPr>
        <w:rFonts w:ascii="Wingdings" w:hAnsi="Wingdings" w:hint="default"/>
      </w:rPr>
    </w:lvl>
    <w:lvl w:ilvl="6" w:tplc="E684F4CC">
      <w:start w:val="1"/>
      <w:numFmt w:val="bullet"/>
      <w:lvlText w:val=""/>
      <w:lvlJc w:val="left"/>
      <w:pPr>
        <w:ind w:left="5040" w:hanging="360"/>
      </w:pPr>
      <w:rPr>
        <w:rFonts w:ascii="Symbol" w:hAnsi="Symbol" w:hint="default"/>
      </w:rPr>
    </w:lvl>
    <w:lvl w:ilvl="7" w:tplc="F42CE5EE">
      <w:start w:val="1"/>
      <w:numFmt w:val="bullet"/>
      <w:lvlText w:val="o"/>
      <w:lvlJc w:val="left"/>
      <w:pPr>
        <w:ind w:left="5760" w:hanging="360"/>
      </w:pPr>
      <w:rPr>
        <w:rFonts w:ascii="Courier New" w:hAnsi="Courier New" w:hint="default"/>
      </w:rPr>
    </w:lvl>
    <w:lvl w:ilvl="8" w:tplc="5F188FFE">
      <w:start w:val="1"/>
      <w:numFmt w:val="bullet"/>
      <w:lvlText w:val=""/>
      <w:lvlJc w:val="left"/>
      <w:pPr>
        <w:ind w:left="6480" w:hanging="360"/>
      </w:pPr>
      <w:rPr>
        <w:rFonts w:ascii="Wingdings" w:hAnsi="Wingdings" w:hint="default"/>
      </w:rPr>
    </w:lvl>
  </w:abstractNum>
  <w:abstractNum w:abstractNumId="16" w15:restartNumberingAfterBreak="0">
    <w:nsid w:val="083D2E3A"/>
    <w:multiLevelType w:val="hybridMultilevel"/>
    <w:tmpl w:val="5AC6C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7C2FBF"/>
    <w:multiLevelType w:val="hybridMultilevel"/>
    <w:tmpl w:val="CAF8443C"/>
    <w:lvl w:ilvl="0" w:tplc="0C09000F">
      <w:start w:val="1"/>
      <w:numFmt w:val="decimal"/>
      <w:lvlText w:val="%1."/>
      <w:lvlJc w:val="left"/>
      <w:pPr>
        <w:ind w:left="1440" w:hanging="360"/>
      </w:pPr>
      <w:rPr>
        <w:rFonts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09DA2339"/>
    <w:multiLevelType w:val="hybridMultilevel"/>
    <w:tmpl w:val="D19CC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CF1862"/>
    <w:multiLevelType w:val="hybridMultilevel"/>
    <w:tmpl w:val="271E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C00EB3"/>
    <w:multiLevelType w:val="hybridMultilevel"/>
    <w:tmpl w:val="2CF4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53194E"/>
    <w:multiLevelType w:val="hybridMultilevel"/>
    <w:tmpl w:val="47FAC304"/>
    <w:lvl w:ilvl="0" w:tplc="253E3D9C">
      <w:start w:val="1"/>
      <w:numFmt w:val="bullet"/>
      <w:pStyle w:val="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FF5650C"/>
    <w:multiLevelType w:val="hybridMultilevel"/>
    <w:tmpl w:val="B878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5C3B19"/>
    <w:multiLevelType w:val="hybridMultilevel"/>
    <w:tmpl w:val="DB5C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8F6866"/>
    <w:multiLevelType w:val="hybridMultilevel"/>
    <w:tmpl w:val="8972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F1115B"/>
    <w:multiLevelType w:val="hybridMultilevel"/>
    <w:tmpl w:val="185C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12A1AF7"/>
    <w:multiLevelType w:val="hybridMultilevel"/>
    <w:tmpl w:val="4D7A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1B46A79"/>
    <w:multiLevelType w:val="hybridMultilevel"/>
    <w:tmpl w:val="5A246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002ED6"/>
    <w:multiLevelType w:val="hybridMultilevel"/>
    <w:tmpl w:val="4A32F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0F0447"/>
    <w:multiLevelType w:val="hybridMultilevel"/>
    <w:tmpl w:val="395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24F0E20"/>
    <w:multiLevelType w:val="hybridMultilevel"/>
    <w:tmpl w:val="71A43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9A4876"/>
    <w:multiLevelType w:val="hybridMultilevel"/>
    <w:tmpl w:val="4B82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5428A8"/>
    <w:multiLevelType w:val="hybridMultilevel"/>
    <w:tmpl w:val="4378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5702DC0"/>
    <w:multiLevelType w:val="hybridMultilevel"/>
    <w:tmpl w:val="04F8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7A192F"/>
    <w:multiLevelType w:val="hybridMultilevel"/>
    <w:tmpl w:val="B09C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5A8793C"/>
    <w:multiLevelType w:val="hybridMultilevel"/>
    <w:tmpl w:val="7E0E5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78F064D"/>
    <w:multiLevelType w:val="hybridMultilevel"/>
    <w:tmpl w:val="DE96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797AB3"/>
    <w:multiLevelType w:val="hybridMultilevel"/>
    <w:tmpl w:val="4FEC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9DD7840"/>
    <w:multiLevelType w:val="hybridMultilevel"/>
    <w:tmpl w:val="0CDEE8D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8B6001"/>
    <w:multiLevelType w:val="hybridMultilevel"/>
    <w:tmpl w:val="2B8AB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D561673"/>
    <w:multiLevelType w:val="hybridMultilevel"/>
    <w:tmpl w:val="FDDEC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D586DD9"/>
    <w:multiLevelType w:val="hybridMultilevel"/>
    <w:tmpl w:val="B7AC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1F623C0"/>
    <w:multiLevelType w:val="hybridMultilevel"/>
    <w:tmpl w:val="773C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2912F7"/>
    <w:multiLevelType w:val="hybridMultilevel"/>
    <w:tmpl w:val="A68E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9251CC7"/>
    <w:multiLevelType w:val="hybridMultilevel"/>
    <w:tmpl w:val="620C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9F133E1"/>
    <w:multiLevelType w:val="hybridMultilevel"/>
    <w:tmpl w:val="9018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D387F1E"/>
    <w:multiLevelType w:val="hybridMultilevel"/>
    <w:tmpl w:val="2302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EEA1399"/>
    <w:multiLevelType w:val="multilevel"/>
    <w:tmpl w:val="FA729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0C12CD"/>
    <w:multiLevelType w:val="hybridMultilevel"/>
    <w:tmpl w:val="FEB8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081700B"/>
    <w:multiLevelType w:val="hybridMultilevel"/>
    <w:tmpl w:val="E138B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128150A"/>
    <w:multiLevelType w:val="hybridMultilevel"/>
    <w:tmpl w:val="C92E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2343408"/>
    <w:multiLevelType w:val="hybridMultilevel"/>
    <w:tmpl w:val="C7E2CA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341078DA"/>
    <w:multiLevelType w:val="hybridMultilevel"/>
    <w:tmpl w:val="0510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4FA2512"/>
    <w:multiLevelType w:val="hybridMultilevel"/>
    <w:tmpl w:val="8DF69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56A6A6F"/>
    <w:multiLevelType w:val="hybridMultilevel"/>
    <w:tmpl w:val="7388A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56F214F"/>
    <w:multiLevelType w:val="hybridMultilevel"/>
    <w:tmpl w:val="F5C2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7197006"/>
    <w:multiLevelType w:val="hybridMultilevel"/>
    <w:tmpl w:val="B9EC03CC"/>
    <w:lvl w:ilvl="0" w:tplc="B7249354">
      <w:start w:val="1"/>
      <w:numFmt w:val="bullet"/>
      <w:pStyle w:val="List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73F2BEE"/>
    <w:multiLevelType w:val="hybridMultilevel"/>
    <w:tmpl w:val="8A7E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78F1D7E"/>
    <w:multiLevelType w:val="hybridMultilevel"/>
    <w:tmpl w:val="017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9AD7109"/>
    <w:multiLevelType w:val="hybridMultilevel"/>
    <w:tmpl w:val="78A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D16505"/>
    <w:multiLevelType w:val="hybridMultilevel"/>
    <w:tmpl w:val="95C0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E96A42"/>
    <w:multiLevelType w:val="hybridMultilevel"/>
    <w:tmpl w:val="8A44C194"/>
    <w:lvl w:ilvl="0" w:tplc="F294AD84">
      <w:start w:val="1"/>
      <w:numFmt w:val="bullet"/>
      <w:lvlText w:val=""/>
      <w:lvlJc w:val="left"/>
      <w:pPr>
        <w:ind w:left="720" w:hanging="360"/>
      </w:pPr>
      <w:rPr>
        <w:rFonts w:ascii="Symbol" w:hAnsi="Symbol" w:hint="default"/>
      </w:rPr>
    </w:lvl>
    <w:lvl w:ilvl="1" w:tplc="34FAD52A">
      <w:start w:val="1"/>
      <w:numFmt w:val="bullet"/>
      <w:lvlText w:val="o"/>
      <w:lvlJc w:val="left"/>
      <w:pPr>
        <w:ind w:left="1440" w:hanging="360"/>
      </w:pPr>
      <w:rPr>
        <w:rFonts w:ascii="Courier New" w:hAnsi="Courier New" w:hint="default"/>
      </w:rPr>
    </w:lvl>
    <w:lvl w:ilvl="2" w:tplc="4EAEC44A">
      <w:start w:val="1"/>
      <w:numFmt w:val="bullet"/>
      <w:lvlText w:val=""/>
      <w:lvlJc w:val="left"/>
      <w:pPr>
        <w:ind w:left="2160" w:hanging="360"/>
      </w:pPr>
      <w:rPr>
        <w:rFonts w:ascii="Wingdings" w:hAnsi="Wingdings" w:hint="default"/>
      </w:rPr>
    </w:lvl>
    <w:lvl w:ilvl="3" w:tplc="C2A4C056">
      <w:start w:val="1"/>
      <w:numFmt w:val="bullet"/>
      <w:lvlText w:val=""/>
      <w:lvlJc w:val="left"/>
      <w:pPr>
        <w:ind w:left="2880" w:hanging="360"/>
      </w:pPr>
      <w:rPr>
        <w:rFonts w:ascii="Symbol" w:hAnsi="Symbol" w:hint="default"/>
      </w:rPr>
    </w:lvl>
    <w:lvl w:ilvl="4" w:tplc="3C9C9E1C">
      <w:start w:val="1"/>
      <w:numFmt w:val="bullet"/>
      <w:lvlText w:val="o"/>
      <w:lvlJc w:val="left"/>
      <w:pPr>
        <w:ind w:left="3600" w:hanging="360"/>
      </w:pPr>
      <w:rPr>
        <w:rFonts w:ascii="Courier New" w:hAnsi="Courier New" w:hint="default"/>
      </w:rPr>
    </w:lvl>
    <w:lvl w:ilvl="5" w:tplc="30964DFE">
      <w:start w:val="1"/>
      <w:numFmt w:val="bullet"/>
      <w:lvlText w:val=""/>
      <w:lvlJc w:val="left"/>
      <w:pPr>
        <w:ind w:left="4320" w:hanging="360"/>
      </w:pPr>
      <w:rPr>
        <w:rFonts w:ascii="Wingdings" w:hAnsi="Wingdings" w:hint="default"/>
      </w:rPr>
    </w:lvl>
    <w:lvl w:ilvl="6" w:tplc="85AEF256">
      <w:start w:val="1"/>
      <w:numFmt w:val="bullet"/>
      <w:lvlText w:val=""/>
      <w:lvlJc w:val="left"/>
      <w:pPr>
        <w:ind w:left="5040" w:hanging="360"/>
      </w:pPr>
      <w:rPr>
        <w:rFonts w:ascii="Symbol" w:hAnsi="Symbol" w:hint="default"/>
      </w:rPr>
    </w:lvl>
    <w:lvl w:ilvl="7" w:tplc="6ECE5A0C">
      <w:start w:val="1"/>
      <w:numFmt w:val="bullet"/>
      <w:lvlText w:val="o"/>
      <w:lvlJc w:val="left"/>
      <w:pPr>
        <w:ind w:left="5760" w:hanging="360"/>
      </w:pPr>
      <w:rPr>
        <w:rFonts w:ascii="Courier New" w:hAnsi="Courier New" w:hint="default"/>
      </w:rPr>
    </w:lvl>
    <w:lvl w:ilvl="8" w:tplc="DC30C9B8">
      <w:start w:val="1"/>
      <w:numFmt w:val="bullet"/>
      <w:lvlText w:val=""/>
      <w:lvlJc w:val="left"/>
      <w:pPr>
        <w:ind w:left="6480" w:hanging="360"/>
      </w:pPr>
      <w:rPr>
        <w:rFonts w:ascii="Wingdings" w:hAnsi="Wingdings" w:hint="default"/>
      </w:rPr>
    </w:lvl>
  </w:abstractNum>
  <w:abstractNum w:abstractNumId="62" w15:restartNumberingAfterBreak="0">
    <w:nsid w:val="3E981F4C"/>
    <w:multiLevelType w:val="hybridMultilevel"/>
    <w:tmpl w:val="36B6730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3F240996"/>
    <w:multiLevelType w:val="hybridMultilevel"/>
    <w:tmpl w:val="3388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0791E60"/>
    <w:multiLevelType w:val="hybridMultilevel"/>
    <w:tmpl w:val="F080F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0A10FAE"/>
    <w:multiLevelType w:val="hybridMultilevel"/>
    <w:tmpl w:val="64F23616"/>
    <w:lvl w:ilvl="0" w:tplc="6602BB84">
      <w:start w:val="1"/>
      <w:numFmt w:val="bullet"/>
      <w:lvlText w:val=""/>
      <w:lvlJc w:val="left"/>
      <w:pPr>
        <w:ind w:left="720" w:hanging="360"/>
      </w:pPr>
      <w:rPr>
        <w:rFonts w:ascii="Symbol" w:hAnsi="Symbol" w:hint="default"/>
      </w:rPr>
    </w:lvl>
    <w:lvl w:ilvl="1" w:tplc="2DEACB7A">
      <w:start w:val="1"/>
      <w:numFmt w:val="bullet"/>
      <w:lvlText w:val="o"/>
      <w:lvlJc w:val="left"/>
      <w:pPr>
        <w:ind w:left="1440" w:hanging="360"/>
      </w:pPr>
      <w:rPr>
        <w:rFonts w:ascii="Courier New" w:hAnsi="Courier New" w:hint="default"/>
      </w:rPr>
    </w:lvl>
    <w:lvl w:ilvl="2" w:tplc="A1141B8A">
      <w:start w:val="1"/>
      <w:numFmt w:val="bullet"/>
      <w:lvlText w:val=""/>
      <w:lvlJc w:val="left"/>
      <w:pPr>
        <w:ind w:left="2160" w:hanging="360"/>
      </w:pPr>
      <w:rPr>
        <w:rFonts w:ascii="Wingdings" w:hAnsi="Wingdings" w:hint="default"/>
      </w:rPr>
    </w:lvl>
    <w:lvl w:ilvl="3" w:tplc="05C225A8">
      <w:start w:val="1"/>
      <w:numFmt w:val="bullet"/>
      <w:lvlText w:val=""/>
      <w:lvlJc w:val="left"/>
      <w:pPr>
        <w:ind w:left="2880" w:hanging="360"/>
      </w:pPr>
      <w:rPr>
        <w:rFonts w:ascii="Symbol" w:hAnsi="Symbol" w:hint="default"/>
      </w:rPr>
    </w:lvl>
    <w:lvl w:ilvl="4" w:tplc="22F6B668">
      <w:start w:val="1"/>
      <w:numFmt w:val="bullet"/>
      <w:lvlText w:val="o"/>
      <w:lvlJc w:val="left"/>
      <w:pPr>
        <w:ind w:left="3600" w:hanging="360"/>
      </w:pPr>
      <w:rPr>
        <w:rFonts w:ascii="Courier New" w:hAnsi="Courier New" w:hint="default"/>
      </w:rPr>
    </w:lvl>
    <w:lvl w:ilvl="5" w:tplc="2E7A852A">
      <w:start w:val="1"/>
      <w:numFmt w:val="bullet"/>
      <w:lvlText w:val=""/>
      <w:lvlJc w:val="left"/>
      <w:pPr>
        <w:ind w:left="4320" w:hanging="360"/>
      </w:pPr>
      <w:rPr>
        <w:rFonts w:ascii="Wingdings" w:hAnsi="Wingdings" w:hint="default"/>
      </w:rPr>
    </w:lvl>
    <w:lvl w:ilvl="6" w:tplc="FD228CEA">
      <w:start w:val="1"/>
      <w:numFmt w:val="bullet"/>
      <w:lvlText w:val=""/>
      <w:lvlJc w:val="left"/>
      <w:pPr>
        <w:ind w:left="5040" w:hanging="360"/>
      </w:pPr>
      <w:rPr>
        <w:rFonts w:ascii="Symbol" w:hAnsi="Symbol" w:hint="default"/>
      </w:rPr>
    </w:lvl>
    <w:lvl w:ilvl="7" w:tplc="525C2A58">
      <w:start w:val="1"/>
      <w:numFmt w:val="bullet"/>
      <w:lvlText w:val="o"/>
      <w:lvlJc w:val="left"/>
      <w:pPr>
        <w:ind w:left="5760" w:hanging="360"/>
      </w:pPr>
      <w:rPr>
        <w:rFonts w:ascii="Courier New" w:hAnsi="Courier New" w:hint="default"/>
      </w:rPr>
    </w:lvl>
    <w:lvl w:ilvl="8" w:tplc="FD9CF6F4">
      <w:start w:val="1"/>
      <w:numFmt w:val="bullet"/>
      <w:lvlText w:val=""/>
      <w:lvlJc w:val="left"/>
      <w:pPr>
        <w:ind w:left="6480" w:hanging="360"/>
      </w:pPr>
      <w:rPr>
        <w:rFonts w:ascii="Wingdings" w:hAnsi="Wingdings" w:hint="default"/>
      </w:rPr>
    </w:lvl>
  </w:abstractNum>
  <w:abstractNum w:abstractNumId="66" w15:restartNumberingAfterBreak="0">
    <w:nsid w:val="40B06E5C"/>
    <w:multiLevelType w:val="hybridMultilevel"/>
    <w:tmpl w:val="563CD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2AA3F01"/>
    <w:multiLevelType w:val="hybridMultilevel"/>
    <w:tmpl w:val="92D45AE0"/>
    <w:lvl w:ilvl="0" w:tplc="D4126568">
      <w:start w:val="1"/>
      <w:numFmt w:val="bullet"/>
      <w:lvlText w:val=""/>
      <w:lvlJc w:val="left"/>
      <w:pPr>
        <w:ind w:left="720" w:hanging="360"/>
      </w:pPr>
      <w:rPr>
        <w:rFonts w:ascii="Symbol" w:hAnsi="Symbol" w:hint="default"/>
      </w:rPr>
    </w:lvl>
    <w:lvl w:ilvl="1" w:tplc="D3865000">
      <w:start w:val="1"/>
      <w:numFmt w:val="bullet"/>
      <w:lvlText w:val="o"/>
      <w:lvlJc w:val="left"/>
      <w:pPr>
        <w:ind w:left="1440" w:hanging="360"/>
      </w:pPr>
      <w:rPr>
        <w:rFonts w:ascii="Courier New" w:hAnsi="Courier New" w:hint="default"/>
      </w:rPr>
    </w:lvl>
    <w:lvl w:ilvl="2" w:tplc="85CA39EC">
      <w:start w:val="1"/>
      <w:numFmt w:val="bullet"/>
      <w:lvlText w:val=""/>
      <w:lvlJc w:val="left"/>
      <w:pPr>
        <w:ind w:left="2160" w:hanging="360"/>
      </w:pPr>
      <w:rPr>
        <w:rFonts w:ascii="Wingdings" w:hAnsi="Wingdings" w:hint="default"/>
      </w:rPr>
    </w:lvl>
    <w:lvl w:ilvl="3" w:tplc="A5D2017C">
      <w:start w:val="1"/>
      <w:numFmt w:val="bullet"/>
      <w:lvlText w:val=""/>
      <w:lvlJc w:val="left"/>
      <w:pPr>
        <w:ind w:left="2880" w:hanging="360"/>
      </w:pPr>
      <w:rPr>
        <w:rFonts w:ascii="Symbol" w:hAnsi="Symbol" w:hint="default"/>
      </w:rPr>
    </w:lvl>
    <w:lvl w:ilvl="4" w:tplc="6086774C">
      <w:start w:val="1"/>
      <w:numFmt w:val="bullet"/>
      <w:lvlText w:val="o"/>
      <w:lvlJc w:val="left"/>
      <w:pPr>
        <w:ind w:left="3600" w:hanging="360"/>
      </w:pPr>
      <w:rPr>
        <w:rFonts w:ascii="Courier New" w:hAnsi="Courier New" w:hint="default"/>
      </w:rPr>
    </w:lvl>
    <w:lvl w:ilvl="5" w:tplc="203AB232">
      <w:start w:val="1"/>
      <w:numFmt w:val="bullet"/>
      <w:lvlText w:val=""/>
      <w:lvlJc w:val="left"/>
      <w:pPr>
        <w:ind w:left="4320" w:hanging="360"/>
      </w:pPr>
      <w:rPr>
        <w:rFonts w:ascii="Wingdings" w:hAnsi="Wingdings" w:hint="default"/>
      </w:rPr>
    </w:lvl>
    <w:lvl w:ilvl="6" w:tplc="B38A38F8">
      <w:start w:val="1"/>
      <w:numFmt w:val="bullet"/>
      <w:lvlText w:val=""/>
      <w:lvlJc w:val="left"/>
      <w:pPr>
        <w:ind w:left="5040" w:hanging="360"/>
      </w:pPr>
      <w:rPr>
        <w:rFonts w:ascii="Symbol" w:hAnsi="Symbol" w:hint="default"/>
      </w:rPr>
    </w:lvl>
    <w:lvl w:ilvl="7" w:tplc="0E866BB4">
      <w:start w:val="1"/>
      <w:numFmt w:val="bullet"/>
      <w:lvlText w:val="o"/>
      <w:lvlJc w:val="left"/>
      <w:pPr>
        <w:ind w:left="5760" w:hanging="360"/>
      </w:pPr>
      <w:rPr>
        <w:rFonts w:ascii="Courier New" w:hAnsi="Courier New" w:hint="default"/>
      </w:rPr>
    </w:lvl>
    <w:lvl w:ilvl="8" w:tplc="7780FA70">
      <w:start w:val="1"/>
      <w:numFmt w:val="bullet"/>
      <w:lvlText w:val=""/>
      <w:lvlJc w:val="left"/>
      <w:pPr>
        <w:ind w:left="6480" w:hanging="360"/>
      </w:pPr>
      <w:rPr>
        <w:rFonts w:ascii="Wingdings" w:hAnsi="Wingdings" w:hint="default"/>
      </w:rPr>
    </w:lvl>
  </w:abstractNum>
  <w:abstractNum w:abstractNumId="68" w15:restartNumberingAfterBreak="0">
    <w:nsid w:val="43A979BF"/>
    <w:multiLevelType w:val="hybridMultilevel"/>
    <w:tmpl w:val="5386A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45C3AE4"/>
    <w:multiLevelType w:val="hybridMultilevel"/>
    <w:tmpl w:val="A9104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9A7B87"/>
    <w:multiLevelType w:val="hybridMultilevel"/>
    <w:tmpl w:val="54A2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4B80B18"/>
    <w:multiLevelType w:val="multilevel"/>
    <w:tmpl w:val="6394B9E6"/>
    <w:styleLink w:val="StyleBulletedSymbolsymbolCustomColorRGB1960134Left"/>
    <w:lvl w:ilvl="0">
      <w:start w:val="1"/>
      <w:numFmt w:val="bullet"/>
      <w:lvlText w:val=""/>
      <w:lvlJc w:val="left"/>
      <w:pPr>
        <w:ind w:left="360" w:hanging="360"/>
      </w:pPr>
      <w:rPr>
        <w:rFonts w:ascii="Symbol" w:hAnsi="Symbol" w:hint="default"/>
        <w:color w:val="133C86"/>
      </w:rPr>
    </w:lvl>
    <w:lvl w:ilvl="1">
      <w:start w:val="1"/>
      <w:numFmt w:val="bullet"/>
      <w:lvlText w:val=""/>
      <w:lvlJc w:val="left"/>
      <w:pPr>
        <w:ind w:left="1080" w:hanging="360"/>
      </w:pPr>
      <w:rPr>
        <w:rFonts w:ascii="Symbol" w:hAnsi="Symbol"/>
        <w:color w:val="133C86"/>
      </w:rPr>
    </w:lvl>
    <w:lvl w:ilvl="2">
      <w:start w:val="1"/>
      <w:numFmt w:val="bullet"/>
      <w:lvlText w:val=""/>
      <w:lvlJc w:val="left"/>
      <w:pPr>
        <w:ind w:left="1800" w:hanging="180"/>
      </w:pPr>
      <w:rPr>
        <w:rFonts w:ascii="Symbol" w:hAnsi="Symbol" w:hint="default"/>
        <w:color w:val="133C86"/>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6A90F90"/>
    <w:multiLevelType w:val="hybridMultilevel"/>
    <w:tmpl w:val="F76233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6E21005"/>
    <w:multiLevelType w:val="hybridMultilevel"/>
    <w:tmpl w:val="0CAC8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82A4361"/>
    <w:multiLevelType w:val="hybridMultilevel"/>
    <w:tmpl w:val="469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8582EE3"/>
    <w:multiLevelType w:val="hybridMultilevel"/>
    <w:tmpl w:val="221040B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88F5B7C"/>
    <w:multiLevelType w:val="hybridMultilevel"/>
    <w:tmpl w:val="ECBA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9C01A92"/>
    <w:multiLevelType w:val="hybridMultilevel"/>
    <w:tmpl w:val="FEA21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9CA1793"/>
    <w:multiLevelType w:val="hybridMultilevel"/>
    <w:tmpl w:val="4A02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AEA48F6"/>
    <w:multiLevelType w:val="hybridMultilevel"/>
    <w:tmpl w:val="6F22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B0530F2"/>
    <w:multiLevelType w:val="hybridMultilevel"/>
    <w:tmpl w:val="4F1A3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C6B59CF"/>
    <w:multiLevelType w:val="hybridMultilevel"/>
    <w:tmpl w:val="29D40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E252772"/>
    <w:multiLevelType w:val="hybridMultilevel"/>
    <w:tmpl w:val="E8162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2997333"/>
    <w:multiLevelType w:val="hybridMultilevel"/>
    <w:tmpl w:val="7124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2E60A27"/>
    <w:multiLevelType w:val="hybridMultilevel"/>
    <w:tmpl w:val="EC46B798"/>
    <w:lvl w:ilvl="0" w:tplc="E33ADB0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4F22006"/>
    <w:multiLevelType w:val="hybridMultilevel"/>
    <w:tmpl w:val="85D6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5090FCF"/>
    <w:multiLevelType w:val="multilevel"/>
    <w:tmpl w:val="4838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192CE3"/>
    <w:multiLevelType w:val="hybridMultilevel"/>
    <w:tmpl w:val="E4DC7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7F76580"/>
    <w:multiLevelType w:val="hybridMultilevel"/>
    <w:tmpl w:val="73F85A8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8D3679B"/>
    <w:multiLevelType w:val="hybridMultilevel"/>
    <w:tmpl w:val="007E2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97D5344"/>
    <w:multiLevelType w:val="hybridMultilevel"/>
    <w:tmpl w:val="5242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A8201F2"/>
    <w:multiLevelType w:val="hybridMultilevel"/>
    <w:tmpl w:val="C0BEC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B935C0B"/>
    <w:multiLevelType w:val="hybridMultilevel"/>
    <w:tmpl w:val="D7243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F9F1C44"/>
    <w:multiLevelType w:val="hybridMultilevel"/>
    <w:tmpl w:val="1628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FAC09FB"/>
    <w:multiLevelType w:val="hybridMultilevel"/>
    <w:tmpl w:val="B02E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FD1292E"/>
    <w:multiLevelType w:val="hybridMultilevel"/>
    <w:tmpl w:val="1FDE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0642950"/>
    <w:multiLevelType w:val="hybridMultilevel"/>
    <w:tmpl w:val="575C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40151A7"/>
    <w:multiLevelType w:val="hybridMultilevel"/>
    <w:tmpl w:val="C144D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4AA1DDA"/>
    <w:multiLevelType w:val="hybridMultilevel"/>
    <w:tmpl w:val="B920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69D5DC6"/>
    <w:multiLevelType w:val="multilevel"/>
    <w:tmpl w:val="D05CF85E"/>
    <w:styleLink w:val="StyleOutlinenumberedSymbolsymbol10ptLeft063cmHan"/>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D83662"/>
    <w:multiLevelType w:val="hybridMultilevel"/>
    <w:tmpl w:val="036E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8B23A79"/>
    <w:multiLevelType w:val="hybridMultilevel"/>
    <w:tmpl w:val="0FDA9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9F41683"/>
    <w:multiLevelType w:val="hybridMultilevel"/>
    <w:tmpl w:val="95EE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A3E155A"/>
    <w:multiLevelType w:val="hybridMultilevel"/>
    <w:tmpl w:val="D59200D0"/>
    <w:lvl w:ilvl="0" w:tplc="6DAE1FB8">
      <w:start w:val="1"/>
      <w:numFmt w:val="bullet"/>
      <w:lvlText w:val=""/>
      <w:lvlJc w:val="left"/>
      <w:pPr>
        <w:ind w:left="720" w:hanging="360"/>
      </w:pPr>
      <w:rPr>
        <w:rFonts w:ascii="Symbol" w:hAnsi="Symbol" w:hint="default"/>
      </w:rPr>
    </w:lvl>
    <w:lvl w:ilvl="1" w:tplc="5C385B82">
      <w:start w:val="1"/>
      <w:numFmt w:val="bullet"/>
      <w:lvlText w:val="o"/>
      <w:lvlJc w:val="left"/>
      <w:pPr>
        <w:ind w:left="1440" w:hanging="360"/>
      </w:pPr>
      <w:rPr>
        <w:rFonts w:ascii="Courier New" w:hAnsi="Courier New" w:hint="default"/>
      </w:rPr>
    </w:lvl>
    <w:lvl w:ilvl="2" w:tplc="0156BA7E">
      <w:start w:val="1"/>
      <w:numFmt w:val="bullet"/>
      <w:lvlText w:val=""/>
      <w:lvlJc w:val="left"/>
      <w:pPr>
        <w:ind w:left="2160" w:hanging="360"/>
      </w:pPr>
      <w:rPr>
        <w:rFonts w:ascii="Wingdings" w:hAnsi="Wingdings" w:hint="default"/>
      </w:rPr>
    </w:lvl>
    <w:lvl w:ilvl="3" w:tplc="2288FE46">
      <w:start w:val="1"/>
      <w:numFmt w:val="bullet"/>
      <w:lvlText w:val=""/>
      <w:lvlJc w:val="left"/>
      <w:pPr>
        <w:ind w:left="2880" w:hanging="360"/>
      </w:pPr>
      <w:rPr>
        <w:rFonts w:ascii="Symbol" w:hAnsi="Symbol" w:hint="default"/>
      </w:rPr>
    </w:lvl>
    <w:lvl w:ilvl="4" w:tplc="6100AD50">
      <w:start w:val="1"/>
      <w:numFmt w:val="bullet"/>
      <w:lvlText w:val="o"/>
      <w:lvlJc w:val="left"/>
      <w:pPr>
        <w:ind w:left="3600" w:hanging="360"/>
      </w:pPr>
      <w:rPr>
        <w:rFonts w:ascii="Courier New" w:hAnsi="Courier New" w:hint="default"/>
      </w:rPr>
    </w:lvl>
    <w:lvl w:ilvl="5" w:tplc="86A02866">
      <w:start w:val="1"/>
      <w:numFmt w:val="bullet"/>
      <w:lvlText w:val=""/>
      <w:lvlJc w:val="left"/>
      <w:pPr>
        <w:ind w:left="4320" w:hanging="360"/>
      </w:pPr>
      <w:rPr>
        <w:rFonts w:ascii="Wingdings" w:hAnsi="Wingdings" w:hint="default"/>
      </w:rPr>
    </w:lvl>
    <w:lvl w:ilvl="6" w:tplc="5AFCC89C">
      <w:start w:val="1"/>
      <w:numFmt w:val="bullet"/>
      <w:lvlText w:val=""/>
      <w:lvlJc w:val="left"/>
      <w:pPr>
        <w:ind w:left="5040" w:hanging="360"/>
      </w:pPr>
      <w:rPr>
        <w:rFonts w:ascii="Symbol" w:hAnsi="Symbol" w:hint="default"/>
      </w:rPr>
    </w:lvl>
    <w:lvl w:ilvl="7" w:tplc="8452B002">
      <w:start w:val="1"/>
      <w:numFmt w:val="bullet"/>
      <w:lvlText w:val="o"/>
      <w:lvlJc w:val="left"/>
      <w:pPr>
        <w:ind w:left="5760" w:hanging="360"/>
      </w:pPr>
      <w:rPr>
        <w:rFonts w:ascii="Courier New" w:hAnsi="Courier New" w:hint="default"/>
      </w:rPr>
    </w:lvl>
    <w:lvl w:ilvl="8" w:tplc="C54EC21E">
      <w:start w:val="1"/>
      <w:numFmt w:val="bullet"/>
      <w:lvlText w:val=""/>
      <w:lvlJc w:val="left"/>
      <w:pPr>
        <w:ind w:left="6480" w:hanging="360"/>
      </w:pPr>
      <w:rPr>
        <w:rFonts w:ascii="Wingdings" w:hAnsi="Wingdings" w:hint="default"/>
      </w:rPr>
    </w:lvl>
  </w:abstractNum>
  <w:abstractNum w:abstractNumId="104" w15:restartNumberingAfterBreak="0">
    <w:nsid w:val="6A965907"/>
    <w:multiLevelType w:val="hybridMultilevel"/>
    <w:tmpl w:val="40CEA4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AA037D8"/>
    <w:multiLevelType w:val="hybridMultilevel"/>
    <w:tmpl w:val="3836C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AE7680D"/>
    <w:multiLevelType w:val="hybridMultilevel"/>
    <w:tmpl w:val="FFBC7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B5D29D0"/>
    <w:multiLevelType w:val="hybridMultilevel"/>
    <w:tmpl w:val="569E5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C096ECE"/>
    <w:multiLevelType w:val="hybridMultilevel"/>
    <w:tmpl w:val="568CC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CFC425C"/>
    <w:multiLevelType w:val="hybridMultilevel"/>
    <w:tmpl w:val="2B1C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E5C7CAC"/>
    <w:multiLevelType w:val="hybridMultilevel"/>
    <w:tmpl w:val="4B126B1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ECE19CC"/>
    <w:multiLevelType w:val="hybridMultilevel"/>
    <w:tmpl w:val="9DFEA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130A93"/>
    <w:multiLevelType w:val="hybridMultilevel"/>
    <w:tmpl w:val="2B12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AA29CF"/>
    <w:multiLevelType w:val="hybridMultilevel"/>
    <w:tmpl w:val="5FAEF4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FFF6449"/>
    <w:multiLevelType w:val="hybridMultilevel"/>
    <w:tmpl w:val="2296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02C2567"/>
    <w:multiLevelType w:val="hybridMultilevel"/>
    <w:tmpl w:val="CAFA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04B2E48"/>
    <w:multiLevelType w:val="hybridMultilevel"/>
    <w:tmpl w:val="42E22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1896D2D"/>
    <w:multiLevelType w:val="hybridMultilevel"/>
    <w:tmpl w:val="DA9E80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E3C24610">
      <w:numFmt w:val="bullet"/>
      <w:lvlText w:val="·"/>
      <w:lvlJc w:val="left"/>
      <w:pPr>
        <w:ind w:left="3600" w:hanging="360"/>
      </w:pPr>
      <w:rPr>
        <w:rFonts w:ascii="Segoe UI" w:eastAsiaTheme="minorEastAsia" w:hAnsi="Segoe UI" w:cs="Segoe U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1994EC8"/>
    <w:multiLevelType w:val="hybridMultilevel"/>
    <w:tmpl w:val="3B7C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2F27C56"/>
    <w:multiLevelType w:val="hybridMultilevel"/>
    <w:tmpl w:val="8816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38B664A"/>
    <w:multiLevelType w:val="hybridMultilevel"/>
    <w:tmpl w:val="1DBE7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3CC2716"/>
    <w:multiLevelType w:val="multilevel"/>
    <w:tmpl w:val="BF2A2AFA"/>
    <w:lvl w:ilvl="0">
      <w:start w:val="1"/>
      <w:numFmt w:val="decimal"/>
      <w:pStyle w:val="Heading1"/>
      <w:lvlText w:val="%1"/>
      <w:lvlJc w:val="left"/>
      <w:pPr>
        <w:ind w:left="1906" w:hanging="432"/>
      </w:pPr>
    </w:lvl>
    <w:lvl w:ilvl="1">
      <w:start w:val="1"/>
      <w:numFmt w:val="decimal"/>
      <w:pStyle w:val="Heading2"/>
      <w:lvlText w:val="%1.%2"/>
      <w:lvlJc w:val="left"/>
      <w:pPr>
        <w:ind w:left="2050" w:hanging="576"/>
      </w:pPr>
    </w:lvl>
    <w:lvl w:ilvl="2">
      <w:start w:val="1"/>
      <w:numFmt w:val="decimal"/>
      <w:pStyle w:val="Heading3"/>
      <w:lvlText w:val="%1.%2.%3"/>
      <w:lvlJc w:val="left"/>
      <w:pPr>
        <w:ind w:left="2194" w:hanging="720"/>
      </w:pPr>
    </w:lvl>
    <w:lvl w:ilvl="3">
      <w:start w:val="1"/>
      <w:numFmt w:val="decimal"/>
      <w:pStyle w:val="Heading4"/>
      <w:lvlText w:val="%1.%2.%3.%4"/>
      <w:lvlJc w:val="left"/>
      <w:pPr>
        <w:ind w:left="6449" w:hanging="864"/>
      </w:pPr>
    </w:lvl>
    <w:lvl w:ilvl="4">
      <w:start w:val="1"/>
      <w:numFmt w:val="decimal"/>
      <w:pStyle w:val="Heading5"/>
      <w:lvlText w:val="%1.%2.%3.%4.%5"/>
      <w:lvlJc w:val="left"/>
      <w:pPr>
        <w:ind w:left="2482" w:hanging="1008"/>
      </w:pPr>
    </w:lvl>
    <w:lvl w:ilvl="5">
      <w:start w:val="1"/>
      <w:numFmt w:val="decimal"/>
      <w:pStyle w:val="Heading6"/>
      <w:lvlText w:val="%1.%2.%3.%4.%5.%6"/>
      <w:lvlJc w:val="left"/>
      <w:pPr>
        <w:ind w:left="2626" w:hanging="1152"/>
      </w:pPr>
    </w:lvl>
    <w:lvl w:ilvl="6">
      <w:start w:val="1"/>
      <w:numFmt w:val="decimal"/>
      <w:pStyle w:val="Heading7"/>
      <w:lvlText w:val="%1.%2.%3.%4.%5.%6.%7"/>
      <w:lvlJc w:val="left"/>
      <w:pPr>
        <w:ind w:left="2770" w:hanging="1296"/>
      </w:pPr>
    </w:lvl>
    <w:lvl w:ilvl="7">
      <w:start w:val="1"/>
      <w:numFmt w:val="decimal"/>
      <w:pStyle w:val="Heading8"/>
      <w:lvlText w:val="%1.%2.%3.%4.%5.%6.%7.%8"/>
      <w:lvlJc w:val="left"/>
      <w:pPr>
        <w:ind w:left="2914" w:hanging="1440"/>
      </w:pPr>
    </w:lvl>
    <w:lvl w:ilvl="8">
      <w:start w:val="1"/>
      <w:numFmt w:val="decimal"/>
      <w:pStyle w:val="Heading9"/>
      <w:lvlText w:val="%1.%2.%3.%4.%5.%6.%7.%8.%9"/>
      <w:lvlJc w:val="left"/>
      <w:pPr>
        <w:ind w:left="3058" w:hanging="1584"/>
      </w:pPr>
    </w:lvl>
  </w:abstractNum>
  <w:abstractNum w:abstractNumId="122" w15:restartNumberingAfterBreak="0">
    <w:nsid w:val="73DB5E27"/>
    <w:multiLevelType w:val="hybridMultilevel"/>
    <w:tmpl w:val="A440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7D03036"/>
    <w:multiLevelType w:val="hybridMultilevel"/>
    <w:tmpl w:val="AC9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92E30A7"/>
    <w:multiLevelType w:val="hybridMultilevel"/>
    <w:tmpl w:val="8CC8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93B1454"/>
    <w:multiLevelType w:val="hybridMultilevel"/>
    <w:tmpl w:val="33EC7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98373FE"/>
    <w:multiLevelType w:val="hybridMultilevel"/>
    <w:tmpl w:val="17CC3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780092A">
      <w:start w:val="1"/>
      <w:numFmt w:val="bullet"/>
      <w:lvlText w:val="-"/>
      <w:lvlJc w:val="left"/>
      <w:pPr>
        <w:ind w:left="2880" w:hanging="360"/>
      </w:pPr>
      <w:rPr>
        <w:rFonts w:ascii="Segoe UI" w:eastAsiaTheme="minorEastAsia" w:hAnsi="Segoe UI" w:cs="Segoe U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9D5337E"/>
    <w:multiLevelType w:val="hybridMultilevel"/>
    <w:tmpl w:val="C402F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A5901B3"/>
    <w:multiLevelType w:val="hybridMultilevel"/>
    <w:tmpl w:val="505E7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BBE725F"/>
    <w:multiLevelType w:val="hybridMultilevel"/>
    <w:tmpl w:val="DAB0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BEA0B6A"/>
    <w:multiLevelType w:val="hybridMultilevel"/>
    <w:tmpl w:val="4686CDF0"/>
    <w:lvl w:ilvl="0" w:tplc="756AF246">
      <w:start w:val="3"/>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C93585C"/>
    <w:multiLevelType w:val="hybridMultilevel"/>
    <w:tmpl w:val="214E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CAB770D"/>
    <w:multiLevelType w:val="hybridMultilevel"/>
    <w:tmpl w:val="9B520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EF719CB"/>
    <w:multiLevelType w:val="hybridMultilevel"/>
    <w:tmpl w:val="475C0F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5"/>
  </w:num>
  <w:num w:numId="3">
    <w:abstractNumId w:val="67"/>
  </w:num>
  <w:num w:numId="4">
    <w:abstractNumId w:val="3"/>
  </w:num>
  <w:num w:numId="5">
    <w:abstractNumId w:val="121"/>
  </w:num>
  <w:num w:numId="6">
    <w:abstractNumId w:val="1"/>
  </w:num>
  <w:num w:numId="7">
    <w:abstractNumId w:val="56"/>
  </w:num>
  <w:num w:numId="8">
    <w:abstractNumId w:val="2"/>
  </w:num>
  <w:num w:numId="9">
    <w:abstractNumId w:val="0"/>
  </w:num>
  <w:num w:numId="10">
    <w:abstractNumId w:val="84"/>
  </w:num>
  <w:num w:numId="11">
    <w:abstractNumId w:val="99"/>
  </w:num>
  <w:num w:numId="12">
    <w:abstractNumId w:val="71"/>
  </w:num>
  <w:num w:numId="13">
    <w:abstractNumId w:val="21"/>
  </w:num>
  <w:num w:numId="14">
    <w:abstractNumId w:val="126"/>
  </w:num>
  <w:num w:numId="15">
    <w:abstractNumId w:val="103"/>
  </w:num>
  <w:num w:numId="16">
    <w:abstractNumId w:val="61"/>
  </w:num>
  <w:num w:numId="17">
    <w:abstractNumId w:val="42"/>
  </w:num>
  <w:num w:numId="18">
    <w:abstractNumId w:val="132"/>
  </w:num>
  <w:num w:numId="19">
    <w:abstractNumId w:val="55"/>
  </w:num>
  <w:num w:numId="20">
    <w:abstractNumId w:val="129"/>
  </w:num>
  <w:num w:numId="21">
    <w:abstractNumId w:val="40"/>
  </w:num>
  <w:num w:numId="22">
    <w:abstractNumId w:val="95"/>
  </w:num>
  <w:num w:numId="23">
    <w:abstractNumId w:val="100"/>
  </w:num>
  <w:num w:numId="24">
    <w:abstractNumId w:val="43"/>
  </w:num>
  <w:num w:numId="25">
    <w:abstractNumId w:val="9"/>
  </w:num>
  <w:num w:numId="26">
    <w:abstractNumId w:val="122"/>
  </w:num>
  <w:num w:numId="27">
    <w:abstractNumId w:val="74"/>
  </w:num>
  <w:num w:numId="28">
    <w:abstractNumId w:val="60"/>
  </w:num>
  <w:num w:numId="29">
    <w:abstractNumId w:val="93"/>
  </w:num>
  <w:num w:numId="30">
    <w:abstractNumId w:val="36"/>
  </w:num>
  <w:num w:numId="31">
    <w:abstractNumId w:val="6"/>
  </w:num>
  <w:num w:numId="32">
    <w:abstractNumId w:val="131"/>
  </w:num>
  <w:num w:numId="33">
    <w:abstractNumId w:val="114"/>
  </w:num>
  <w:num w:numId="34">
    <w:abstractNumId w:val="118"/>
  </w:num>
  <w:num w:numId="35">
    <w:abstractNumId w:val="22"/>
  </w:num>
  <w:num w:numId="36">
    <w:abstractNumId w:val="78"/>
  </w:num>
  <w:num w:numId="37">
    <w:abstractNumId w:val="11"/>
  </w:num>
  <w:num w:numId="38">
    <w:abstractNumId w:val="46"/>
  </w:num>
  <w:num w:numId="39">
    <w:abstractNumId w:val="13"/>
  </w:num>
  <w:num w:numId="40">
    <w:abstractNumId w:val="25"/>
  </w:num>
  <w:num w:numId="41">
    <w:abstractNumId w:val="20"/>
  </w:num>
  <w:num w:numId="42">
    <w:abstractNumId w:val="85"/>
  </w:num>
  <w:num w:numId="43">
    <w:abstractNumId w:val="124"/>
  </w:num>
  <w:num w:numId="44">
    <w:abstractNumId w:val="23"/>
  </w:num>
  <w:num w:numId="45">
    <w:abstractNumId w:val="64"/>
  </w:num>
  <w:num w:numId="46">
    <w:abstractNumId w:val="83"/>
  </w:num>
  <w:num w:numId="47">
    <w:abstractNumId w:val="96"/>
  </w:num>
  <w:num w:numId="48">
    <w:abstractNumId w:val="98"/>
  </w:num>
  <w:num w:numId="49">
    <w:abstractNumId w:val="52"/>
  </w:num>
  <w:num w:numId="50">
    <w:abstractNumId w:val="89"/>
  </w:num>
  <w:num w:numId="51">
    <w:abstractNumId w:val="44"/>
  </w:num>
  <w:num w:numId="52">
    <w:abstractNumId w:val="45"/>
  </w:num>
  <w:num w:numId="53">
    <w:abstractNumId w:val="76"/>
  </w:num>
  <w:num w:numId="54">
    <w:abstractNumId w:val="109"/>
  </w:num>
  <w:num w:numId="55">
    <w:abstractNumId w:val="7"/>
  </w:num>
  <w:num w:numId="56">
    <w:abstractNumId w:val="16"/>
  </w:num>
  <w:num w:numId="57">
    <w:abstractNumId w:val="119"/>
  </w:num>
  <w:num w:numId="58">
    <w:abstractNumId w:val="102"/>
  </w:num>
  <w:num w:numId="59">
    <w:abstractNumId w:val="19"/>
  </w:num>
  <w:num w:numId="60">
    <w:abstractNumId w:val="73"/>
  </w:num>
  <w:num w:numId="61">
    <w:abstractNumId w:val="105"/>
  </w:num>
  <w:num w:numId="62">
    <w:abstractNumId w:val="123"/>
  </w:num>
  <w:num w:numId="63">
    <w:abstractNumId w:val="34"/>
  </w:num>
  <w:num w:numId="64">
    <w:abstractNumId w:val="53"/>
  </w:num>
  <w:num w:numId="65">
    <w:abstractNumId w:val="48"/>
  </w:num>
  <w:num w:numId="66">
    <w:abstractNumId w:val="91"/>
  </w:num>
  <w:num w:numId="67">
    <w:abstractNumId w:val="77"/>
  </w:num>
  <w:num w:numId="68">
    <w:abstractNumId w:val="14"/>
  </w:num>
  <w:num w:numId="69">
    <w:abstractNumId w:val="125"/>
  </w:num>
  <w:num w:numId="70">
    <w:abstractNumId w:val="111"/>
  </w:num>
  <w:num w:numId="71">
    <w:abstractNumId w:val="35"/>
  </w:num>
  <w:num w:numId="72">
    <w:abstractNumId w:val="54"/>
  </w:num>
  <w:num w:numId="73">
    <w:abstractNumId w:val="82"/>
  </w:num>
  <w:num w:numId="74">
    <w:abstractNumId w:val="57"/>
  </w:num>
  <w:num w:numId="75">
    <w:abstractNumId w:val="29"/>
  </w:num>
  <w:num w:numId="76">
    <w:abstractNumId w:val="58"/>
  </w:num>
  <w:num w:numId="77">
    <w:abstractNumId w:val="18"/>
  </w:num>
  <w:num w:numId="78">
    <w:abstractNumId w:val="112"/>
  </w:num>
  <w:num w:numId="79">
    <w:abstractNumId w:val="101"/>
  </w:num>
  <w:num w:numId="80">
    <w:abstractNumId w:val="120"/>
  </w:num>
  <w:num w:numId="81">
    <w:abstractNumId w:val="32"/>
  </w:num>
  <w:num w:numId="82">
    <w:abstractNumId w:val="106"/>
  </w:num>
  <w:num w:numId="83">
    <w:abstractNumId w:val="80"/>
  </w:num>
  <w:num w:numId="84">
    <w:abstractNumId w:val="49"/>
  </w:num>
  <w:num w:numId="85">
    <w:abstractNumId w:val="63"/>
  </w:num>
  <w:num w:numId="86">
    <w:abstractNumId w:val="90"/>
  </w:num>
  <w:num w:numId="87">
    <w:abstractNumId w:val="5"/>
  </w:num>
  <w:num w:numId="88">
    <w:abstractNumId w:val="128"/>
  </w:num>
  <w:num w:numId="89">
    <w:abstractNumId w:val="26"/>
  </w:num>
  <w:num w:numId="90">
    <w:abstractNumId w:val="70"/>
  </w:num>
  <w:num w:numId="91">
    <w:abstractNumId w:val="59"/>
  </w:num>
  <w:num w:numId="92">
    <w:abstractNumId w:val="4"/>
  </w:num>
  <w:num w:numId="93">
    <w:abstractNumId w:val="115"/>
  </w:num>
  <w:num w:numId="94">
    <w:abstractNumId w:val="69"/>
  </w:num>
  <w:num w:numId="95">
    <w:abstractNumId w:val="107"/>
  </w:num>
  <w:num w:numId="96">
    <w:abstractNumId w:val="24"/>
  </w:num>
  <w:num w:numId="97">
    <w:abstractNumId w:val="41"/>
  </w:num>
  <w:num w:numId="98">
    <w:abstractNumId w:val="28"/>
  </w:num>
  <w:num w:numId="99">
    <w:abstractNumId w:val="116"/>
  </w:num>
  <w:num w:numId="100">
    <w:abstractNumId w:val="10"/>
  </w:num>
  <w:num w:numId="101">
    <w:abstractNumId w:val="97"/>
  </w:num>
  <w:num w:numId="102">
    <w:abstractNumId w:val="30"/>
  </w:num>
  <w:num w:numId="103">
    <w:abstractNumId w:val="33"/>
  </w:num>
  <w:num w:numId="104">
    <w:abstractNumId w:val="87"/>
  </w:num>
  <w:num w:numId="105">
    <w:abstractNumId w:val="39"/>
  </w:num>
  <w:num w:numId="106">
    <w:abstractNumId w:val="66"/>
  </w:num>
  <w:num w:numId="107">
    <w:abstractNumId w:val="108"/>
  </w:num>
  <w:num w:numId="108">
    <w:abstractNumId w:val="68"/>
  </w:num>
  <w:num w:numId="109">
    <w:abstractNumId w:val="37"/>
  </w:num>
  <w:num w:numId="110">
    <w:abstractNumId w:val="127"/>
  </w:num>
  <w:num w:numId="111">
    <w:abstractNumId w:val="50"/>
  </w:num>
  <w:num w:numId="112">
    <w:abstractNumId w:val="8"/>
  </w:num>
  <w:num w:numId="113">
    <w:abstractNumId w:val="12"/>
  </w:num>
  <w:num w:numId="114">
    <w:abstractNumId w:val="27"/>
  </w:num>
  <w:num w:numId="115">
    <w:abstractNumId w:val="104"/>
  </w:num>
  <w:num w:numId="116">
    <w:abstractNumId w:val="133"/>
  </w:num>
  <w:num w:numId="117">
    <w:abstractNumId w:val="110"/>
  </w:num>
  <w:num w:numId="118">
    <w:abstractNumId w:val="92"/>
  </w:num>
  <w:num w:numId="119">
    <w:abstractNumId w:val="31"/>
  </w:num>
  <w:num w:numId="120">
    <w:abstractNumId w:val="79"/>
  </w:num>
  <w:num w:numId="121">
    <w:abstractNumId w:val="94"/>
  </w:num>
  <w:num w:numId="122">
    <w:abstractNumId w:val="81"/>
  </w:num>
  <w:num w:numId="123">
    <w:abstractNumId w:val="38"/>
  </w:num>
  <w:num w:numId="124">
    <w:abstractNumId w:val="130"/>
  </w:num>
  <w:num w:numId="125">
    <w:abstractNumId w:val="88"/>
  </w:num>
  <w:num w:numId="126">
    <w:abstractNumId w:val="17"/>
  </w:num>
  <w:num w:numId="127">
    <w:abstractNumId w:val="117"/>
  </w:num>
  <w:num w:numId="128">
    <w:abstractNumId w:val="72"/>
  </w:num>
  <w:num w:numId="129">
    <w:abstractNumId w:val="47"/>
  </w:num>
  <w:num w:numId="130">
    <w:abstractNumId w:val="113"/>
  </w:num>
  <w:num w:numId="131">
    <w:abstractNumId w:val="75"/>
  </w:num>
  <w:num w:numId="132">
    <w:abstractNumId w:val="62"/>
  </w:num>
  <w:num w:numId="133">
    <w:abstractNumId w:val="86"/>
  </w:num>
  <w:num w:numId="134">
    <w:abstractNumId w:val="51"/>
  </w:num>
  <w:num w:numId="135">
    <w:abstractNumId w:val="84"/>
  </w:num>
  <w:num w:numId="136">
    <w:abstractNumId w:val="8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A8"/>
    <w:rsid w:val="0000038A"/>
    <w:rsid w:val="00000B5E"/>
    <w:rsid w:val="00000CE9"/>
    <w:rsid w:val="000036A1"/>
    <w:rsid w:val="0000452D"/>
    <w:rsid w:val="0000478A"/>
    <w:rsid w:val="00004CD2"/>
    <w:rsid w:val="0000556D"/>
    <w:rsid w:val="00005646"/>
    <w:rsid w:val="000058A0"/>
    <w:rsid w:val="0000596D"/>
    <w:rsid w:val="00006037"/>
    <w:rsid w:val="0000620E"/>
    <w:rsid w:val="00006FAA"/>
    <w:rsid w:val="000071D9"/>
    <w:rsid w:val="00007BAC"/>
    <w:rsid w:val="00010ACE"/>
    <w:rsid w:val="00011B24"/>
    <w:rsid w:val="000121A9"/>
    <w:rsid w:val="00012644"/>
    <w:rsid w:val="000130FC"/>
    <w:rsid w:val="000135A8"/>
    <w:rsid w:val="00013695"/>
    <w:rsid w:val="00014023"/>
    <w:rsid w:val="00014432"/>
    <w:rsid w:val="00014577"/>
    <w:rsid w:val="000147B7"/>
    <w:rsid w:val="000148C1"/>
    <w:rsid w:val="00014A63"/>
    <w:rsid w:val="000158DA"/>
    <w:rsid w:val="000164C6"/>
    <w:rsid w:val="0001754E"/>
    <w:rsid w:val="000175EB"/>
    <w:rsid w:val="00017F9F"/>
    <w:rsid w:val="0002009C"/>
    <w:rsid w:val="000202D5"/>
    <w:rsid w:val="00020904"/>
    <w:rsid w:val="000209F7"/>
    <w:rsid w:val="00020FEC"/>
    <w:rsid w:val="00021142"/>
    <w:rsid w:val="000212AB"/>
    <w:rsid w:val="00021C7E"/>
    <w:rsid w:val="00021E97"/>
    <w:rsid w:val="00022146"/>
    <w:rsid w:val="00022513"/>
    <w:rsid w:val="00022B10"/>
    <w:rsid w:val="00022D4C"/>
    <w:rsid w:val="000230A7"/>
    <w:rsid w:val="0002349C"/>
    <w:rsid w:val="000234D3"/>
    <w:rsid w:val="00023539"/>
    <w:rsid w:val="00023EBF"/>
    <w:rsid w:val="00024E8C"/>
    <w:rsid w:val="000252E2"/>
    <w:rsid w:val="000263E6"/>
    <w:rsid w:val="000272E2"/>
    <w:rsid w:val="000277FE"/>
    <w:rsid w:val="000278B9"/>
    <w:rsid w:val="00031094"/>
    <w:rsid w:val="00031271"/>
    <w:rsid w:val="00031414"/>
    <w:rsid w:val="00031B34"/>
    <w:rsid w:val="00032224"/>
    <w:rsid w:val="00032B3C"/>
    <w:rsid w:val="0003365A"/>
    <w:rsid w:val="00033887"/>
    <w:rsid w:val="000368C1"/>
    <w:rsid w:val="000369C6"/>
    <w:rsid w:val="000371F4"/>
    <w:rsid w:val="00037598"/>
    <w:rsid w:val="0004021A"/>
    <w:rsid w:val="00041B7D"/>
    <w:rsid w:val="00041D36"/>
    <w:rsid w:val="00042417"/>
    <w:rsid w:val="0004269F"/>
    <w:rsid w:val="0004313A"/>
    <w:rsid w:val="000434CF"/>
    <w:rsid w:val="00044043"/>
    <w:rsid w:val="000447B2"/>
    <w:rsid w:val="00044FB0"/>
    <w:rsid w:val="000455EE"/>
    <w:rsid w:val="00045E3D"/>
    <w:rsid w:val="000463EC"/>
    <w:rsid w:val="000466EC"/>
    <w:rsid w:val="00046B94"/>
    <w:rsid w:val="0004700C"/>
    <w:rsid w:val="00047326"/>
    <w:rsid w:val="00047DDA"/>
    <w:rsid w:val="00050B39"/>
    <w:rsid w:val="000516B1"/>
    <w:rsid w:val="00051810"/>
    <w:rsid w:val="00051E38"/>
    <w:rsid w:val="00052518"/>
    <w:rsid w:val="000525C3"/>
    <w:rsid w:val="000531B2"/>
    <w:rsid w:val="00053975"/>
    <w:rsid w:val="0005403A"/>
    <w:rsid w:val="000542FA"/>
    <w:rsid w:val="0005431F"/>
    <w:rsid w:val="00054DA6"/>
    <w:rsid w:val="00055A8E"/>
    <w:rsid w:val="00055AB5"/>
    <w:rsid w:val="00055E56"/>
    <w:rsid w:val="00055E61"/>
    <w:rsid w:val="00056142"/>
    <w:rsid w:val="00056172"/>
    <w:rsid w:val="00056920"/>
    <w:rsid w:val="00057232"/>
    <w:rsid w:val="000575A3"/>
    <w:rsid w:val="00057BD0"/>
    <w:rsid w:val="00057EA8"/>
    <w:rsid w:val="000605E6"/>
    <w:rsid w:val="00061BE6"/>
    <w:rsid w:val="00061E17"/>
    <w:rsid w:val="0006243C"/>
    <w:rsid w:val="00062481"/>
    <w:rsid w:val="00062A57"/>
    <w:rsid w:val="00062C64"/>
    <w:rsid w:val="00063077"/>
    <w:rsid w:val="000636AE"/>
    <w:rsid w:val="00063B12"/>
    <w:rsid w:val="000641DF"/>
    <w:rsid w:val="00064227"/>
    <w:rsid w:val="0006463B"/>
    <w:rsid w:val="00064B10"/>
    <w:rsid w:val="00064CD1"/>
    <w:rsid w:val="000653D1"/>
    <w:rsid w:val="00065844"/>
    <w:rsid w:val="00066019"/>
    <w:rsid w:val="00066BB8"/>
    <w:rsid w:val="00066C44"/>
    <w:rsid w:val="00067995"/>
    <w:rsid w:val="0007049F"/>
    <w:rsid w:val="00070BB5"/>
    <w:rsid w:val="00070DA0"/>
    <w:rsid w:val="00071E81"/>
    <w:rsid w:val="00072241"/>
    <w:rsid w:val="000725B3"/>
    <w:rsid w:val="00072667"/>
    <w:rsid w:val="00072903"/>
    <w:rsid w:val="00072DB5"/>
    <w:rsid w:val="0007468B"/>
    <w:rsid w:val="00076638"/>
    <w:rsid w:val="00076735"/>
    <w:rsid w:val="00077902"/>
    <w:rsid w:val="00077DD9"/>
    <w:rsid w:val="00080219"/>
    <w:rsid w:val="0008064C"/>
    <w:rsid w:val="00080CBD"/>
    <w:rsid w:val="0008112C"/>
    <w:rsid w:val="00081504"/>
    <w:rsid w:val="000819C3"/>
    <w:rsid w:val="00081FBC"/>
    <w:rsid w:val="000825E6"/>
    <w:rsid w:val="00082632"/>
    <w:rsid w:val="0008277C"/>
    <w:rsid w:val="000831CA"/>
    <w:rsid w:val="00084309"/>
    <w:rsid w:val="000847C4"/>
    <w:rsid w:val="000849B9"/>
    <w:rsid w:val="00085891"/>
    <w:rsid w:val="00085E5A"/>
    <w:rsid w:val="00085E80"/>
    <w:rsid w:val="000860B5"/>
    <w:rsid w:val="00086174"/>
    <w:rsid w:val="00087A3E"/>
    <w:rsid w:val="00090197"/>
    <w:rsid w:val="00090248"/>
    <w:rsid w:val="0009080B"/>
    <w:rsid w:val="00090F3D"/>
    <w:rsid w:val="00092810"/>
    <w:rsid w:val="00092D79"/>
    <w:rsid w:val="0009397B"/>
    <w:rsid w:val="0009497E"/>
    <w:rsid w:val="000949E6"/>
    <w:rsid w:val="00094A66"/>
    <w:rsid w:val="0009537A"/>
    <w:rsid w:val="00095FC8"/>
    <w:rsid w:val="00096881"/>
    <w:rsid w:val="00096A50"/>
    <w:rsid w:val="000972E3"/>
    <w:rsid w:val="000A01F8"/>
    <w:rsid w:val="000A08A6"/>
    <w:rsid w:val="000A1A88"/>
    <w:rsid w:val="000A2351"/>
    <w:rsid w:val="000A36E8"/>
    <w:rsid w:val="000A411B"/>
    <w:rsid w:val="000A4AAA"/>
    <w:rsid w:val="000A4CBB"/>
    <w:rsid w:val="000A583B"/>
    <w:rsid w:val="000A5F2F"/>
    <w:rsid w:val="000A6229"/>
    <w:rsid w:val="000A672E"/>
    <w:rsid w:val="000A6B03"/>
    <w:rsid w:val="000A7977"/>
    <w:rsid w:val="000B03B4"/>
    <w:rsid w:val="000B081F"/>
    <w:rsid w:val="000B09F2"/>
    <w:rsid w:val="000B0B19"/>
    <w:rsid w:val="000B12DA"/>
    <w:rsid w:val="000B1845"/>
    <w:rsid w:val="000B21AF"/>
    <w:rsid w:val="000B2DA6"/>
    <w:rsid w:val="000B32D1"/>
    <w:rsid w:val="000B3455"/>
    <w:rsid w:val="000B3651"/>
    <w:rsid w:val="000B39C6"/>
    <w:rsid w:val="000B3EBC"/>
    <w:rsid w:val="000B4279"/>
    <w:rsid w:val="000B4288"/>
    <w:rsid w:val="000B47C6"/>
    <w:rsid w:val="000B4B1D"/>
    <w:rsid w:val="000B5021"/>
    <w:rsid w:val="000B5DB2"/>
    <w:rsid w:val="000B719E"/>
    <w:rsid w:val="000B76D9"/>
    <w:rsid w:val="000B7C11"/>
    <w:rsid w:val="000C0039"/>
    <w:rsid w:val="000C0337"/>
    <w:rsid w:val="000C123F"/>
    <w:rsid w:val="000C23B1"/>
    <w:rsid w:val="000C30F9"/>
    <w:rsid w:val="000C31C2"/>
    <w:rsid w:val="000C3850"/>
    <w:rsid w:val="000C3EBD"/>
    <w:rsid w:val="000C55B9"/>
    <w:rsid w:val="000C57B8"/>
    <w:rsid w:val="000C59F4"/>
    <w:rsid w:val="000C7750"/>
    <w:rsid w:val="000C7A48"/>
    <w:rsid w:val="000C7A6D"/>
    <w:rsid w:val="000C7C79"/>
    <w:rsid w:val="000C7D35"/>
    <w:rsid w:val="000C7F1C"/>
    <w:rsid w:val="000D048D"/>
    <w:rsid w:val="000D0724"/>
    <w:rsid w:val="000D0955"/>
    <w:rsid w:val="000D0B21"/>
    <w:rsid w:val="000D0CEB"/>
    <w:rsid w:val="000D171B"/>
    <w:rsid w:val="000D17F9"/>
    <w:rsid w:val="000D205F"/>
    <w:rsid w:val="000D20C0"/>
    <w:rsid w:val="000D269F"/>
    <w:rsid w:val="000D342A"/>
    <w:rsid w:val="000D3828"/>
    <w:rsid w:val="000D3CEF"/>
    <w:rsid w:val="000D42B6"/>
    <w:rsid w:val="000D4717"/>
    <w:rsid w:val="000D4B7F"/>
    <w:rsid w:val="000D573D"/>
    <w:rsid w:val="000D63AC"/>
    <w:rsid w:val="000D689A"/>
    <w:rsid w:val="000D74F2"/>
    <w:rsid w:val="000D7DD9"/>
    <w:rsid w:val="000E0667"/>
    <w:rsid w:val="000E14AC"/>
    <w:rsid w:val="000E2292"/>
    <w:rsid w:val="000E3B3D"/>
    <w:rsid w:val="000E4090"/>
    <w:rsid w:val="000E4440"/>
    <w:rsid w:val="000E44ED"/>
    <w:rsid w:val="000E4963"/>
    <w:rsid w:val="000E49FE"/>
    <w:rsid w:val="000E504D"/>
    <w:rsid w:val="000E5246"/>
    <w:rsid w:val="000E5A4B"/>
    <w:rsid w:val="000E637F"/>
    <w:rsid w:val="000E63E6"/>
    <w:rsid w:val="000E683C"/>
    <w:rsid w:val="000E7274"/>
    <w:rsid w:val="000E7299"/>
    <w:rsid w:val="000E7615"/>
    <w:rsid w:val="000E7C39"/>
    <w:rsid w:val="000F1765"/>
    <w:rsid w:val="000F1A35"/>
    <w:rsid w:val="000F24BC"/>
    <w:rsid w:val="000F2A02"/>
    <w:rsid w:val="000F2EBA"/>
    <w:rsid w:val="000F326B"/>
    <w:rsid w:val="000F3D5E"/>
    <w:rsid w:val="000F407C"/>
    <w:rsid w:val="000F42F2"/>
    <w:rsid w:val="000F45FF"/>
    <w:rsid w:val="000F688A"/>
    <w:rsid w:val="000F68FE"/>
    <w:rsid w:val="000F6C09"/>
    <w:rsid w:val="000F6E80"/>
    <w:rsid w:val="000F6F02"/>
    <w:rsid w:val="00100C69"/>
    <w:rsid w:val="00101648"/>
    <w:rsid w:val="00101DC3"/>
    <w:rsid w:val="0010348B"/>
    <w:rsid w:val="001034E8"/>
    <w:rsid w:val="00103573"/>
    <w:rsid w:val="00103F4E"/>
    <w:rsid w:val="001061B6"/>
    <w:rsid w:val="00106CC1"/>
    <w:rsid w:val="001075D8"/>
    <w:rsid w:val="00110458"/>
    <w:rsid w:val="00110F63"/>
    <w:rsid w:val="00111C31"/>
    <w:rsid w:val="00112096"/>
    <w:rsid w:val="001121C2"/>
    <w:rsid w:val="00112B1E"/>
    <w:rsid w:val="00113953"/>
    <w:rsid w:val="0011423A"/>
    <w:rsid w:val="00114504"/>
    <w:rsid w:val="0011540F"/>
    <w:rsid w:val="001155CD"/>
    <w:rsid w:val="00116C42"/>
    <w:rsid w:val="001175F9"/>
    <w:rsid w:val="001176C2"/>
    <w:rsid w:val="00117E65"/>
    <w:rsid w:val="001209F7"/>
    <w:rsid w:val="00120BFA"/>
    <w:rsid w:val="00121077"/>
    <w:rsid w:val="00121107"/>
    <w:rsid w:val="001213E7"/>
    <w:rsid w:val="00121512"/>
    <w:rsid w:val="00121A1E"/>
    <w:rsid w:val="00121FDE"/>
    <w:rsid w:val="00122027"/>
    <w:rsid w:val="00122E71"/>
    <w:rsid w:val="00122FB6"/>
    <w:rsid w:val="0012310A"/>
    <w:rsid w:val="00123229"/>
    <w:rsid w:val="001235F6"/>
    <w:rsid w:val="00123751"/>
    <w:rsid w:val="00123AC5"/>
    <w:rsid w:val="00125176"/>
    <w:rsid w:val="0012566F"/>
    <w:rsid w:val="00125EA6"/>
    <w:rsid w:val="001260AF"/>
    <w:rsid w:val="001261D2"/>
    <w:rsid w:val="00126260"/>
    <w:rsid w:val="00126FB4"/>
    <w:rsid w:val="00127F9E"/>
    <w:rsid w:val="0013020D"/>
    <w:rsid w:val="00130D8A"/>
    <w:rsid w:val="00130E7A"/>
    <w:rsid w:val="00131209"/>
    <w:rsid w:val="00131983"/>
    <w:rsid w:val="00131DC5"/>
    <w:rsid w:val="00131E15"/>
    <w:rsid w:val="00132976"/>
    <w:rsid w:val="00132DEE"/>
    <w:rsid w:val="00134599"/>
    <w:rsid w:val="00134B42"/>
    <w:rsid w:val="00134C7E"/>
    <w:rsid w:val="00134C93"/>
    <w:rsid w:val="00134E2C"/>
    <w:rsid w:val="001357A3"/>
    <w:rsid w:val="00137388"/>
    <w:rsid w:val="001373C0"/>
    <w:rsid w:val="00137A53"/>
    <w:rsid w:val="001403BF"/>
    <w:rsid w:val="00140485"/>
    <w:rsid w:val="00140AAA"/>
    <w:rsid w:val="00140C96"/>
    <w:rsid w:val="00140FD8"/>
    <w:rsid w:val="00141329"/>
    <w:rsid w:val="001416D8"/>
    <w:rsid w:val="00141756"/>
    <w:rsid w:val="00142B98"/>
    <w:rsid w:val="00142DB0"/>
    <w:rsid w:val="0014337C"/>
    <w:rsid w:val="00143470"/>
    <w:rsid w:val="001434A4"/>
    <w:rsid w:val="0014350E"/>
    <w:rsid w:val="001441D3"/>
    <w:rsid w:val="001451F6"/>
    <w:rsid w:val="00145768"/>
    <w:rsid w:val="00145DB5"/>
    <w:rsid w:val="00146F8E"/>
    <w:rsid w:val="00150C9E"/>
    <w:rsid w:val="00151215"/>
    <w:rsid w:val="00151B87"/>
    <w:rsid w:val="00151C0E"/>
    <w:rsid w:val="00152C25"/>
    <w:rsid w:val="0015328F"/>
    <w:rsid w:val="001548F9"/>
    <w:rsid w:val="00154CB4"/>
    <w:rsid w:val="00156037"/>
    <w:rsid w:val="0015646E"/>
    <w:rsid w:val="0015670B"/>
    <w:rsid w:val="001567A2"/>
    <w:rsid w:val="0015690B"/>
    <w:rsid w:val="00156935"/>
    <w:rsid w:val="00157B02"/>
    <w:rsid w:val="001605C7"/>
    <w:rsid w:val="00161B92"/>
    <w:rsid w:val="00162068"/>
    <w:rsid w:val="001628F4"/>
    <w:rsid w:val="0016325F"/>
    <w:rsid w:val="001633C7"/>
    <w:rsid w:val="00163D71"/>
    <w:rsid w:val="00164058"/>
    <w:rsid w:val="0016419E"/>
    <w:rsid w:val="00164833"/>
    <w:rsid w:val="00164E8E"/>
    <w:rsid w:val="00165D41"/>
    <w:rsid w:val="0016614A"/>
    <w:rsid w:val="00167215"/>
    <w:rsid w:val="00167C85"/>
    <w:rsid w:val="0017010C"/>
    <w:rsid w:val="001701A8"/>
    <w:rsid w:val="00170FBA"/>
    <w:rsid w:val="00170FD6"/>
    <w:rsid w:val="0017110E"/>
    <w:rsid w:val="001714CC"/>
    <w:rsid w:val="001718C6"/>
    <w:rsid w:val="00171CFF"/>
    <w:rsid w:val="00171DAB"/>
    <w:rsid w:val="001721E4"/>
    <w:rsid w:val="00172E37"/>
    <w:rsid w:val="00172EBB"/>
    <w:rsid w:val="00172FA5"/>
    <w:rsid w:val="00173A5A"/>
    <w:rsid w:val="001744EE"/>
    <w:rsid w:val="00174FE4"/>
    <w:rsid w:val="001754C0"/>
    <w:rsid w:val="00176BAC"/>
    <w:rsid w:val="001779A0"/>
    <w:rsid w:val="0018046E"/>
    <w:rsid w:val="00180E50"/>
    <w:rsid w:val="00182070"/>
    <w:rsid w:val="0018216B"/>
    <w:rsid w:val="00183907"/>
    <w:rsid w:val="00184AA8"/>
    <w:rsid w:val="001856B4"/>
    <w:rsid w:val="001862BE"/>
    <w:rsid w:val="00186E4E"/>
    <w:rsid w:val="001914E6"/>
    <w:rsid w:val="00191B33"/>
    <w:rsid w:val="00191BD0"/>
    <w:rsid w:val="00193373"/>
    <w:rsid w:val="0019377E"/>
    <w:rsid w:val="001944C0"/>
    <w:rsid w:val="00194B75"/>
    <w:rsid w:val="001953CA"/>
    <w:rsid w:val="00196500"/>
    <w:rsid w:val="00196979"/>
    <w:rsid w:val="00196BC2"/>
    <w:rsid w:val="001975EF"/>
    <w:rsid w:val="001A0E7E"/>
    <w:rsid w:val="001A10EB"/>
    <w:rsid w:val="001A19D3"/>
    <w:rsid w:val="001A1B17"/>
    <w:rsid w:val="001A2978"/>
    <w:rsid w:val="001A3869"/>
    <w:rsid w:val="001A3A67"/>
    <w:rsid w:val="001A4970"/>
    <w:rsid w:val="001A4BF1"/>
    <w:rsid w:val="001A5BE3"/>
    <w:rsid w:val="001A5DFF"/>
    <w:rsid w:val="001A66D7"/>
    <w:rsid w:val="001A6DC6"/>
    <w:rsid w:val="001B056A"/>
    <w:rsid w:val="001B0672"/>
    <w:rsid w:val="001B06F0"/>
    <w:rsid w:val="001B0876"/>
    <w:rsid w:val="001B1453"/>
    <w:rsid w:val="001B35D6"/>
    <w:rsid w:val="001B3943"/>
    <w:rsid w:val="001B3C0F"/>
    <w:rsid w:val="001B3E6A"/>
    <w:rsid w:val="001B466F"/>
    <w:rsid w:val="001B4C9D"/>
    <w:rsid w:val="001B4DC8"/>
    <w:rsid w:val="001B500D"/>
    <w:rsid w:val="001B765C"/>
    <w:rsid w:val="001B7944"/>
    <w:rsid w:val="001C241B"/>
    <w:rsid w:val="001C31A5"/>
    <w:rsid w:val="001C39F8"/>
    <w:rsid w:val="001C3DD0"/>
    <w:rsid w:val="001C3DFA"/>
    <w:rsid w:val="001C4654"/>
    <w:rsid w:val="001C50F1"/>
    <w:rsid w:val="001C5A7B"/>
    <w:rsid w:val="001C5C19"/>
    <w:rsid w:val="001C60EF"/>
    <w:rsid w:val="001D0ED0"/>
    <w:rsid w:val="001D1325"/>
    <w:rsid w:val="001D1335"/>
    <w:rsid w:val="001D1686"/>
    <w:rsid w:val="001D1E56"/>
    <w:rsid w:val="001D21EB"/>
    <w:rsid w:val="001D2757"/>
    <w:rsid w:val="001D2A2A"/>
    <w:rsid w:val="001D41CB"/>
    <w:rsid w:val="001D465E"/>
    <w:rsid w:val="001D48CA"/>
    <w:rsid w:val="001D5818"/>
    <w:rsid w:val="001D5961"/>
    <w:rsid w:val="001D5D92"/>
    <w:rsid w:val="001D6D6B"/>
    <w:rsid w:val="001D6DEA"/>
    <w:rsid w:val="001D7555"/>
    <w:rsid w:val="001D7588"/>
    <w:rsid w:val="001D79F9"/>
    <w:rsid w:val="001E04F5"/>
    <w:rsid w:val="001E059D"/>
    <w:rsid w:val="001E0DF2"/>
    <w:rsid w:val="001E0F64"/>
    <w:rsid w:val="001E1DE8"/>
    <w:rsid w:val="001E2562"/>
    <w:rsid w:val="001E2F06"/>
    <w:rsid w:val="001E3A73"/>
    <w:rsid w:val="001E3CEE"/>
    <w:rsid w:val="001E437C"/>
    <w:rsid w:val="001E4720"/>
    <w:rsid w:val="001E5368"/>
    <w:rsid w:val="001E5657"/>
    <w:rsid w:val="001E5995"/>
    <w:rsid w:val="001E6845"/>
    <w:rsid w:val="001E6E3E"/>
    <w:rsid w:val="001E72F3"/>
    <w:rsid w:val="001E79EB"/>
    <w:rsid w:val="001F04E4"/>
    <w:rsid w:val="001F0EB0"/>
    <w:rsid w:val="001F1B95"/>
    <w:rsid w:val="001F1CCA"/>
    <w:rsid w:val="001F23BF"/>
    <w:rsid w:val="001F2643"/>
    <w:rsid w:val="001F2857"/>
    <w:rsid w:val="001F2FAB"/>
    <w:rsid w:val="001F4CF4"/>
    <w:rsid w:val="001F5198"/>
    <w:rsid w:val="001F52A9"/>
    <w:rsid w:val="001F56AD"/>
    <w:rsid w:val="001F5C46"/>
    <w:rsid w:val="001F6D5C"/>
    <w:rsid w:val="001F74CF"/>
    <w:rsid w:val="001F7541"/>
    <w:rsid w:val="001F785D"/>
    <w:rsid w:val="001F79B1"/>
    <w:rsid w:val="0020033A"/>
    <w:rsid w:val="00200D9D"/>
    <w:rsid w:val="00203015"/>
    <w:rsid w:val="002032FC"/>
    <w:rsid w:val="00203C52"/>
    <w:rsid w:val="00203DCA"/>
    <w:rsid w:val="002049A8"/>
    <w:rsid w:val="00204AFE"/>
    <w:rsid w:val="00206D29"/>
    <w:rsid w:val="002074A0"/>
    <w:rsid w:val="00207900"/>
    <w:rsid w:val="00210507"/>
    <w:rsid w:val="0021060F"/>
    <w:rsid w:val="00210A7A"/>
    <w:rsid w:val="00210CC8"/>
    <w:rsid w:val="0021140B"/>
    <w:rsid w:val="0021169A"/>
    <w:rsid w:val="002122A7"/>
    <w:rsid w:val="00212324"/>
    <w:rsid w:val="0021293A"/>
    <w:rsid w:val="00213AA5"/>
    <w:rsid w:val="00213B7B"/>
    <w:rsid w:val="00214403"/>
    <w:rsid w:val="00214A5D"/>
    <w:rsid w:val="0021522D"/>
    <w:rsid w:val="00215FFA"/>
    <w:rsid w:val="0021601B"/>
    <w:rsid w:val="002160AD"/>
    <w:rsid w:val="00216213"/>
    <w:rsid w:val="002163D3"/>
    <w:rsid w:val="002174D2"/>
    <w:rsid w:val="002178F9"/>
    <w:rsid w:val="00217970"/>
    <w:rsid w:val="00217E98"/>
    <w:rsid w:val="00220006"/>
    <w:rsid w:val="00220A0C"/>
    <w:rsid w:val="00221481"/>
    <w:rsid w:val="00221C91"/>
    <w:rsid w:val="0022242F"/>
    <w:rsid w:val="00222715"/>
    <w:rsid w:val="00222BB9"/>
    <w:rsid w:val="0022371B"/>
    <w:rsid w:val="0022398B"/>
    <w:rsid w:val="00223D65"/>
    <w:rsid w:val="00223F23"/>
    <w:rsid w:val="00224238"/>
    <w:rsid w:val="00224DF6"/>
    <w:rsid w:val="00227A47"/>
    <w:rsid w:val="00227AD5"/>
    <w:rsid w:val="00227BFB"/>
    <w:rsid w:val="00230B69"/>
    <w:rsid w:val="00230FD0"/>
    <w:rsid w:val="0023160C"/>
    <w:rsid w:val="0023168C"/>
    <w:rsid w:val="00231BFC"/>
    <w:rsid w:val="002327C7"/>
    <w:rsid w:val="00232EC7"/>
    <w:rsid w:val="002331CE"/>
    <w:rsid w:val="002334C5"/>
    <w:rsid w:val="00233C70"/>
    <w:rsid w:val="00233D5F"/>
    <w:rsid w:val="002341D9"/>
    <w:rsid w:val="002341DD"/>
    <w:rsid w:val="002342CA"/>
    <w:rsid w:val="0023441D"/>
    <w:rsid w:val="00234C10"/>
    <w:rsid w:val="00234F0C"/>
    <w:rsid w:val="00235702"/>
    <w:rsid w:val="002358F9"/>
    <w:rsid w:val="00235EC9"/>
    <w:rsid w:val="002368EA"/>
    <w:rsid w:val="0023690E"/>
    <w:rsid w:val="00236C04"/>
    <w:rsid w:val="00237266"/>
    <w:rsid w:val="00237348"/>
    <w:rsid w:val="002375AB"/>
    <w:rsid w:val="00237A57"/>
    <w:rsid w:val="00237DA1"/>
    <w:rsid w:val="002403F6"/>
    <w:rsid w:val="00240BD7"/>
    <w:rsid w:val="00240F2E"/>
    <w:rsid w:val="00240F78"/>
    <w:rsid w:val="00241157"/>
    <w:rsid w:val="002423CF"/>
    <w:rsid w:val="0024265A"/>
    <w:rsid w:val="0024296A"/>
    <w:rsid w:val="002429F0"/>
    <w:rsid w:val="002431F2"/>
    <w:rsid w:val="0024348D"/>
    <w:rsid w:val="00244181"/>
    <w:rsid w:val="00244A5F"/>
    <w:rsid w:val="00244CE6"/>
    <w:rsid w:val="00244FF7"/>
    <w:rsid w:val="002450D4"/>
    <w:rsid w:val="00245155"/>
    <w:rsid w:val="002458AF"/>
    <w:rsid w:val="0024612B"/>
    <w:rsid w:val="00246EDC"/>
    <w:rsid w:val="00246EFE"/>
    <w:rsid w:val="00250D97"/>
    <w:rsid w:val="002511D2"/>
    <w:rsid w:val="00251D75"/>
    <w:rsid w:val="002528F9"/>
    <w:rsid w:val="002529E4"/>
    <w:rsid w:val="00253378"/>
    <w:rsid w:val="002534C1"/>
    <w:rsid w:val="0025351C"/>
    <w:rsid w:val="0025369B"/>
    <w:rsid w:val="0025384B"/>
    <w:rsid w:val="002540DC"/>
    <w:rsid w:val="002540E0"/>
    <w:rsid w:val="0025593E"/>
    <w:rsid w:val="00255E75"/>
    <w:rsid w:val="00256B57"/>
    <w:rsid w:val="00256D18"/>
    <w:rsid w:val="00256F0B"/>
    <w:rsid w:val="0025750F"/>
    <w:rsid w:val="00257872"/>
    <w:rsid w:val="002607BC"/>
    <w:rsid w:val="00261017"/>
    <w:rsid w:val="002619ED"/>
    <w:rsid w:val="00261CE9"/>
    <w:rsid w:val="00261F82"/>
    <w:rsid w:val="00262889"/>
    <w:rsid w:val="002632B2"/>
    <w:rsid w:val="00263EBF"/>
    <w:rsid w:val="0026491A"/>
    <w:rsid w:val="002652CF"/>
    <w:rsid w:val="002652E0"/>
    <w:rsid w:val="00265C93"/>
    <w:rsid w:val="00265CFC"/>
    <w:rsid w:val="002668BC"/>
    <w:rsid w:val="00267DB0"/>
    <w:rsid w:val="002707A3"/>
    <w:rsid w:val="00270AB1"/>
    <w:rsid w:val="00271B4D"/>
    <w:rsid w:val="00272393"/>
    <w:rsid w:val="00272AE1"/>
    <w:rsid w:val="00272DBF"/>
    <w:rsid w:val="00273131"/>
    <w:rsid w:val="002733AC"/>
    <w:rsid w:val="00273679"/>
    <w:rsid w:val="00273DB4"/>
    <w:rsid w:val="00274024"/>
    <w:rsid w:val="00274976"/>
    <w:rsid w:val="002755CC"/>
    <w:rsid w:val="0027568A"/>
    <w:rsid w:val="00275B0A"/>
    <w:rsid w:val="00275C89"/>
    <w:rsid w:val="00275D8E"/>
    <w:rsid w:val="00276123"/>
    <w:rsid w:val="002764A9"/>
    <w:rsid w:val="00277CCC"/>
    <w:rsid w:val="00280C01"/>
    <w:rsid w:val="002814BE"/>
    <w:rsid w:val="002814C6"/>
    <w:rsid w:val="00281E59"/>
    <w:rsid w:val="002827E4"/>
    <w:rsid w:val="0028301A"/>
    <w:rsid w:val="002832AC"/>
    <w:rsid w:val="00284173"/>
    <w:rsid w:val="00284332"/>
    <w:rsid w:val="002846CB"/>
    <w:rsid w:val="00284B7F"/>
    <w:rsid w:val="002859D4"/>
    <w:rsid w:val="00285EEC"/>
    <w:rsid w:val="002867D5"/>
    <w:rsid w:val="002867EA"/>
    <w:rsid w:val="00286BE0"/>
    <w:rsid w:val="00286F1E"/>
    <w:rsid w:val="00287263"/>
    <w:rsid w:val="0028748B"/>
    <w:rsid w:val="0028799F"/>
    <w:rsid w:val="00287B26"/>
    <w:rsid w:val="00287E8C"/>
    <w:rsid w:val="002912FF"/>
    <w:rsid w:val="00292AB6"/>
    <w:rsid w:val="00292F79"/>
    <w:rsid w:val="002930D1"/>
    <w:rsid w:val="00293402"/>
    <w:rsid w:val="002953F6"/>
    <w:rsid w:val="002957A8"/>
    <w:rsid w:val="0029612B"/>
    <w:rsid w:val="00296405"/>
    <w:rsid w:val="00296A54"/>
    <w:rsid w:val="00297010"/>
    <w:rsid w:val="0029782D"/>
    <w:rsid w:val="002A0182"/>
    <w:rsid w:val="002A01A4"/>
    <w:rsid w:val="002A0F9A"/>
    <w:rsid w:val="002A17E3"/>
    <w:rsid w:val="002A1F0F"/>
    <w:rsid w:val="002A2472"/>
    <w:rsid w:val="002A4203"/>
    <w:rsid w:val="002A4559"/>
    <w:rsid w:val="002A48A6"/>
    <w:rsid w:val="002A4B82"/>
    <w:rsid w:val="002A4D4E"/>
    <w:rsid w:val="002A6154"/>
    <w:rsid w:val="002A6EAA"/>
    <w:rsid w:val="002A74DD"/>
    <w:rsid w:val="002A7D7F"/>
    <w:rsid w:val="002A7FE0"/>
    <w:rsid w:val="002A7FE2"/>
    <w:rsid w:val="002B0F6A"/>
    <w:rsid w:val="002B1058"/>
    <w:rsid w:val="002B11CD"/>
    <w:rsid w:val="002B146E"/>
    <w:rsid w:val="002B22EA"/>
    <w:rsid w:val="002B30EF"/>
    <w:rsid w:val="002B31C0"/>
    <w:rsid w:val="002B31C7"/>
    <w:rsid w:val="002B3EC1"/>
    <w:rsid w:val="002B41FB"/>
    <w:rsid w:val="002B4D0F"/>
    <w:rsid w:val="002B568E"/>
    <w:rsid w:val="002B5700"/>
    <w:rsid w:val="002B7CA4"/>
    <w:rsid w:val="002B7F9C"/>
    <w:rsid w:val="002C167D"/>
    <w:rsid w:val="002C2797"/>
    <w:rsid w:val="002C39E1"/>
    <w:rsid w:val="002C3A80"/>
    <w:rsid w:val="002C49F2"/>
    <w:rsid w:val="002C519C"/>
    <w:rsid w:val="002C579B"/>
    <w:rsid w:val="002C6128"/>
    <w:rsid w:val="002C683E"/>
    <w:rsid w:val="002C6D50"/>
    <w:rsid w:val="002C7936"/>
    <w:rsid w:val="002C7CDC"/>
    <w:rsid w:val="002D0DF9"/>
    <w:rsid w:val="002D11F1"/>
    <w:rsid w:val="002D1E05"/>
    <w:rsid w:val="002D21CA"/>
    <w:rsid w:val="002D335C"/>
    <w:rsid w:val="002D3501"/>
    <w:rsid w:val="002D3D4E"/>
    <w:rsid w:val="002D463F"/>
    <w:rsid w:val="002D5FCA"/>
    <w:rsid w:val="002D7045"/>
    <w:rsid w:val="002D7063"/>
    <w:rsid w:val="002D7CBB"/>
    <w:rsid w:val="002E00A8"/>
    <w:rsid w:val="002E09CF"/>
    <w:rsid w:val="002E0E56"/>
    <w:rsid w:val="002E20DC"/>
    <w:rsid w:val="002E4651"/>
    <w:rsid w:val="002E4E34"/>
    <w:rsid w:val="002E4FD3"/>
    <w:rsid w:val="002E529F"/>
    <w:rsid w:val="002E56EC"/>
    <w:rsid w:val="002E5AF0"/>
    <w:rsid w:val="002E5C3B"/>
    <w:rsid w:val="002E643A"/>
    <w:rsid w:val="002E64D3"/>
    <w:rsid w:val="002E7331"/>
    <w:rsid w:val="002E75F4"/>
    <w:rsid w:val="002F032B"/>
    <w:rsid w:val="002F0383"/>
    <w:rsid w:val="002F1128"/>
    <w:rsid w:val="002F149D"/>
    <w:rsid w:val="002F14BA"/>
    <w:rsid w:val="002F1715"/>
    <w:rsid w:val="002F1BD6"/>
    <w:rsid w:val="002F1FAE"/>
    <w:rsid w:val="002F2F6B"/>
    <w:rsid w:val="002F330B"/>
    <w:rsid w:val="002F3827"/>
    <w:rsid w:val="002F452F"/>
    <w:rsid w:val="002F4934"/>
    <w:rsid w:val="002F5643"/>
    <w:rsid w:val="002F5A4F"/>
    <w:rsid w:val="002F6526"/>
    <w:rsid w:val="002F6827"/>
    <w:rsid w:val="002F69C6"/>
    <w:rsid w:val="002F76C4"/>
    <w:rsid w:val="002F7909"/>
    <w:rsid w:val="0030050C"/>
    <w:rsid w:val="00301859"/>
    <w:rsid w:val="003018AA"/>
    <w:rsid w:val="00301D51"/>
    <w:rsid w:val="00301F11"/>
    <w:rsid w:val="0030202E"/>
    <w:rsid w:val="00303AB7"/>
    <w:rsid w:val="00303C8A"/>
    <w:rsid w:val="00303DC7"/>
    <w:rsid w:val="00305BDA"/>
    <w:rsid w:val="00306622"/>
    <w:rsid w:val="003077EF"/>
    <w:rsid w:val="003101B0"/>
    <w:rsid w:val="00310545"/>
    <w:rsid w:val="0031100C"/>
    <w:rsid w:val="00311A15"/>
    <w:rsid w:val="00312615"/>
    <w:rsid w:val="00312E46"/>
    <w:rsid w:val="00313204"/>
    <w:rsid w:val="003133E0"/>
    <w:rsid w:val="00313AAD"/>
    <w:rsid w:val="00313AD9"/>
    <w:rsid w:val="0031444A"/>
    <w:rsid w:val="0031447F"/>
    <w:rsid w:val="0031494C"/>
    <w:rsid w:val="00314BEA"/>
    <w:rsid w:val="0031579B"/>
    <w:rsid w:val="003157F0"/>
    <w:rsid w:val="0031629C"/>
    <w:rsid w:val="003163F3"/>
    <w:rsid w:val="00316A50"/>
    <w:rsid w:val="0031712A"/>
    <w:rsid w:val="00317B4A"/>
    <w:rsid w:val="00317D0D"/>
    <w:rsid w:val="00320079"/>
    <w:rsid w:val="0032040E"/>
    <w:rsid w:val="00320B6F"/>
    <w:rsid w:val="0032111C"/>
    <w:rsid w:val="00321B03"/>
    <w:rsid w:val="00322108"/>
    <w:rsid w:val="00322D66"/>
    <w:rsid w:val="0032426F"/>
    <w:rsid w:val="00324E9B"/>
    <w:rsid w:val="003254B4"/>
    <w:rsid w:val="00325518"/>
    <w:rsid w:val="00325720"/>
    <w:rsid w:val="003270BE"/>
    <w:rsid w:val="003275D1"/>
    <w:rsid w:val="00327AAA"/>
    <w:rsid w:val="00327B5E"/>
    <w:rsid w:val="00330376"/>
    <w:rsid w:val="0033066A"/>
    <w:rsid w:val="00331368"/>
    <w:rsid w:val="00331690"/>
    <w:rsid w:val="003320C7"/>
    <w:rsid w:val="00332482"/>
    <w:rsid w:val="003328B2"/>
    <w:rsid w:val="00332C64"/>
    <w:rsid w:val="00333061"/>
    <w:rsid w:val="00333083"/>
    <w:rsid w:val="00333096"/>
    <w:rsid w:val="00333404"/>
    <w:rsid w:val="00334275"/>
    <w:rsid w:val="00334486"/>
    <w:rsid w:val="00334518"/>
    <w:rsid w:val="003356CA"/>
    <w:rsid w:val="00336A73"/>
    <w:rsid w:val="0033724D"/>
    <w:rsid w:val="003375A6"/>
    <w:rsid w:val="00337D85"/>
    <w:rsid w:val="00340C83"/>
    <w:rsid w:val="00340EA8"/>
    <w:rsid w:val="00341717"/>
    <w:rsid w:val="00341FAE"/>
    <w:rsid w:val="003430A7"/>
    <w:rsid w:val="00343451"/>
    <w:rsid w:val="0034356F"/>
    <w:rsid w:val="00343A2E"/>
    <w:rsid w:val="00343C36"/>
    <w:rsid w:val="00343DB4"/>
    <w:rsid w:val="0034424C"/>
    <w:rsid w:val="00344C51"/>
    <w:rsid w:val="00344F8E"/>
    <w:rsid w:val="00345425"/>
    <w:rsid w:val="003454E6"/>
    <w:rsid w:val="00345ED8"/>
    <w:rsid w:val="0034680C"/>
    <w:rsid w:val="0034721B"/>
    <w:rsid w:val="00350059"/>
    <w:rsid w:val="00350242"/>
    <w:rsid w:val="00350693"/>
    <w:rsid w:val="00350730"/>
    <w:rsid w:val="00351BA5"/>
    <w:rsid w:val="003529B0"/>
    <w:rsid w:val="00352B60"/>
    <w:rsid w:val="00352CAD"/>
    <w:rsid w:val="00353841"/>
    <w:rsid w:val="00353DC0"/>
    <w:rsid w:val="00354345"/>
    <w:rsid w:val="0035483E"/>
    <w:rsid w:val="0035517D"/>
    <w:rsid w:val="003553F2"/>
    <w:rsid w:val="00355C9F"/>
    <w:rsid w:val="00355CE1"/>
    <w:rsid w:val="00355E43"/>
    <w:rsid w:val="00355EA5"/>
    <w:rsid w:val="00356DB1"/>
    <w:rsid w:val="00357122"/>
    <w:rsid w:val="00360433"/>
    <w:rsid w:val="00360647"/>
    <w:rsid w:val="00361893"/>
    <w:rsid w:val="00362E25"/>
    <w:rsid w:val="00363B81"/>
    <w:rsid w:val="00363DE3"/>
    <w:rsid w:val="00363E7C"/>
    <w:rsid w:val="00365528"/>
    <w:rsid w:val="0036584E"/>
    <w:rsid w:val="003658B9"/>
    <w:rsid w:val="0036632F"/>
    <w:rsid w:val="00366B47"/>
    <w:rsid w:val="00367065"/>
    <w:rsid w:val="00367104"/>
    <w:rsid w:val="0037022C"/>
    <w:rsid w:val="00370294"/>
    <w:rsid w:val="0037043C"/>
    <w:rsid w:val="003706CC"/>
    <w:rsid w:val="003706D9"/>
    <w:rsid w:val="00370AA3"/>
    <w:rsid w:val="00370C1E"/>
    <w:rsid w:val="0037103E"/>
    <w:rsid w:val="003710E5"/>
    <w:rsid w:val="003716DA"/>
    <w:rsid w:val="003719CF"/>
    <w:rsid w:val="00373056"/>
    <w:rsid w:val="003734DF"/>
    <w:rsid w:val="0037406E"/>
    <w:rsid w:val="003743AA"/>
    <w:rsid w:val="00374533"/>
    <w:rsid w:val="003748BF"/>
    <w:rsid w:val="00374A78"/>
    <w:rsid w:val="00374DB0"/>
    <w:rsid w:val="003750A9"/>
    <w:rsid w:val="003755D3"/>
    <w:rsid w:val="003756D4"/>
    <w:rsid w:val="00376EDD"/>
    <w:rsid w:val="00376FD1"/>
    <w:rsid w:val="00377C00"/>
    <w:rsid w:val="00377DF2"/>
    <w:rsid w:val="00377EB6"/>
    <w:rsid w:val="00377FDC"/>
    <w:rsid w:val="003800C1"/>
    <w:rsid w:val="003805EC"/>
    <w:rsid w:val="00382974"/>
    <w:rsid w:val="00382A39"/>
    <w:rsid w:val="0038388A"/>
    <w:rsid w:val="00384267"/>
    <w:rsid w:val="00385220"/>
    <w:rsid w:val="00385C90"/>
    <w:rsid w:val="00385F4B"/>
    <w:rsid w:val="00386215"/>
    <w:rsid w:val="003865B6"/>
    <w:rsid w:val="00386BB5"/>
    <w:rsid w:val="0038708C"/>
    <w:rsid w:val="003870DA"/>
    <w:rsid w:val="003879B7"/>
    <w:rsid w:val="00391B11"/>
    <w:rsid w:val="00391CA9"/>
    <w:rsid w:val="003925DF"/>
    <w:rsid w:val="00392ECD"/>
    <w:rsid w:val="003937FA"/>
    <w:rsid w:val="00393F6B"/>
    <w:rsid w:val="003948C6"/>
    <w:rsid w:val="00394B31"/>
    <w:rsid w:val="00395144"/>
    <w:rsid w:val="003957CF"/>
    <w:rsid w:val="0039590F"/>
    <w:rsid w:val="00395AB5"/>
    <w:rsid w:val="00395CE3"/>
    <w:rsid w:val="003969C6"/>
    <w:rsid w:val="0039751F"/>
    <w:rsid w:val="00397592"/>
    <w:rsid w:val="003A0333"/>
    <w:rsid w:val="003A0AD6"/>
    <w:rsid w:val="003A1081"/>
    <w:rsid w:val="003A2258"/>
    <w:rsid w:val="003A23A1"/>
    <w:rsid w:val="003A313C"/>
    <w:rsid w:val="003A44CE"/>
    <w:rsid w:val="003A50ED"/>
    <w:rsid w:val="003A52B1"/>
    <w:rsid w:val="003A5C9F"/>
    <w:rsid w:val="003A6A6F"/>
    <w:rsid w:val="003A7DA9"/>
    <w:rsid w:val="003A7E51"/>
    <w:rsid w:val="003B02E8"/>
    <w:rsid w:val="003B09D5"/>
    <w:rsid w:val="003B1BCD"/>
    <w:rsid w:val="003B1FE9"/>
    <w:rsid w:val="003B288E"/>
    <w:rsid w:val="003B2BB4"/>
    <w:rsid w:val="003B30C6"/>
    <w:rsid w:val="003B4120"/>
    <w:rsid w:val="003B453E"/>
    <w:rsid w:val="003B5405"/>
    <w:rsid w:val="003B5892"/>
    <w:rsid w:val="003B61F3"/>
    <w:rsid w:val="003B6F3A"/>
    <w:rsid w:val="003B7A0C"/>
    <w:rsid w:val="003C017D"/>
    <w:rsid w:val="003C1A69"/>
    <w:rsid w:val="003C1CA5"/>
    <w:rsid w:val="003C2A0F"/>
    <w:rsid w:val="003C2C5A"/>
    <w:rsid w:val="003C2E75"/>
    <w:rsid w:val="003C3BE2"/>
    <w:rsid w:val="003C41E3"/>
    <w:rsid w:val="003C44DD"/>
    <w:rsid w:val="003C4A26"/>
    <w:rsid w:val="003C4C27"/>
    <w:rsid w:val="003C4DD5"/>
    <w:rsid w:val="003C509F"/>
    <w:rsid w:val="003C53E8"/>
    <w:rsid w:val="003C5E3F"/>
    <w:rsid w:val="003C6509"/>
    <w:rsid w:val="003C6999"/>
    <w:rsid w:val="003C6CCA"/>
    <w:rsid w:val="003C78A7"/>
    <w:rsid w:val="003D036D"/>
    <w:rsid w:val="003D0B58"/>
    <w:rsid w:val="003D2782"/>
    <w:rsid w:val="003D3643"/>
    <w:rsid w:val="003D3814"/>
    <w:rsid w:val="003D518D"/>
    <w:rsid w:val="003D581C"/>
    <w:rsid w:val="003D5EA0"/>
    <w:rsid w:val="003D62D7"/>
    <w:rsid w:val="003D7B3F"/>
    <w:rsid w:val="003E09FF"/>
    <w:rsid w:val="003E1709"/>
    <w:rsid w:val="003E2346"/>
    <w:rsid w:val="003E2350"/>
    <w:rsid w:val="003E3760"/>
    <w:rsid w:val="003E37B9"/>
    <w:rsid w:val="003E3B1D"/>
    <w:rsid w:val="003E45F1"/>
    <w:rsid w:val="003E47A7"/>
    <w:rsid w:val="003E4B9C"/>
    <w:rsid w:val="003E504D"/>
    <w:rsid w:val="003E5411"/>
    <w:rsid w:val="003E62B7"/>
    <w:rsid w:val="003E631E"/>
    <w:rsid w:val="003E68FC"/>
    <w:rsid w:val="003E6C4F"/>
    <w:rsid w:val="003E7477"/>
    <w:rsid w:val="003E7508"/>
    <w:rsid w:val="003E7814"/>
    <w:rsid w:val="003E79C9"/>
    <w:rsid w:val="003E7AB3"/>
    <w:rsid w:val="003E7C98"/>
    <w:rsid w:val="003E7D67"/>
    <w:rsid w:val="003F02EC"/>
    <w:rsid w:val="003F04BB"/>
    <w:rsid w:val="003F07FD"/>
    <w:rsid w:val="003F09DC"/>
    <w:rsid w:val="003F0B0A"/>
    <w:rsid w:val="003F0EB1"/>
    <w:rsid w:val="003F1262"/>
    <w:rsid w:val="003F1845"/>
    <w:rsid w:val="003F2012"/>
    <w:rsid w:val="003F2137"/>
    <w:rsid w:val="003F4471"/>
    <w:rsid w:val="003F488F"/>
    <w:rsid w:val="003F4B71"/>
    <w:rsid w:val="003F58E7"/>
    <w:rsid w:val="003F6C02"/>
    <w:rsid w:val="003F77AE"/>
    <w:rsid w:val="003F79F5"/>
    <w:rsid w:val="00400946"/>
    <w:rsid w:val="00400C34"/>
    <w:rsid w:val="00401A2F"/>
    <w:rsid w:val="00401DB2"/>
    <w:rsid w:val="0040224C"/>
    <w:rsid w:val="004025C8"/>
    <w:rsid w:val="004032F9"/>
    <w:rsid w:val="004035E6"/>
    <w:rsid w:val="004038F6"/>
    <w:rsid w:val="00403E28"/>
    <w:rsid w:val="0040400D"/>
    <w:rsid w:val="004045E5"/>
    <w:rsid w:val="0040477E"/>
    <w:rsid w:val="004056E9"/>
    <w:rsid w:val="00405859"/>
    <w:rsid w:val="00405E0B"/>
    <w:rsid w:val="0040638E"/>
    <w:rsid w:val="0040664D"/>
    <w:rsid w:val="004068DE"/>
    <w:rsid w:val="004071E5"/>
    <w:rsid w:val="00407852"/>
    <w:rsid w:val="004101D8"/>
    <w:rsid w:val="00410417"/>
    <w:rsid w:val="004105E1"/>
    <w:rsid w:val="0041177A"/>
    <w:rsid w:val="00412332"/>
    <w:rsid w:val="00412674"/>
    <w:rsid w:val="00413980"/>
    <w:rsid w:val="00413AC0"/>
    <w:rsid w:val="004142D0"/>
    <w:rsid w:val="004147E4"/>
    <w:rsid w:val="0041485F"/>
    <w:rsid w:val="004150D6"/>
    <w:rsid w:val="004153B8"/>
    <w:rsid w:val="00415987"/>
    <w:rsid w:val="00416104"/>
    <w:rsid w:val="0041667A"/>
    <w:rsid w:val="004167BB"/>
    <w:rsid w:val="00417C42"/>
    <w:rsid w:val="00417C95"/>
    <w:rsid w:val="00417D3D"/>
    <w:rsid w:val="00420BFC"/>
    <w:rsid w:val="00420C2A"/>
    <w:rsid w:val="0042284C"/>
    <w:rsid w:val="00422A11"/>
    <w:rsid w:val="00422FCC"/>
    <w:rsid w:val="00423243"/>
    <w:rsid w:val="0042358D"/>
    <w:rsid w:val="0042400E"/>
    <w:rsid w:val="00424762"/>
    <w:rsid w:val="00424777"/>
    <w:rsid w:val="00424A0A"/>
    <w:rsid w:val="00424ADF"/>
    <w:rsid w:val="0042552D"/>
    <w:rsid w:val="0042553F"/>
    <w:rsid w:val="0042635D"/>
    <w:rsid w:val="00426DCE"/>
    <w:rsid w:val="00426E0F"/>
    <w:rsid w:val="00427737"/>
    <w:rsid w:val="00427B43"/>
    <w:rsid w:val="0043003D"/>
    <w:rsid w:val="00430246"/>
    <w:rsid w:val="00431160"/>
    <w:rsid w:val="00431E40"/>
    <w:rsid w:val="0043276D"/>
    <w:rsid w:val="00432D25"/>
    <w:rsid w:val="00433422"/>
    <w:rsid w:val="0043374C"/>
    <w:rsid w:val="004337DB"/>
    <w:rsid w:val="004348F4"/>
    <w:rsid w:val="00435514"/>
    <w:rsid w:val="0043577F"/>
    <w:rsid w:val="00435BA6"/>
    <w:rsid w:val="004365D5"/>
    <w:rsid w:val="0043774E"/>
    <w:rsid w:val="00437946"/>
    <w:rsid w:val="00437C9E"/>
    <w:rsid w:val="004411E8"/>
    <w:rsid w:val="004414AA"/>
    <w:rsid w:val="004416E0"/>
    <w:rsid w:val="00441F1E"/>
    <w:rsid w:val="0044248A"/>
    <w:rsid w:val="00442586"/>
    <w:rsid w:val="00442A66"/>
    <w:rsid w:val="00442BC4"/>
    <w:rsid w:val="00443234"/>
    <w:rsid w:val="004432E9"/>
    <w:rsid w:val="00443981"/>
    <w:rsid w:val="00443A39"/>
    <w:rsid w:val="00443D5A"/>
    <w:rsid w:val="00443F86"/>
    <w:rsid w:val="00444493"/>
    <w:rsid w:val="00445491"/>
    <w:rsid w:val="00446390"/>
    <w:rsid w:val="004467FC"/>
    <w:rsid w:val="00446860"/>
    <w:rsid w:val="00446FC0"/>
    <w:rsid w:val="004472C7"/>
    <w:rsid w:val="004504A5"/>
    <w:rsid w:val="0045165A"/>
    <w:rsid w:val="00451796"/>
    <w:rsid w:val="00452706"/>
    <w:rsid w:val="00454047"/>
    <w:rsid w:val="00454394"/>
    <w:rsid w:val="004544EE"/>
    <w:rsid w:val="00454970"/>
    <w:rsid w:val="00454FA1"/>
    <w:rsid w:val="004552C8"/>
    <w:rsid w:val="00455C25"/>
    <w:rsid w:val="00456B81"/>
    <w:rsid w:val="00456C31"/>
    <w:rsid w:val="004570FB"/>
    <w:rsid w:val="0045766A"/>
    <w:rsid w:val="00457865"/>
    <w:rsid w:val="0046067C"/>
    <w:rsid w:val="004610A2"/>
    <w:rsid w:val="00461186"/>
    <w:rsid w:val="00461648"/>
    <w:rsid w:val="0046190C"/>
    <w:rsid w:val="004631A8"/>
    <w:rsid w:val="0046338C"/>
    <w:rsid w:val="004634FC"/>
    <w:rsid w:val="004639FD"/>
    <w:rsid w:val="00463A80"/>
    <w:rsid w:val="00463E34"/>
    <w:rsid w:val="00464B76"/>
    <w:rsid w:val="00464EF9"/>
    <w:rsid w:val="00465561"/>
    <w:rsid w:val="00466DC8"/>
    <w:rsid w:val="004674A1"/>
    <w:rsid w:val="004700BD"/>
    <w:rsid w:val="0047012F"/>
    <w:rsid w:val="0047026A"/>
    <w:rsid w:val="00470B2C"/>
    <w:rsid w:val="00470BEE"/>
    <w:rsid w:val="0047120A"/>
    <w:rsid w:val="00471AC1"/>
    <w:rsid w:val="00471B24"/>
    <w:rsid w:val="004723D2"/>
    <w:rsid w:val="00472A03"/>
    <w:rsid w:val="0047537C"/>
    <w:rsid w:val="00475A32"/>
    <w:rsid w:val="00475EC4"/>
    <w:rsid w:val="004765C4"/>
    <w:rsid w:val="00476B72"/>
    <w:rsid w:val="00476E2D"/>
    <w:rsid w:val="00477204"/>
    <w:rsid w:val="004803B3"/>
    <w:rsid w:val="00480644"/>
    <w:rsid w:val="0048188E"/>
    <w:rsid w:val="004818B0"/>
    <w:rsid w:val="00482FD4"/>
    <w:rsid w:val="00484B4E"/>
    <w:rsid w:val="00485858"/>
    <w:rsid w:val="00486067"/>
    <w:rsid w:val="00486535"/>
    <w:rsid w:val="00486836"/>
    <w:rsid w:val="00486E56"/>
    <w:rsid w:val="004873A3"/>
    <w:rsid w:val="00487485"/>
    <w:rsid w:val="00487543"/>
    <w:rsid w:val="0049004C"/>
    <w:rsid w:val="004902BD"/>
    <w:rsid w:val="00490913"/>
    <w:rsid w:val="004909FE"/>
    <w:rsid w:val="004925E2"/>
    <w:rsid w:val="004931C1"/>
    <w:rsid w:val="004932E9"/>
    <w:rsid w:val="00493C61"/>
    <w:rsid w:val="00493D85"/>
    <w:rsid w:val="00493DEC"/>
    <w:rsid w:val="00494AD0"/>
    <w:rsid w:val="00494C66"/>
    <w:rsid w:val="004961D0"/>
    <w:rsid w:val="004964B5"/>
    <w:rsid w:val="0049651C"/>
    <w:rsid w:val="00496ACF"/>
    <w:rsid w:val="00496E5E"/>
    <w:rsid w:val="00496F99"/>
    <w:rsid w:val="00497140"/>
    <w:rsid w:val="00497889"/>
    <w:rsid w:val="0049797F"/>
    <w:rsid w:val="00497CC2"/>
    <w:rsid w:val="004A250E"/>
    <w:rsid w:val="004A27F7"/>
    <w:rsid w:val="004A2CC9"/>
    <w:rsid w:val="004A30C9"/>
    <w:rsid w:val="004A3288"/>
    <w:rsid w:val="004A32D3"/>
    <w:rsid w:val="004A3600"/>
    <w:rsid w:val="004A3936"/>
    <w:rsid w:val="004A3C2E"/>
    <w:rsid w:val="004A493D"/>
    <w:rsid w:val="004A4942"/>
    <w:rsid w:val="004A4BD0"/>
    <w:rsid w:val="004A4CB4"/>
    <w:rsid w:val="004A67B9"/>
    <w:rsid w:val="004A6D65"/>
    <w:rsid w:val="004A7926"/>
    <w:rsid w:val="004A7ABA"/>
    <w:rsid w:val="004B0252"/>
    <w:rsid w:val="004B15FB"/>
    <w:rsid w:val="004B2C48"/>
    <w:rsid w:val="004B2D24"/>
    <w:rsid w:val="004B3208"/>
    <w:rsid w:val="004B3594"/>
    <w:rsid w:val="004B3627"/>
    <w:rsid w:val="004B47CA"/>
    <w:rsid w:val="004B4B0C"/>
    <w:rsid w:val="004B51E5"/>
    <w:rsid w:val="004B5A66"/>
    <w:rsid w:val="004B5B4B"/>
    <w:rsid w:val="004B5F0C"/>
    <w:rsid w:val="004B6859"/>
    <w:rsid w:val="004B7656"/>
    <w:rsid w:val="004B7842"/>
    <w:rsid w:val="004B7F42"/>
    <w:rsid w:val="004C0021"/>
    <w:rsid w:val="004C0E6E"/>
    <w:rsid w:val="004C11B2"/>
    <w:rsid w:val="004C1BA6"/>
    <w:rsid w:val="004C23D0"/>
    <w:rsid w:val="004C4B54"/>
    <w:rsid w:val="004C4C85"/>
    <w:rsid w:val="004C4D90"/>
    <w:rsid w:val="004C5771"/>
    <w:rsid w:val="004C585A"/>
    <w:rsid w:val="004C5ED7"/>
    <w:rsid w:val="004C61B4"/>
    <w:rsid w:val="004C7015"/>
    <w:rsid w:val="004C767D"/>
    <w:rsid w:val="004C787B"/>
    <w:rsid w:val="004C78D8"/>
    <w:rsid w:val="004C7AEC"/>
    <w:rsid w:val="004D051E"/>
    <w:rsid w:val="004D0554"/>
    <w:rsid w:val="004D190A"/>
    <w:rsid w:val="004D19DB"/>
    <w:rsid w:val="004D2A1C"/>
    <w:rsid w:val="004D2CD1"/>
    <w:rsid w:val="004D392C"/>
    <w:rsid w:val="004D3BF2"/>
    <w:rsid w:val="004D455C"/>
    <w:rsid w:val="004D50F3"/>
    <w:rsid w:val="004D5C73"/>
    <w:rsid w:val="004D61B8"/>
    <w:rsid w:val="004D7F1C"/>
    <w:rsid w:val="004E0A2F"/>
    <w:rsid w:val="004E0BE3"/>
    <w:rsid w:val="004E0DCC"/>
    <w:rsid w:val="004E0E58"/>
    <w:rsid w:val="004E177F"/>
    <w:rsid w:val="004E1923"/>
    <w:rsid w:val="004E199F"/>
    <w:rsid w:val="004E32DF"/>
    <w:rsid w:val="004E391E"/>
    <w:rsid w:val="004E565C"/>
    <w:rsid w:val="004E5BE9"/>
    <w:rsid w:val="004E6277"/>
    <w:rsid w:val="004E62BE"/>
    <w:rsid w:val="004E64A6"/>
    <w:rsid w:val="004E72B3"/>
    <w:rsid w:val="004E7C2A"/>
    <w:rsid w:val="004E7EAE"/>
    <w:rsid w:val="004F0BE5"/>
    <w:rsid w:val="004F1557"/>
    <w:rsid w:val="004F1A89"/>
    <w:rsid w:val="004F1DE2"/>
    <w:rsid w:val="004F217D"/>
    <w:rsid w:val="004F2F43"/>
    <w:rsid w:val="004F372B"/>
    <w:rsid w:val="004F5BC1"/>
    <w:rsid w:val="004F5DBB"/>
    <w:rsid w:val="004F6939"/>
    <w:rsid w:val="004F6CF7"/>
    <w:rsid w:val="004F6D07"/>
    <w:rsid w:val="004F6E18"/>
    <w:rsid w:val="004F71C4"/>
    <w:rsid w:val="004F7DFE"/>
    <w:rsid w:val="00500604"/>
    <w:rsid w:val="005013E6"/>
    <w:rsid w:val="00502549"/>
    <w:rsid w:val="005033CD"/>
    <w:rsid w:val="00503C43"/>
    <w:rsid w:val="0050422D"/>
    <w:rsid w:val="005043CD"/>
    <w:rsid w:val="00504CD9"/>
    <w:rsid w:val="00505065"/>
    <w:rsid w:val="00505592"/>
    <w:rsid w:val="00506192"/>
    <w:rsid w:val="005066BF"/>
    <w:rsid w:val="0050685A"/>
    <w:rsid w:val="0050764F"/>
    <w:rsid w:val="00507F42"/>
    <w:rsid w:val="005103B4"/>
    <w:rsid w:val="00510501"/>
    <w:rsid w:val="005108D6"/>
    <w:rsid w:val="00510CAB"/>
    <w:rsid w:val="00511079"/>
    <w:rsid w:val="005118ED"/>
    <w:rsid w:val="005125D0"/>
    <w:rsid w:val="00512B64"/>
    <w:rsid w:val="00512C6D"/>
    <w:rsid w:val="005133CF"/>
    <w:rsid w:val="00513A34"/>
    <w:rsid w:val="005148E7"/>
    <w:rsid w:val="0051686F"/>
    <w:rsid w:val="00516C1F"/>
    <w:rsid w:val="00517ABF"/>
    <w:rsid w:val="0051DF3D"/>
    <w:rsid w:val="0052094F"/>
    <w:rsid w:val="00520AFF"/>
    <w:rsid w:val="005211A7"/>
    <w:rsid w:val="005233BE"/>
    <w:rsid w:val="00523564"/>
    <w:rsid w:val="00523A8C"/>
    <w:rsid w:val="00523EF6"/>
    <w:rsid w:val="00526212"/>
    <w:rsid w:val="00526BFD"/>
    <w:rsid w:val="00526E69"/>
    <w:rsid w:val="005276FF"/>
    <w:rsid w:val="00527912"/>
    <w:rsid w:val="00530155"/>
    <w:rsid w:val="0053088C"/>
    <w:rsid w:val="00531E98"/>
    <w:rsid w:val="0053204C"/>
    <w:rsid w:val="005327F3"/>
    <w:rsid w:val="0053302A"/>
    <w:rsid w:val="00533318"/>
    <w:rsid w:val="00534489"/>
    <w:rsid w:val="005347AD"/>
    <w:rsid w:val="00535614"/>
    <w:rsid w:val="00535B2E"/>
    <w:rsid w:val="00535E46"/>
    <w:rsid w:val="00535F32"/>
    <w:rsid w:val="005360DF"/>
    <w:rsid w:val="005364A6"/>
    <w:rsid w:val="005374EC"/>
    <w:rsid w:val="00537522"/>
    <w:rsid w:val="00537C06"/>
    <w:rsid w:val="00540C84"/>
    <w:rsid w:val="00542765"/>
    <w:rsid w:val="00542A00"/>
    <w:rsid w:val="00542AA7"/>
    <w:rsid w:val="005448AC"/>
    <w:rsid w:val="00544FB9"/>
    <w:rsid w:val="00544FFD"/>
    <w:rsid w:val="00545EBF"/>
    <w:rsid w:val="005465DD"/>
    <w:rsid w:val="005466C9"/>
    <w:rsid w:val="00546E8A"/>
    <w:rsid w:val="005479CE"/>
    <w:rsid w:val="00547FD9"/>
    <w:rsid w:val="005508E6"/>
    <w:rsid w:val="0055196E"/>
    <w:rsid w:val="00551A5A"/>
    <w:rsid w:val="0055223D"/>
    <w:rsid w:val="00552743"/>
    <w:rsid w:val="00552A96"/>
    <w:rsid w:val="00552BC2"/>
    <w:rsid w:val="00552E04"/>
    <w:rsid w:val="00553A4F"/>
    <w:rsid w:val="00554AAA"/>
    <w:rsid w:val="00554EB2"/>
    <w:rsid w:val="00555136"/>
    <w:rsid w:val="005553B5"/>
    <w:rsid w:val="00555B5B"/>
    <w:rsid w:val="00555E6A"/>
    <w:rsid w:val="005562B0"/>
    <w:rsid w:val="00556768"/>
    <w:rsid w:val="0055679F"/>
    <w:rsid w:val="0055703D"/>
    <w:rsid w:val="00557BDF"/>
    <w:rsid w:val="00560154"/>
    <w:rsid w:val="005610F1"/>
    <w:rsid w:val="0056192C"/>
    <w:rsid w:val="00561C8B"/>
    <w:rsid w:val="00561E8E"/>
    <w:rsid w:val="00562159"/>
    <w:rsid w:val="00562854"/>
    <w:rsid w:val="00562998"/>
    <w:rsid w:val="00562B8F"/>
    <w:rsid w:val="00563353"/>
    <w:rsid w:val="005636AE"/>
    <w:rsid w:val="005644C9"/>
    <w:rsid w:val="00564701"/>
    <w:rsid w:val="00564949"/>
    <w:rsid w:val="0056496D"/>
    <w:rsid w:val="00564CB4"/>
    <w:rsid w:val="0056566A"/>
    <w:rsid w:val="0056570C"/>
    <w:rsid w:val="005657C7"/>
    <w:rsid w:val="00565992"/>
    <w:rsid w:val="005659DC"/>
    <w:rsid w:val="00565CC5"/>
    <w:rsid w:val="00565F5C"/>
    <w:rsid w:val="0056672D"/>
    <w:rsid w:val="00566F10"/>
    <w:rsid w:val="0056767D"/>
    <w:rsid w:val="005678CC"/>
    <w:rsid w:val="00570246"/>
    <w:rsid w:val="0057075E"/>
    <w:rsid w:val="00570A3A"/>
    <w:rsid w:val="0057113B"/>
    <w:rsid w:val="0057138E"/>
    <w:rsid w:val="005716AA"/>
    <w:rsid w:val="0057289F"/>
    <w:rsid w:val="00572C38"/>
    <w:rsid w:val="0057306F"/>
    <w:rsid w:val="005740F7"/>
    <w:rsid w:val="0057789E"/>
    <w:rsid w:val="00577E93"/>
    <w:rsid w:val="00577EF8"/>
    <w:rsid w:val="0058177F"/>
    <w:rsid w:val="00581E6B"/>
    <w:rsid w:val="00582B64"/>
    <w:rsid w:val="005831BA"/>
    <w:rsid w:val="0058334D"/>
    <w:rsid w:val="00583719"/>
    <w:rsid w:val="00584926"/>
    <w:rsid w:val="00584A88"/>
    <w:rsid w:val="00584D5D"/>
    <w:rsid w:val="00584EDC"/>
    <w:rsid w:val="0058534C"/>
    <w:rsid w:val="00585949"/>
    <w:rsid w:val="00585C14"/>
    <w:rsid w:val="00586250"/>
    <w:rsid w:val="00586475"/>
    <w:rsid w:val="005867F3"/>
    <w:rsid w:val="00586D1A"/>
    <w:rsid w:val="005872CC"/>
    <w:rsid w:val="005873D4"/>
    <w:rsid w:val="005904EF"/>
    <w:rsid w:val="00590F3B"/>
    <w:rsid w:val="00591F41"/>
    <w:rsid w:val="00592C75"/>
    <w:rsid w:val="00593289"/>
    <w:rsid w:val="0059344A"/>
    <w:rsid w:val="0059427A"/>
    <w:rsid w:val="005943F8"/>
    <w:rsid w:val="0059461D"/>
    <w:rsid w:val="0059491A"/>
    <w:rsid w:val="00595B87"/>
    <w:rsid w:val="00595F9F"/>
    <w:rsid w:val="005964F8"/>
    <w:rsid w:val="00596684"/>
    <w:rsid w:val="0059679F"/>
    <w:rsid w:val="0059713E"/>
    <w:rsid w:val="005A015C"/>
    <w:rsid w:val="005A0433"/>
    <w:rsid w:val="005A0549"/>
    <w:rsid w:val="005A0B08"/>
    <w:rsid w:val="005A0D5C"/>
    <w:rsid w:val="005A156C"/>
    <w:rsid w:val="005A2A49"/>
    <w:rsid w:val="005A2BC7"/>
    <w:rsid w:val="005A4F8E"/>
    <w:rsid w:val="005A4F98"/>
    <w:rsid w:val="005A5122"/>
    <w:rsid w:val="005B0135"/>
    <w:rsid w:val="005B098F"/>
    <w:rsid w:val="005B0A83"/>
    <w:rsid w:val="005B28EA"/>
    <w:rsid w:val="005B2B62"/>
    <w:rsid w:val="005B33C5"/>
    <w:rsid w:val="005B34DD"/>
    <w:rsid w:val="005B363E"/>
    <w:rsid w:val="005B4347"/>
    <w:rsid w:val="005B6BC7"/>
    <w:rsid w:val="005B7424"/>
    <w:rsid w:val="005B7498"/>
    <w:rsid w:val="005C0D22"/>
    <w:rsid w:val="005C14C2"/>
    <w:rsid w:val="005C14FD"/>
    <w:rsid w:val="005C15CE"/>
    <w:rsid w:val="005C35DC"/>
    <w:rsid w:val="005C3E1D"/>
    <w:rsid w:val="005C3EA1"/>
    <w:rsid w:val="005C4139"/>
    <w:rsid w:val="005C43AB"/>
    <w:rsid w:val="005C46B0"/>
    <w:rsid w:val="005C4872"/>
    <w:rsid w:val="005C5947"/>
    <w:rsid w:val="005C5ED4"/>
    <w:rsid w:val="005C617E"/>
    <w:rsid w:val="005C641E"/>
    <w:rsid w:val="005C6F66"/>
    <w:rsid w:val="005C7ACC"/>
    <w:rsid w:val="005D037C"/>
    <w:rsid w:val="005D1E47"/>
    <w:rsid w:val="005D35B1"/>
    <w:rsid w:val="005D60CD"/>
    <w:rsid w:val="005D6FB9"/>
    <w:rsid w:val="005D78AC"/>
    <w:rsid w:val="005D7D9A"/>
    <w:rsid w:val="005E0599"/>
    <w:rsid w:val="005E0875"/>
    <w:rsid w:val="005E0ECC"/>
    <w:rsid w:val="005E1D0E"/>
    <w:rsid w:val="005E210F"/>
    <w:rsid w:val="005E22D5"/>
    <w:rsid w:val="005E2427"/>
    <w:rsid w:val="005E3028"/>
    <w:rsid w:val="005E3BC6"/>
    <w:rsid w:val="005E41B3"/>
    <w:rsid w:val="005E4456"/>
    <w:rsid w:val="005E4CE7"/>
    <w:rsid w:val="005E58EB"/>
    <w:rsid w:val="005E60B6"/>
    <w:rsid w:val="005F102B"/>
    <w:rsid w:val="005F2114"/>
    <w:rsid w:val="005F4445"/>
    <w:rsid w:val="005F4490"/>
    <w:rsid w:val="005F47E1"/>
    <w:rsid w:val="005F4B83"/>
    <w:rsid w:val="005F51C7"/>
    <w:rsid w:val="005F641D"/>
    <w:rsid w:val="005F6514"/>
    <w:rsid w:val="005F6898"/>
    <w:rsid w:val="005F6CB1"/>
    <w:rsid w:val="005F702A"/>
    <w:rsid w:val="005F7A34"/>
    <w:rsid w:val="00600050"/>
    <w:rsid w:val="00600068"/>
    <w:rsid w:val="006009FF"/>
    <w:rsid w:val="0060188B"/>
    <w:rsid w:val="00602718"/>
    <w:rsid w:val="006028A6"/>
    <w:rsid w:val="00602E5A"/>
    <w:rsid w:val="00603892"/>
    <w:rsid w:val="006042E9"/>
    <w:rsid w:val="006049F7"/>
    <w:rsid w:val="00604FCC"/>
    <w:rsid w:val="006051AF"/>
    <w:rsid w:val="00605D10"/>
    <w:rsid w:val="00606B4B"/>
    <w:rsid w:val="00606E01"/>
    <w:rsid w:val="006070A0"/>
    <w:rsid w:val="006074CC"/>
    <w:rsid w:val="006074DD"/>
    <w:rsid w:val="0061061A"/>
    <w:rsid w:val="006109FB"/>
    <w:rsid w:val="00611E7B"/>
    <w:rsid w:val="00611F0F"/>
    <w:rsid w:val="006133C5"/>
    <w:rsid w:val="006142A1"/>
    <w:rsid w:val="00615D6B"/>
    <w:rsid w:val="00616EA3"/>
    <w:rsid w:val="00617515"/>
    <w:rsid w:val="00620CF8"/>
    <w:rsid w:val="006211F1"/>
    <w:rsid w:val="00621430"/>
    <w:rsid w:val="0062271E"/>
    <w:rsid w:val="006236C4"/>
    <w:rsid w:val="00623788"/>
    <w:rsid w:val="006237BB"/>
    <w:rsid w:val="00623E78"/>
    <w:rsid w:val="0062433D"/>
    <w:rsid w:val="006252B0"/>
    <w:rsid w:val="00625780"/>
    <w:rsid w:val="00625B3F"/>
    <w:rsid w:val="00626194"/>
    <w:rsid w:val="00626A75"/>
    <w:rsid w:val="00626D2C"/>
    <w:rsid w:val="00627359"/>
    <w:rsid w:val="00627673"/>
    <w:rsid w:val="00627AA8"/>
    <w:rsid w:val="00630132"/>
    <w:rsid w:val="00630AA3"/>
    <w:rsid w:val="00630D32"/>
    <w:rsid w:val="00630E9A"/>
    <w:rsid w:val="006318EC"/>
    <w:rsid w:val="00631AB1"/>
    <w:rsid w:val="0063261D"/>
    <w:rsid w:val="00632D71"/>
    <w:rsid w:val="006336A4"/>
    <w:rsid w:val="00633A63"/>
    <w:rsid w:val="00633E3F"/>
    <w:rsid w:val="00634D30"/>
    <w:rsid w:val="0063604C"/>
    <w:rsid w:val="00640C24"/>
    <w:rsid w:val="00640F42"/>
    <w:rsid w:val="0064230E"/>
    <w:rsid w:val="00644033"/>
    <w:rsid w:val="00644EA6"/>
    <w:rsid w:val="006451CA"/>
    <w:rsid w:val="006476A5"/>
    <w:rsid w:val="00647917"/>
    <w:rsid w:val="00647FB7"/>
    <w:rsid w:val="00651842"/>
    <w:rsid w:val="00651C61"/>
    <w:rsid w:val="00651DEB"/>
    <w:rsid w:val="00652048"/>
    <w:rsid w:val="00652B01"/>
    <w:rsid w:val="0065318A"/>
    <w:rsid w:val="00654C4F"/>
    <w:rsid w:val="00654D49"/>
    <w:rsid w:val="00654F39"/>
    <w:rsid w:val="0065546F"/>
    <w:rsid w:val="006554A8"/>
    <w:rsid w:val="006555C1"/>
    <w:rsid w:val="00655DF6"/>
    <w:rsid w:val="00656081"/>
    <w:rsid w:val="0065630A"/>
    <w:rsid w:val="00656D96"/>
    <w:rsid w:val="006600BE"/>
    <w:rsid w:val="006602C6"/>
    <w:rsid w:val="00660477"/>
    <w:rsid w:val="0066084A"/>
    <w:rsid w:val="00660B77"/>
    <w:rsid w:val="00660CE2"/>
    <w:rsid w:val="0066134B"/>
    <w:rsid w:val="00661C1A"/>
    <w:rsid w:val="00661E07"/>
    <w:rsid w:val="00661FE2"/>
    <w:rsid w:val="0066297E"/>
    <w:rsid w:val="00663281"/>
    <w:rsid w:val="006634C3"/>
    <w:rsid w:val="00663D29"/>
    <w:rsid w:val="006643D5"/>
    <w:rsid w:val="0066478E"/>
    <w:rsid w:val="006655C2"/>
    <w:rsid w:val="006658D6"/>
    <w:rsid w:val="00665AC5"/>
    <w:rsid w:val="00665DF7"/>
    <w:rsid w:val="0066683E"/>
    <w:rsid w:val="00666DA1"/>
    <w:rsid w:val="0066735F"/>
    <w:rsid w:val="00667A1C"/>
    <w:rsid w:val="00670C0D"/>
    <w:rsid w:val="0067259F"/>
    <w:rsid w:val="00672669"/>
    <w:rsid w:val="00672773"/>
    <w:rsid w:val="00673006"/>
    <w:rsid w:val="006736A5"/>
    <w:rsid w:val="00673B81"/>
    <w:rsid w:val="0067409B"/>
    <w:rsid w:val="00674D87"/>
    <w:rsid w:val="00674F61"/>
    <w:rsid w:val="00675456"/>
    <w:rsid w:val="00675BCC"/>
    <w:rsid w:val="00675C1B"/>
    <w:rsid w:val="00675F09"/>
    <w:rsid w:val="00676228"/>
    <w:rsid w:val="006762AF"/>
    <w:rsid w:val="00676B56"/>
    <w:rsid w:val="00676F07"/>
    <w:rsid w:val="00677035"/>
    <w:rsid w:val="0067719D"/>
    <w:rsid w:val="0067798B"/>
    <w:rsid w:val="00680588"/>
    <w:rsid w:val="006819FC"/>
    <w:rsid w:val="00681E74"/>
    <w:rsid w:val="006820C8"/>
    <w:rsid w:val="00682A1D"/>
    <w:rsid w:val="00682EC9"/>
    <w:rsid w:val="0068422E"/>
    <w:rsid w:val="0068430F"/>
    <w:rsid w:val="00684A1F"/>
    <w:rsid w:val="00684DD0"/>
    <w:rsid w:val="00685B71"/>
    <w:rsid w:val="00685B93"/>
    <w:rsid w:val="0068604E"/>
    <w:rsid w:val="00687380"/>
    <w:rsid w:val="0069015A"/>
    <w:rsid w:val="00690561"/>
    <w:rsid w:val="00690656"/>
    <w:rsid w:val="00690A62"/>
    <w:rsid w:val="0069189C"/>
    <w:rsid w:val="00691902"/>
    <w:rsid w:val="00691E49"/>
    <w:rsid w:val="00692746"/>
    <w:rsid w:val="006928F4"/>
    <w:rsid w:val="006929F8"/>
    <w:rsid w:val="00692A87"/>
    <w:rsid w:val="00692A96"/>
    <w:rsid w:val="00692D1B"/>
    <w:rsid w:val="00692D81"/>
    <w:rsid w:val="00693996"/>
    <w:rsid w:val="00693C35"/>
    <w:rsid w:val="00693C59"/>
    <w:rsid w:val="00693E57"/>
    <w:rsid w:val="00694750"/>
    <w:rsid w:val="00694CF2"/>
    <w:rsid w:val="00695F54"/>
    <w:rsid w:val="00696AC5"/>
    <w:rsid w:val="00696DCA"/>
    <w:rsid w:val="006973EB"/>
    <w:rsid w:val="006A065B"/>
    <w:rsid w:val="006A1048"/>
    <w:rsid w:val="006A16D2"/>
    <w:rsid w:val="006A17A0"/>
    <w:rsid w:val="006A2253"/>
    <w:rsid w:val="006A2405"/>
    <w:rsid w:val="006A37F0"/>
    <w:rsid w:val="006A39D5"/>
    <w:rsid w:val="006A4424"/>
    <w:rsid w:val="006A479D"/>
    <w:rsid w:val="006A48BA"/>
    <w:rsid w:val="006A5B40"/>
    <w:rsid w:val="006A6219"/>
    <w:rsid w:val="006A756F"/>
    <w:rsid w:val="006B017C"/>
    <w:rsid w:val="006B0294"/>
    <w:rsid w:val="006B0B08"/>
    <w:rsid w:val="006B0BE1"/>
    <w:rsid w:val="006B0C36"/>
    <w:rsid w:val="006B114B"/>
    <w:rsid w:val="006B266D"/>
    <w:rsid w:val="006B2C74"/>
    <w:rsid w:val="006B406A"/>
    <w:rsid w:val="006B4368"/>
    <w:rsid w:val="006B5AF4"/>
    <w:rsid w:val="006B6424"/>
    <w:rsid w:val="006B7357"/>
    <w:rsid w:val="006B752E"/>
    <w:rsid w:val="006B760B"/>
    <w:rsid w:val="006B783D"/>
    <w:rsid w:val="006C0ABB"/>
    <w:rsid w:val="006C0E7C"/>
    <w:rsid w:val="006C1FB8"/>
    <w:rsid w:val="006C2154"/>
    <w:rsid w:val="006C2ED3"/>
    <w:rsid w:val="006C37BD"/>
    <w:rsid w:val="006C3804"/>
    <w:rsid w:val="006C3C9B"/>
    <w:rsid w:val="006C4DE0"/>
    <w:rsid w:val="006C5710"/>
    <w:rsid w:val="006C5D4B"/>
    <w:rsid w:val="006C6537"/>
    <w:rsid w:val="006C6FA7"/>
    <w:rsid w:val="006C72A7"/>
    <w:rsid w:val="006C761A"/>
    <w:rsid w:val="006C78F4"/>
    <w:rsid w:val="006D01C7"/>
    <w:rsid w:val="006D0BB7"/>
    <w:rsid w:val="006D0D17"/>
    <w:rsid w:val="006D0EDE"/>
    <w:rsid w:val="006D2031"/>
    <w:rsid w:val="006D27A0"/>
    <w:rsid w:val="006D283D"/>
    <w:rsid w:val="006D28A9"/>
    <w:rsid w:val="006D28D6"/>
    <w:rsid w:val="006D2A82"/>
    <w:rsid w:val="006D38A1"/>
    <w:rsid w:val="006D42A8"/>
    <w:rsid w:val="006D4586"/>
    <w:rsid w:val="006D4828"/>
    <w:rsid w:val="006D48FA"/>
    <w:rsid w:val="006D49BB"/>
    <w:rsid w:val="006D4C79"/>
    <w:rsid w:val="006D5151"/>
    <w:rsid w:val="006D5C7A"/>
    <w:rsid w:val="006D6288"/>
    <w:rsid w:val="006D6304"/>
    <w:rsid w:val="006D6B0B"/>
    <w:rsid w:val="006D6B5E"/>
    <w:rsid w:val="006D77F3"/>
    <w:rsid w:val="006D7BE7"/>
    <w:rsid w:val="006E0021"/>
    <w:rsid w:val="006E0136"/>
    <w:rsid w:val="006E0F0B"/>
    <w:rsid w:val="006E1459"/>
    <w:rsid w:val="006E1687"/>
    <w:rsid w:val="006E2A46"/>
    <w:rsid w:val="006E2F4A"/>
    <w:rsid w:val="006E4276"/>
    <w:rsid w:val="006E564C"/>
    <w:rsid w:val="006E57E5"/>
    <w:rsid w:val="006E6028"/>
    <w:rsid w:val="006E6A06"/>
    <w:rsid w:val="006E7CCE"/>
    <w:rsid w:val="006F0516"/>
    <w:rsid w:val="006F12E8"/>
    <w:rsid w:val="006F1407"/>
    <w:rsid w:val="006F186F"/>
    <w:rsid w:val="006F354B"/>
    <w:rsid w:val="006F374D"/>
    <w:rsid w:val="006F47CA"/>
    <w:rsid w:val="006F53CB"/>
    <w:rsid w:val="006F540A"/>
    <w:rsid w:val="006F562F"/>
    <w:rsid w:val="006F5E9D"/>
    <w:rsid w:val="006F61C9"/>
    <w:rsid w:val="006F6A3F"/>
    <w:rsid w:val="006F7373"/>
    <w:rsid w:val="006F7544"/>
    <w:rsid w:val="006F7D0B"/>
    <w:rsid w:val="0070094F"/>
    <w:rsid w:val="00700CCD"/>
    <w:rsid w:val="00701B7D"/>
    <w:rsid w:val="00703914"/>
    <w:rsid w:val="00703D31"/>
    <w:rsid w:val="00703EBC"/>
    <w:rsid w:val="00705568"/>
    <w:rsid w:val="0070636D"/>
    <w:rsid w:val="0070753D"/>
    <w:rsid w:val="007106F2"/>
    <w:rsid w:val="007111D9"/>
    <w:rsid w:val="007111F3"/>
    <w:rsid w:val="00711446"/>
    <w:rsid w:val="00713711"/>
    <w:rsid w:val="00713CCD"/>
    <w:rsid w:val="0071432D"/>
    <w:rsid w:val="007154E3"/>
    <w:rsid w:val="007159B6"/>
    <w:rsid w:val="00715A57"/>
    <w:rsid w:val="007164E4"/>
    <w:rsid w:val="007172AF"/>
    <w:rsid w:val="00720663"/>
    <w:rsid w:val="0072149A"/>
    <w:rsid w:val="00721A2C"/>
    <w:rsid w:val="00722513"/>
    <w:rsid w:val="00722CE3"/>
    <w:rsid w:val="007232A3"/>
    <w:rsid w:val="0072365D"/>
    <w:rsid w:val="00723963"/>
    <w:rsid w:val="00723CA7"/>
    <w:rsid w:val="007249E6"/>
    <w:rsid w:val="0072599B"/>
    <w:rsid w:val="00726AB1"/>
    <w:rsid w:val="007272BE"/>
    <w:rsid w:val="00727F9C"/>
    <w:rsid w:val="00730462"/>
    <w:rsid w:val="007313CA"/>
    <w:rsid w:val="00731B68"/>
    <w:rsid w:val="00731D56"/>
    <w:rsid w:val="00733585"/>
    <w:rsid w:val="00734161"/>
    <w:rsid w:val="00734216"/>
    <w:rsid w:val="0073432A"/>
    <w:rsid w:val="00734D9F"/>
    <w:rsid w:val="00734F7C"/>
    <w:rsid w:val="0073625A"/>
    <w:rsid w:val="00736406"/>
    <w:rsid w:val="00736626"/>
    <w:rsid w:val="007366A9"/>
    <w:rsid w:val="007372C0"/>
    <w:rsid w:val="00741C9A"/>
    <w:rsid w:val="00741DDF"/>
    <w:rsid w:val="00741E07"/>
    <w:rsid w:val="00741F5D"/>
    <w:rsid w:val="007430A6"/>
    <w:rsid w:val="00743396"/>
    <w:rsid w:val="007439AE"/>
    <w:rsid w:val="00743C2B"/>
    <w:rsid w:val="00743FA5"/>
    <w:rsid w:val="0074444B"/>
    <w:rsid w:val="00745085"/>
    <w:rsid w:val="00745D81"/>
    <w:rsid w:val="00745FED"/>
    <w:rsid w:val="00746793"/>
    <w:rsid w:val="007469E1"/>
    <w:rsid w:val="0074734D"/>
    <w:rsid w:val="007476E1"/>
    <w:rsid w:val="00750530"/>
    <w:rsid w:val="00750584"/>
    <w:rsid w:val="00751215"/>
    <w:rsid w:val="00751833"/>
    <w:rsid w:val="00751B1F"/>
    <w:rsid w:val="0075207E"/>
    <w:rsid w:val="007526F0"/>
    <w:rsid w:val="00753AFA"/>
    <w:rsid w:val="0075543B"/>
    <w:rsid w:val="00755A75"/>
    <w:rsid w:val="0075630C"/>
    <w:rsid w:val="00756597"/>
    <w:rsid w:val="00757AC1"/>
    <w:rsid w:val="0076064F"/>
    <w:rsid w:val="007606B2"/>
    <w:rsid w:val="00760850"/>
    <w:rsid w:val="00760CF4"/>
    <w:rsid w:val="00761CCC"/>
    <w:rsid w:val="00761FB6"/>
    <w:rsid w:val="007634EC"/>
    <w:rsid w:val="007656BD"/>
    <w:rsid w:val="00765912"/>
    <w:rsid w:val="00765D9F"/>
    <w:rsid w:val="0076620A"/>
    <w:rsid w:val="00766613"/>
    <w:rsid w:val="00767104"/>
    <w:rsid w:val="007673EC"/>
    <w:rsid w:val="0076743E"/>
    <w:rsid w:val="00767564"/>
    <w:rsid w:val="00767645"/>
    <w:rsid w:val="00767729"/>
    <w:rsid w:val="00767C62"/>
    <w:rsid w:val="00767D51"/>
    <w:rsid w:val="00767F2C"/>
    <w:rsid w:val="0077065C"/>
    <w:rsid w:val="007706DB"/>
    <w:rsid w:val="00771B79"/>
    <w:rsid w:val="00771C1C"/>
    <w:rsid w:val="00772D03"/>
    <w:rsid w:val="00772E81"/>
    <w:rsid w:val="00772F11"/>
    <w:rsid w:val="007735FE"/>
    <w:rsid w:val="0077378A"/>
    <w:rsid w:val="007737E6"/>
    <w:rsid w:val="00773CEF"/>
    <w:rsid w:val="00773D15"/>
    <w:rsid w:val="00773D18"/>
    <w:rsid w:val="00774174"/>
    <w:rsid w:val="007744A8"/>
    <w:rsid w:val="0077491A"/>
    <w:rsid w:val="007753FF"/>
    <w:rsid w:val="00775DC7"/>
    <w:rsid w:val="00775F6E"/>
    <w:rsid w:val="00776032"/>
    <w:rsid w:val="0077688C"/>
    <w:rsid w:val="00776C33"/>
    <w:rsid w:val="00776EDE"/>
    <w:rsid w:val="007777D6"/>
    <w:rsid w:val="007779DA"/>
    <w:rsid w:val="00777B08"/>
    <w:rsid w:val="00777F2E"/>
    <w:rsid w:val="00780135"/>
    <w:rsid w:val="00781821"/>
    <w:rsid w:val="00781D06"/>
    <w:rsid w:val="00781DF3"/>
    <w:rsid w:val="007825AE"/>
    <w:rsid w:val="0078284B"/>
    <w:rsid w:val="007829A5"/>
    <w:rsid w:val="00782E89"/>
    <w:rsid w:val="007838A8"/>
    <w:rsid w:val="00783C0F"/>
    <w:rsid w:val="00784526"/>
    <w:rsid w:val="00784681"/>
    <w:rsid w:val="00785066"/>
    <w:rsid w:val="00785169"/>
    <w:rsid w:val="00785CA7"/>
    <w:rsid w:val="0078617F"/>
    <w:rsid w:val="00786778"/>
    <w:rsid w:val="007877EE"/>
    <w:rsid w:val="00787DEF"/>
    <w:rsid w:val="00790831"/>
    <w:rsid w:val="00790BB6"/>
    <w:rsid w:val="00791099"/>
    <w:rsid w:val="00791709"/>
    <w:rsid w:val="00791C3D"/>
    <w:rsid w:val="00792197"/>
    <w:rsid w:val="00792FF0"/>
    <w:rsid w:val="00793166"/>
    <w:rsid w:val="00794512"/>
    <w:rsid w:val="00794B53"/>
    <w:rsid w:val="00794E79"/>
    <w:rsid w:val="00795A3D"/>
    <w:rsid w:val="00795C7D"/>
    <w:rsid w:val="00796E79"/>
    <w:rsid w:val="00797C80"/>
    <w:rsid w:val="007A00B1"/>
    <w:rsid w:val="007A0810"/>
    <w:rsid w:val="007A0FAE"/>
    <w:rsid w:val="007A12D1"/>
    <w:rsid w:val="007A1462"/>
    <w:rsid w:val="007A1771"/>
    <w:rsid w:val="007A3A56"/>
    <w:rsid w:val="007A3B3F"/>
    <w:rsid w:val="007A4B5F"/>
    <w:rsid w:val="007A4CB2"/>
    <w:rsid w:val="007A542D"/>
    <w:rsid w:val="007A5932"/>
    <w:rsid w:val="007A6207"/>
    <w:rsid w:val="007A653C"/>
    <w:rsid w:val="007A6923"/>
    <w:rsid w:val="007A6B9E"/>
    <w:rsid w:val="007A6D9D"/>
    <w:rsid w:val="007B08C9"/>
    <w:rsid w:val="007B0C0F"/>
    <w:rsid w:val="007B0DDB"/>
    <w:rsid w:val="007B12A0"/>
    <w:rsid w:val="007B1E88"/>
    <w:rsid w:val="007B1E92"/>
    <w:rsid w:val="007B229B"/>
    <w:rsid w:val="007B32E9"/>
    <w:rsid w:val="007B3AB7"/>
    <w:rsid w:val="007B3E7D"/>
    <w:rsid w:val="007B7919"/>
    <w:rsid w:val="007C04C1"/>
    <w:rsid w:val="007C04F6"/>
    <w:rsid w:val="007C276C"/>
    <w:rsid w:val="007C3412"/>
    <w:rsid w:val="007C3901"/>
    <w:rsid w:val="007C3C49"/>
    <w:rsid w:val="007C3E7B"/>
    <w:rsid w:val="007C4120"/>
    <w:rsid w:val="007C41C4"/>
    <w:rsid w:val="007C494C"/>
    <w:rsid w:val="007C4C5B"/>
    <w:rsid w:val="007C52CF"/>
    <w:rsid w:val="007C5C6F"/>
    <w:rsid w:val="007C6B68"/>
    <w:rsid w:val="007C6F38"/>
    <w:rsid w:val="007C70B8"/>
    <w:rsid w:val="007C741D"/>
    <w:rsid w:val="007D01B4"/>
    <w:rsid w:val="007D0C19"/>
    <w:rsid w:val="007D180B"/>
    <w:rsid w:val="007D1928"/>
    <w:rsid w:val="007D1FF4"/>
    <w:rsid w:val="007D2052"/>
    <w:rsid w:val="007D206B"/>
    <w:rsid w:val="007D245F"/>
    <w:rsid w:val="007D2981"/>
    <w:rsid w:val="007D307C"/>
    <w:rsid w:val="007D3CA5"/>
    <w:rsid w:val="007D42D2"/>
    <w:rsid w:val="007D52C3"/>
    <w:rsid w:val="007D5B24"/>
    <w:rsid w:val="007D5D52"/>
    <w:rsid w:val="007D5D55"/>
    <w:rsid w:val="007D635A"/>
    <w:rsid w:val="007D63FC"/>
    <w:rsid w:val="007D6C5F"/>
    <w:rsid w:val="007E0D74"/>
    <w:rsid w:val="007E1977"/>
    <w:rsid w:val="007E1F06"/>
    <w:rsid w:val="007E3A65"/>
    <w:rsid w:val="007E4025"/>
    <w:rsid w:val="007E588B"/>
    <w:rsid w:val="007E5DE5"/>
    <w:rsid w:val="007E69F2"/>
    <w:rsid w:val="007E724A"/>
    <w:rsid w:val="007F0766"/>
    <w:rsid w:val="007F09A2"/>
    <w:rsid w:val="007F09BF"/>
    <w:rsid w:val="007F1B2C"/>
    <w:rsid w:val="007F4225"/>
    <w:rsid w:val="007F5590"/>
    <w:rsid w:val="007F64F1"/>
    <w:rsid w:val="007F6835"/>
    <w:rsid w:val="007F6C25"/>
    <w:rsid w:val="007F7E94"/>
    <w:rsid w:val="00801264"/>
    <w:rsid w:val="00801E52"/>
    <w:rsid w:val="008022C3"/>
    <w:rsid w:val="00802F63"/>
    <w:rsid w:val="0080326B"/>
    <w:rsid w:val="008043DD"/>
    <w:rsid w:val="00805042"/>
    <w:rsid w:val="008055FE"/>
    <w:rsid w:val="00805FB7"/>
    <w:rsid w:val="0081097D"/>
    <w:rsid w:val="00810996"/>
    <w:rsid w:val="008118B9"/>
    <w:rsid w:val="008118E2"/>
    <w:rsid w:val="00811B40"/>
    <w:rsid w:val="00811EE0"/>
    <w:rsid w:val="008141D9"/>
    <w:rsid w:val="00814ECF"/>
    <w:rsid w:val="00815C2F"/>
    <w:rsid w:val="00815E4A"/>
    <w:rsid w:val="00817123"/>
    <w:rsid w:val="00817599"/>
    <w:rsid w:val="00820177"/>
    <w:rsid w:val="00820C86"/>
    <w:rsid w:val="00820ED1"/>
    <w:rsid w:val="00822982"/>
    <w:rsid w:val="00822996"/>
    <w:rsid w:val="00822AB4"/>
    <w:rsid w:val="00823BDD"/>
    <w:rsid w:val="008253FD"/>
    <w:rsid w:val="00825960"/>
    <w:rsid w:val="00825FBC"/>
    <w:rsid w:val="00827333"/>
    <w:rsid w:val="00827D26"/>
    <w:rsid w:val="00827F2E"/>
    <w:rsid w:val="00830C22"/>
    <w:rsid w:val="00830C86"/>
    <w:rsid w:val="00831352"/>
    <w:rsid w:val="00831575"/>
    <w:rsid w:val="00831933"/>
    <w:rsid w:val="0083315A"/>
    <w:rsid w:val="00833C35"/>
    <w:rsid w:val="008342C6"/>
    <w:rsid w:val="00834D17"/>
    <w:rsid w:val="00834FC4"/>
    <w:rsid w:val="00835694"/>
    <w:rsid w:val="008362B6"/>
    <w:rsid w:val="00836CBF"/>
    <w:rsid w:val="00836D3B"/>
    <w:rsid w:val="00837881"/>
    <w:rsid w:val="00837A8D"/>
    <w:rsid w:val="00837CED"/>
    <w:rsid w:val="00840876"/>
    <w:rsid w:val="00841A87"/>
    <w:rsid w:val="00842321"/>
    <w:rsid w:val="00842AEE"/>
    <w:rsid w:val="00842C3C"/>
    <w:rsid w:val="00842DC6"/>
    <w:rsid w:val="008433AE"/>
    <w:rsid w:val="00843DF6"/>
    <w:rsid w:val="00844E56"/>
    <w:rsid w:val="008451A4"/>
    <w:rsid w:val="008452BC"/>
    <w:rsid w:val="008468D1"/>
    <w:rsid w:val="00846F61"/>
    <w:rsid w:val="00847560"/>
    <w:rsid w:val="00847CB4"/>
    <w:rsid w:val="008509DF"/>
    <w:rsid w:val="00850F53"/>
    <w:rsid w:val="0085195C"/>
    <w:rsid w:val="00853C62"/>
    <w:rsid w:val="0085446B"/>
    <w:rsid w:val="0085471E"/>
    <w:rsid w:val="00854861"/>
    <w:rsid w:val="00854F71"/>
    <w:rsid w:val="0085564A"/>
    <w:rsid w:val="008559CF"/>
    <w:rsid w:val="00856034"/>
    <w:rsid w:val="00856099"/>
    <w:rsid w:val="0085696A"/>
    <w:rsid w:val="00856FB2"/>
    <w:rsid w:val="00857807"/>
    <w:rsid w:val="0085783A"/>
    <w:rsid w:val="00857A86"/>
    <w:rsid w:val="00860961"/>
    <w:rsid w:val="00860DE4"/>
    <w:rsid w:val="0086106B"/>
    <w:rsid w:val="00862397"/>
    <w:rsid w:val="00862444"/>
    <w:rsid w:val="008627AC"/>
    <w:rsid w:val="008628ED"/>
    <w:rsid w:val="00863BBD"/>
    <w:rsid w:val="00865530"/>
    <w:rsid w:val="00865B6B"/>
    <w:rsid w:val="008663C7"/>
    <w:rsid w:val="008663EC"/>
    <w:rsid w:val="008664DF"/>
    <w:rsid w:val="00867145"/>
    <w:rsid w:val="00867649"/>
    <w:rsid w:val="008677AE"/>
    <w:rsid w:val="00867CAD"/>
    <w:rsid w:val="00867D16"/>
    <w:rsid w:val="008702B6"/>
    <w:rsid w:val="00871603"/>
    <w:rsid w:val="0087163A"/>
    <w:rsid w:val="00871674"/>
    <w:rsid w:val="008721BF"/>
    <w:rsid w:val="008721CE"/>
    <w:rsid w:val="00873590"/>
    <w:rsid w:val="00874016"/>
    <w:rsid w:val="0087460F"/>
    <w:rsid w:val="008748B1"/>
    <w:rsid w:val="00874A70"/>
    <w:rsid w:val="00874BC3"/>
    <w:rsid w:val="00874E2A"/>
    <w:rsid w:val="008750F2"/>
    <w:rsid w:val="00876244"/>
    <w:rsid w:val="008762B4"/>
    <w:rsid w:val="00876871"/>
    <w:rsid w:val="00876965"/>
    <w:rsid w:val="008773EA"/>
    <w:rsid w:val="00877465"/>
    <w:rsid w:val="008776C8"/>
    <w:rsid w:val="008778A7"/>
    <w:rsid w:val="00877BCF"/>
    <w:rsid w:val="0088089E"/>
    <w:rsid w:val="00880B16"/>
    <w:rsid w:val="0088176A"/>
    <w:rsid w:val="00881878"/>
    <w:rsid w:val="00882310"/>
    <w:rsid w:val="00882521"/>
    <w:rsid w:val="0088319C"/>
    <w:rsid w:val="008840DB"/>
    <w:rsid w:val="0088480C"/>
    <w:rsid w:val="00885270"/>
    <w:rsid w:val="008852B8"/>
    <w:rsid w:val="00885C7D"/>
    <w:rsid w:val="00886431"/>
    <w:rsid w:val="0088662B"/>
    <w:rsid w:val="008866A2"/>
    <w:rsid w:val="00886A46"/>
    <w:rsid w:val="008872F9"/>
    <w:rsid w:val="00890256"/>
    <w:rsid w:val="00890459"/>
    <w:rsid w:val="008908E4"/>
    <w:rsid w:val="00890E9B"/>
    <w:rsid w:val="00890F32"/>
    <w:rsid w:val="008913CB"/>
    <w:rsid w:val="00891814"/>
    <w:rsid w:val="00891937"/>
    <w:rsid w:val="00893D46"/>
    <w:rsid w:val="00893EA8"/>
    <w:rsid w:val="0089468F"/>
    <w:rsid w:val="00895271"/>
    <w:rsid w:val="00895495"/>
    <w:rsid w:val="00895B70"/>
    <w:rsid w:val="00895C75"/>
    <w:rsid w:val="00895FE2"/>
    <w:rsid w:val="00896401"/>
    <w:rsid w:val="008969FC"/>
    <w:rsid w:val="00896B08"/>
    <w:rsid w:val="008977B0"/>
    <w:rsid w:val="00897944"/>
    <w:rsid w:val="00897E10"/>
    <w:rsid w:val="008A03FF"/>
    <w:rsid w:val="008A0C48"/>
    <w:rsid w:val="008A0F63"/>
    <w:rsid w:val="008A2135"/>
    <w:rsid w:val="008A2990"/>
    <w:rsid w:val="008A403E"/>
    <w:rsid w:val="008A594F"/>
    <w:rsid w:val="008A5951"/>
    <w:rsid w:val="008A610F"/>
    <w:rsid w:val="008A6C58"/>
    <w:rsid w:val="008A7734"/>
    <w:rsid w:val="008B047C"/>
    <w:rsid w:val="008B0FDE"/>
    <w:rsid w:val="008B104D"/>
    <w:rsid w:val="008B1336"/>
    <w:rsid w:val="008B2155"/>
    <w:rsid w:val="008B21EC"/>
    <w:rsid w:val="008B390E"/>
    <w:rsid w:val="008B39CB"/>
    <w:rsid w:val="008B4C18"/>
    <w:rsid w:val="008B4FCA"/>
    <w:rsid w:val="008B549D"/>
    <w:rsid w:val="008B6528"/>
    <w:rsid w:val="008B683C"/>
    <w:rsid w:val="008B7922"/>
    <w:rsid w:val="008C05DC"/>
    <w:rsid w:val="008C1073"/>
    <w:rsid w:val="008C186D"/>
    <w:rsid w:val="008C4E0E"/>
    <w:rsid w:val="008C56DC"/>
    <w:rsid w:val="008C5C25"/>
    <w:rsid w:val="008C60B5"/>
    <w:rsid w:val="008C66C7"/>
    <w:rsid w:val="008C6B09"/>
    <w:rsid w:val="008C6F6F"/>
    <w:rsid w:val="008C70AE"/>
    <w:rsid w:val="008C7B59"/>
    <w:rsid w:val="008C7CA6"/>
    <w:rsid w:val="008D012B"/>
    <w:rsid w:val="008D032B"/>
    <w:rsid w:val="008D039F"/>
    <w:rsid w:val="008D1BDC"/>
    <w:rsid w:val="008D3906"/>
    <w:rsid w:val="008D3BB3"/>
    <w:rsid w:val="008D41F0"/>
    <w:rsid w:val="008D4216"/>
    <w:rsid w:val="008D4499"/>
    <w:rsid w:val="008D59F4"/>
    <w:rsid w:val="008D65DB"/>
    <w:rsid w:val="008D6C58"/>
    <w:rsid w:val="008D787A"/>
    <w:rsid w:val="008D7990"/>
    <w:rsid w:val="008E0183"/>
    <w:rsid w:val="008E0627"/>
    <w:rsid w:val="008E0A43"/>
    <w:rsid w:val="008E250A"/>
    <w:rsid w:val="008E2DB1"/>
    <w:rsid w:val="008E33AA"/>
    <w:rsid w:val="008E35D6"/>
    <w:rsid w:val="008E3AC2"/>
    <w:rsid w:val="008E416A"/>
    <w:rsid w:val="008E41C8"/>
    <w:rsid w:val="008E46EB"/>
    <w:rsid w:val="008E4B0A"/>
    <w:rsid w:val="008E4C62"/>
    <w:rsid w:val="008E4CB0"/>
    <w:rsid w:val="008E55C1"/>
    <w:rsid w:val="008E5733"/>
    <w:rsid w:val="008E5C23"/>
    <w:rsid w:val="008E5ECB"/>
    <w:rsid w:val="008E638E"/>
    <w:rsid w:val="008E6B05"/>
    <w:rsid w:val="008E78D7"/>
    <w:rsid w:val="008E7981"/>
    <w:rsid w:val="008F00AF"/>
    <w:rsid w:val="008F03FB"/>
    <w:rsid w:val="008F04E3"/>
    <w:rsid w:val="008F08A8"/>
    <w:rsid w:val="008F259D"/>
    <w:rsid w:val="008F2653"/>
    <w:rsid w:val="008F2780"/>
    <w:rsid w:val="008F2934"/>
    <w:rsid w:val="008F399E"/>
    <w:rsid w:val="008F3A38"/>
    <w:rsid w:val="008F4763"/>
    <w:rsid w:val="008F5644"/>
    <w:rsid w:val="008F62CE"/>
    <w:rsid w:val="0090109D"/>
    <w:rsid w:val="009014AD"/>
    <w:rsid w:val="0090170F"/>
    <w:rsid w:val="00902032"/>
    <w:rsid w:val="00902495"/>
    <w:rsid w:val="00902978"/>
    <w:rsid w:val="00903605"/>
    <w:rsid w:val="00904129"/>
    <w:rsid w:val="0090515E"/>
    <w:rsid w:val="00905663"/>
    <w:rsid w:val="00905697"/>
    <w:rsid w:val="009064FC"/>
    <w:rsid w:val="0090711C"/>
    <w:rsid w:val="009072C4"/>
    <w:rsid w:val="00907668"/>
    <w:rsid w:val="00907C8B"/>
    <w:rsid w:val="00907CE4"/>
    <w:rsid w:val="00907EE0"/>
    <w:rsid w:val="00910814"/>
    <w:rsid w:val="00910F60"/>
    <w:rsid w:val="009117CB"/>
    <w:rsid w:val="00911F65"/>
    <w:rsid w:val="00912976"/>
    <w:rsid w:val="00912A6F"/>
    <w:rsid w:val="00912DE5"/>
    <w:rsid w:val="00912FDA"/>
    <w:rsid w:val="009134C8"/>
    <w:rsid w:val="00913DF3"/>
    <w:rsid w:val="00914929"/>
    <w:rsid w:val="00914B42"/>
    <w:rsid w:val="00914D2F"/>
    <w:rsid w:val="00914EC3"/>
    <w:rsid w:val="00915CAB"/>
    <w:rsid w:val="0091671F"/>
    <w:rsid w:val="00916868"/>
    <w:rsid w:val="00917053"/>
    <w:rsid w:val="0092012F"/>
    <w:rsid w:val="0092088E"/>
    <w:rsid w:val="00921494"/>
    <w:rsid w:val="009216C3"/>
    <w:rsid w:val="009219A9"/>
    <w:rsid w:val="00921AB6"/>
    <w:rsid w:val="0092209A"/>
    <w:rsid w:val="009228AF"/>
    <w:rsid w:val="00922D8B"/>
    <w:rsid w:val="00924094"/>
    <w:rsid w:val="00924384"/>
    <w:rsid w:val="0092459C"/>
    <w:rsid w:val="00924658"/>
    <w:rsid w:val="00924C3C"/>
    <w:rsid w:val="00926207"/>
    <w:rsid w:val="009266B6"/>
    <w:rsid w:val="0092702E"/>
    <w:rsid w:val="009270D8"/>
    <w:rsid w:val="00927724"/>
    <w:rsid w:val="00930415"/>
    <w:rsid w:val="009305E5"/>
    <w:rsid w:val="009305F8"/>
    <w:rsid w:val="00930BBD"/>
    <w:rsid w:val="00931796"/>
    <w:rsid w:val="009325CA"/>
    <w:rsid w:val="009330CB"/>
    <w:rsid w:val="00933A0E"/>
    <w:rsid w:val="00933B2E"/>
    <w:rsid w:val="00933FD7"/>
    <w:rsid w:val="009341EC"/>
    <w:rsid w:val="00934521"/>
    <w:rsid w:val="009346FF"/>
    <w:rsid w:val="00934AF6"/>
    <w:rsid w:val="00935B28"/>
    <w:rsid w:val="00936156"/>
    <w:rsid w:val="0093616A"/>
    <w:rsid w:val="009365A1"/>
    <w:rsid w:val="009365EE"/>
    <w:rsid w:val="009377C3"/>
    <w:rsid w:val="00937CCB"/>
    <w:rsid w:val="00941630"/>
    <w:rsid w:val="00942321"/>
    <w:rsid w:val="009429BD"/>
    <w:rsid w:val="00942C29"/>
    <w:rsid w:val="0094310D"/>
    <w:rsid w:val="00943DC7"/>
    <w:rsid w:val="009451CE"/>
    <w:rsid w:val="00945561"/>
    <w:rsid w:val="009460F0"/>
    <w:rsid w:val="0094614E"/>
    <w:rsid w:val="00946286"/>
    <w:rsid w:val="00947ED9"/>
    <w:rsid w:val="0095057E"/>
    <w:rsid w:val="00950D97"/>
    <w:rsid w:val="00950F86"/>
    <w:rsid w:val="0095100D"/>
    <w:rsid w:val="0095276E"/>
    <w:rsid w:val="009528CD"/>
    <w:rsid w:val="00952CF8"/>
    <w:rsid w:val="00953799"/>
    <w:rsid w:val="00953FAD"/>
    <w:rsid w:val="009541B3"/>
    <w:rsid w:val="009547E9"/>
    <w:rsid w:val="0095485C"/>
    <w:rsid w:val="009553AC"/>
    <w:rsid w:val="009558D1"/>
    <w:rsid w:val="009579B8"/>
    <w:rsid w:val="00957EA1"/>
    <w:rsid w:val="009607C1"/>
    <w:rsid w:val="00960E5D"/>
    <w:rsid w:val="009628EA"/>
    <w:rsid w:val="00963848"/>
    <w:rsid w:val="00964341"/>
    <w:rsid w:val="00964A0F"/>
    <w:rsid w:val="009659CA"/>
    <w:rsid w:val="00965EEE"/>
    <w:rsid w:val="0096643C"/>
    <w:rsid w:val="0096680A"/>
    <w:rsid w:val="00966864"/>
    <w:rsid w:val="00966CD1"/>
    <w:rsid w:val="00967364"/>
    <w:rsid w:val="00970E14"/>
    <w:rsid w:val="00971268"/>
    <w:rsid w:val="009712A0"/>
    <w:rsid w:val="0097180F"/>
    <w:rsid w:val="009739C0"/>
    <w:rsid w:val="009743FC"/>
    <w:rsid w:val="00974845"/>
    <w:rsid w:val="00974AAA"/>
    <w:rsid w:val="00974F68"/>
    <w:rsid w:val="00975004"/>
    <w:rsid w:val="009754CD"/>
    <w:rsid w:val="009754F1"/>
    <w:rsid w:val="00975A35"/>
    <w:rsid w:val="00975A6A"/>
    <w:rsid w:val="00975CA1"/>
    <w:rsid w:val="00975DC6"/>
    <w:rsid w:val="00976855"/>
    <w:rsid w:val="009778D5"/>
    <w:rsid w:val="00977DF5"/>
    <w:rsid w:val="00980385"/>
    <w:rsid w:val="0098071A"/>
    <w:rsid w:val="00980FA0"/>
    <w:rsid w:val="009818BE"/>
    <w:rsid w:val="009827A8"/>
    <w:rsid w:val="009833F8"/>
    <w:rsid w:val="00983D98"/>
    <w:rsid w:val="00984CB6"/>
    <w:rsid w:val="00984DD1"/>
    <w:rsid w:val="00986435"/>
    <w:rsid w:val="009867C7"/>
    <w:rsid w:val="009868D2"/>
    <w:rsid w:val="00986E3E"/>
    <w:rsid w:val="009904CB"/>
    <w:rsid w:val="00990B98"/>
    <w:rsid w:val="00991418"/>
    <w:rsid w:val="00992792"/>
    <w:rsid w:val="00992A32"/>
    <w:rsid w:val="00992B8B"/>
    <w:rsid w:val="00992ED0"/>
    <w:rsid w:val="009937A8"/>
    <w:rsid w:val="00993D12"/>
    <w:rsid w:val="00994232"/>
    <w:rsid w:val="00994D4E"/>
    <w:rsid w:val="00995515"/>
    <w:rsid w:val="009956F1"/>
    <w:rsid w:val="00995E83"/>
    <w:rsid w:val="0099621A"/>
    <w:rsid w:val="009969DA"/>
    <w:rsid w:val="00996EF4"/>
    <w:rsid w:val="0099790B"/>
    <w:rsid w:val="00997EE2"/>
    <w:rsid w:val="009A020F"/>
    <w:rsid w:val="009A03B6"/>
    <w:rsid w:val="009A0435"/>
    <w:rsid w:val="009A0602"/>
    <w:rsid w:val="009A202C"/>
    <w:rsid w:val="009A21A0"/>
    <w:rsid w:val="009A3164"/>
    <w:rsid w:val="009A3CBB"/>
    <w:rsid w:val="009A40C7"/>
    <w:rsid w:val="009A430A"/>
    <w:rsid w:val="009A4510"/>
    <w:rsid w:val="009A5FC2"/>
    <w:rsid w:val="009A6393"/>
    <w:rsid w:val="009A6A44"/>
    <w:rsid w:val="009A7C44"/>
    <w:rsid w:val="009A7F9F"/>
    <w:rsid w:val="009B1241"/>
    <w:rsid w:val="009B1CE1"/>
    <w:rsid w:val="009B1EF8"/>
    <w:rsid w:val="009B2075"/>
    <w:rsid w:val="009B2A14"/>
    <w:rsid w:val="009B2ADA"/>
    <w:rsid w:val="009B2DC2"/>
    <w:rsid w:val="009B3F1E"/>
    <w:rsid w:val="009B408B"/>
    <w:rsid w:val="009B495E"/>
    <w:rsid w:val="009B5180"/>
    <w:rsid w:val="009B5551"/>
    <w:rsid w:val="009B56FB"/>
    <w:rsid w:val="009B581B"/>
    <w:rsid w:val="009B5AEC"/>
    <w:rsid w:val="009B5D4A"/>
    <w:rsid w:val="009B5FC3"/>
    <w:rsid w:val="009B739B"/>
    <w:rsid w:val="009B7547"/>
    <w:rsid w:val="009B7B38"/>
    <w:rsid w:val="009C0C47"/>
    <w:rsid w:val="009C0C72"/>
    <w:rsid w:val="009C181B"/>
    <w:rsid w:val="009C369F"/>
    <w:rsid w:val="009C3904"/>
    <w:rsid w:val="009C3E0F"/>
    <w:rsid w:val="009C42D9"/>
    <w:rsid w:val="009C49EA"/>
    <w:rsid w:val="009C527A"/>
    <w:rsid w:val="009C5DF8"/>
    <w:rsid w:val="009C6868"/>
    <w:rsid w:val="009C6B32"/>
    <w:rsid w:val="009C71F5"/>
    <w:rsid w:val="009C790C"/>
    <w:rsid w:val="009D0ED0"/>
    <w:rsid w:val="009D161E"/>
    <w:rsid w:val="009D187E"/>
    <w:rsid w:val="009D1903"/>
    <w:rsid w:val="009D2870"/>
    <w:rsid w:val="009D5296"/>
    <w:rsid w:val="009D54FE"/>
    <w:rsid w:val="009D5BFF"/>
    <w:rsid w:val="009D5FEC"/>
    <w:rsid w:val="009D6311"/>
    <w:rsid w:val="009D6FA3"/>
    <w:rsid w:val="009D7842"/>
    <w:rsid w:val="009D7C06"/>
    <w:rsid w:val="009E0DE3"/>
    <w:rsid w:val="009E1569"/>
    <w:rsid w:val="009E21B6"/>
    <w:rsid w:val="009E2E14"/>
    <w:rsid w:val="009E3AB8"/>
    <w:rsid w:val="009E495A"/>
    <w:rsid w:val="009E4EB7"/>
    <w:rsid w:val="009E52D2"/>
    <w:rsid w:val="009E569E"/>
    <w:rsid w:val="009E5B3A"/>
    <w:rsid w:val="009E5E3A"/>
    <w:rsid w:val="009E5F97"/>
    <w:rsid w:val="009E66EF"/>
    <w:rsid w:val="009E6A79"/>
    <w:rsid w:val="009E7695"/>
    <w:rsid w:val="009E7B3B"/>
    <w:rsid w:val="009E7C09"/>
    <w:rsid w:val="009F03EE"/>
    <w:rsid w:val="009F060D"/>
    <w:rsid w:val="009F12F2"/>
    <w:rsid w:val="009F171E"/>
    <w:rsid w:val="009F1DF4"/>
    <w:rsid w:val="009F2B49"/>
    <w:rsid w:val="009F2BCB"/>
    <w:rsid w:val="009F3124"/>
    <w:rsid w:val="009F327D"/>
    <w:rsid w:val="009F3999"/>
    <w:rsid w:val="009F440D"/>
    <w:rsid w:val="009F45BB"/>
    <w:rsid w:val="009F4989"/>
    <w:rsid w:val="009F504B"/>
    <w:rsid w:val="009F6464"/>
    <w:rsid w:val="009F6E7F"/>
    <w:rsid w:val="009F7769"/>
    <w:rsid w:val="009F7B97"/>
    <w:rsid w:val="009F7DE1"/>
    <w:rsid w:val="00A00054"/>
    <w:rsid w:val="00A000F5"/>
    <w:rsid w:val="00A006AE"/>
    <w:rsid w:val="00A012B3"/>
    <w:rsid w:val="00A01403"/>
    <w:rsid w:val="00A017FB"/>
    <w:rsid w:val="00A0235A"/>
    <w:rsid w:val="00A02BD5"/>
    <w:rsid w:val="00A04B10"/>
    <w:rsid w:val="00A054F0"/>
    <w:rsid w:val="00A05919"/>
    <w:rsid w:val="00A05A19"/>
    <w:rsid w:val="00A06872"/>
    <w:rsid w:val="00A068FB"/>
    <w:rsid w:val="00A0734B"/>
    <w:rsid w:val="00A07B9B"/>
    <w:rsid w:val="00A07EEE"/>
    <w:rsid w:val="00A10044"/>
    <w:rsid w:val="00A11BF2"/>
    <w:rsid w:val="00A11F60"/>
    <w:rsid w:val="00A130D4"/>
    <w:rsid w:val="00A1334F"/>
    <w:rsid w:val="00A13482"/>
    <w:rsid w:val="00A13F9C"/>
    <w:rsid w:val="00A145D4"/>
    <w:rsid w:val="00A17F75"/>
    <w:rsid w:val="00A20D26"/>
    <w:rsid w:val="00A21E2B"/>
    <w:rsid w:val="00A21ECE"/>
    <w:rsid w:val="00A225DE"/>
    <w:rsid w:val="00A22D0E"/>
    <w:rsid w:val="00A22D2D"/>
    <w:rsid w:val="00A2445F"/>
    <w:rsid w:val="00A24813"/>
    <w:rsid w:val="00A24AA4"/>
    <w:rsid w:val="00A252F1"/>
    <w:rsid w:val="00A259A3"/>
    <w:rsid w:val="00A25DCA"/>
    <w:rsid w:val="00A26E97"/>
    <w:rsid w:val="00A26FCC"/>
    <w:rsid w:val="00A27BBB"/>
    <w:rsid w:val="00A27C2F"/>
    <w:rsid w:val="00A30068"/>
    <w:rsid w:val="00A301FB"/>
    <w:rsid w:val="00A303EE"/>
    <w:rsid w:val="00A31150"/>
    <w:rsid w:val="00A323B1"/>
    <w:rsid w:val="00A324C5"/>
    <w:rsid w:val="00A328C4"/>
    <w:rsid w:val="00A33063"/>
    <w:rsid w:val="00A33992"/>
    <w:rsid w:val="00A33A23"/>
    <w:rsid w:val="00A34136"/>
    <w:rsid w:val="00A343FE"/>
    <w:rsid w:val="00A344BC"/>
    <w:rsid w:val="00A344E8"/>
    <w:rsid w:val="00A34829"/>
    <w:rsid w:val="00A34DE4"/>
    <w:rsid w:val="00A35583"/>
    <w:rsid w:val="00A35650"/>
    <w:rsid w:val="00A35BE0"/>
    <w:rsid w:val="00A36D92"/>
    <w:rsid w:val="00A36F5C"/>
    <w:rsid w:val="00A40A18"/>
    <w:rsid w:val="00A4108A"/>
    <w:rsid w:val="00A41282"/>
    <w:rsid w:val="00A41398"/>
    <w:rsid w:val="00A41721"/>
    <w:rsid w:val="00A42FD3"/>
    <w:rsid w:val="00A43AA6"/>
    <w:rsid w:val="00A445FB"/>
    <w:rsid w:val="00A446BD"/>
    <w:rsid w:val="00A4479D"/>
    <w:rsid w:val="00A44993"/>
    <w:rsid w:val="00A45105"/>
    <w:rsid w:val="00A453B7"/>
    <w:rsid w:val="00A45555"/>
    <w:rsid w:val="00A46413"/>
    <w:rsid w:val="00A4799E"/>
    <w:rsid w:val="00A5143B"/>
    <w:rsid w:val="00A51918"/>
    <w:rsid w:val="00A520D9"/>
    <w:rsid w:val="00A5392B"/>
    <w:rsid w:val="00A54A6F"/>
    <w:rsid w:val="00A54EAD"/>
    <w:rsid w:val="00A553F0"/>
    <w:rsid w:val="00A55DA4"/>
    <w:rsid w:val="00A56B9E"/>
    <w:rsid w:val="00A57B25"/>
    <w:rsid w:val="00A57CEC"/>
    <w:rsid w:val="00A60F9E"/>
    <w:rsid w:val="00A619E6"/>
    <w:rsid w:val="00A61CF7"/>
    <w:rsid w:val="00A622DF"/>
    <w:rsid w:val="00A626A5"/>
    <w:rsid w:val="00A629D6"/>
    <w:rsid w:val="00A63003"/>
    <w:rsid w:val="00A633F7"/>
    <w:rsid w:val="00A634E2"/>
    <w:rsid w:val="00A6397F"/>
    <w:rsid w:val="00A64627"/>
    <w:rsid w:val="00A64976"/>
    <w:rsid w:val="00A66487"/>
    <w:rsid w:val="00A675EC"/>
    <w:rsid w:val="00A67BB2"/>
    <w:rsid w:val="00A711C5"/>
    <w:rsid w:val="00A71667"/>
    <w:rsid w:val="00A72149"/>
    <w:rsid w:val="00A721B3"/>
    <w:rsid w:val="00A7285B"/>
    <w:rsid w:val="00A741FA"/>
    <w:rsid w:val="00A74315"/>
    <w:rsid w:val="00A747BE"/>
    <w:rsid w:val="00A749CD"/>
    <w:rsid w:val="00A75822"/>
    <w:rsid w:val="00A75F84"/>
    <w:rsid w:val="00A76BAF"/>
    <w:rsid w:val="00A76D95"/>
    <w:rsid w:val="00A77357"/>
    <w:rsid w:val="00A77793"/>
    <w:rsid w:val="00A77CC0"/>
    <w:rsid w:val="00A80B75"/>
    <w:rsid w:val="00A80EEA"/>
    <w:rsid w:val="00A80F0E"/>
    <w:rsid w:val="00A810B3"/>
    <w:rsid w:val="00A812D0"/>
    <w:rsid w:val="00A81DF2"/>
    <w:rsid w:val="00A81E84"/>
    <w:rsid w:val="00A820B7"/>
    <w:rsid w:val="00A828BA"/>
    <w:rsid w:val="00A83A90"/>
    <w:rsid w:val="00A84530"/>
    <w:rsid w:val="00A84CCA"/>
    <w:rsid w:val="00A8562B"/>
    <w:rsid w:val="00A85960"/>
    <w:rsid w:val="00A872ED"/>
    <w:rsid w:val="00A8762B"/>
    <w:rsid w:val="00A90A8B"/>
    <w:rsid w:val="00A90E5B"/>
    <w:rsid w:val="00A918E0"/>
    <w:rsid w:val="00A929A1"/>
    <w:rsid w:val="00A92B1A"/>
    <w:rsid w:val="00A92FA6"/>
    <w:rsid w:val="00A93761"/>
    <w:rsid w:val="00A939BA"/>
    <w:rsid w:val="00A93AE0"/>
    <w:rsid w:val="00A93F1B"/>
    <w:rsid w:val="00A9425E"/>
    <w:rsid w:val="00A94E53"/>
    <w:rsid w:val="00A952FF"/>
    <w:rsid w:val="00A95497"/>
    <w:rsid w:val="00A95D82"/>
    <w:rsid w:val="00A974A4"/>
    <w:rsid w:val="00A97A18"/>
    <w:rsid w:val="00AA099D"/>
    <w:rsid w:val="00AA14B0"/>
    <w:rsid w:val="00AA15EE"/>
    <w:rsid w:val="00AA1801"/>
    <w:rsid w:val="00AA2BB1"/>
    <w:rsid w:val="00AA2E16"/>
    <w:rsid w:val="00AA37DC"/>
    <w:rsid w:val="00AA3D1B"/>
    <w:rsid w:val="00AA4172"/>
    <w:rsid w:val="00AA4CC0"/>
    <w:rsid w:val="00AA4D35"/>
    <w:rsid w:val="00AA4EA8"/>
    <w:rsid w:val="00AA569A"/>
    <w:rsid w:val="00AA57BC"/>
    <w:rsid w:val="00AA59A6"/>
    <w:rsid w:val="00AA5DA9"/>
    <w:rsid w:val="00AA6276"/>
    <w:rsid w:val="00AA66E8"/>
    <w:rsid w:val="00AA6DC8"/>
    <w:rsid w:val="00AA7769"/>
    <w:rsid w:val="00AA7A5E"/>
    <w:rsid w:val="00AB10A4"/>
    <w:rsid w:val="00AB1CF2"/>
    <w:rsid w:val="00AB2B83"/>
    <w:rsid w:val="00AB4719"/>
    <w:rsid w:val="00AB54FA"/>
    <w:rsid w:val="00AB56D5"/>
    <w:rsid w:val="00AB66BF"/>
    <w:rsid w:val="00AB760C"/>
    <w:rsid w:val="00AB7753"/>
    <w:rsid w:val="00AC0721"/>
    <w:rsid w:val="00AC0DE3"/>
    <w:rsid w:val="00AC1031"/>
    <w:rsid w:val="00AC17D1"/>
    <w:rsid w:val="00AC19FD"/>
    <w:rsid w:val="00AC2BC0"/>
    <w:rsid w:val="00AC3F2A"/>
    <w:rsid w:val="00AC3FE4"/>
    <w:rsid w:val="00AC4846"/>
    <w:rsid w:val="00AC6320"/>
    <w:rsid w:val="00AC66FC"/>
    <w:rsid w:val="00AC6CBC"/>
    <w:rsid w:val="00AC75D7"/>
    <w:rsid w:val="00AC7844"/>
    <w:rsid w:val="00AD032B"/>
    <w:rsid w:val="00AD0518"/>
    <w:rsid w:val="00AD0779"/>
    <w:rsid w:val="00AD0E66"/>
    <w:rsid w:val="00AD1A08"/>
    <w:rsid w:val="00AD2889"/>
    <w:rsid w:val="00AD327F"/>
    <w:rsid w:val="00AD40EA"/>
    <w:rsid w:val="00AD5D86"/>
    <w:rsid w:val="00AD6C18"/>
    <w:rsid w:val="00AD7171"/>
    <w:rsid w:val="00AE07F2"/>
    <w:rsid w:val="00AE0CEC"/>
    <w:rsid w:val="00AE0E82"/>
    <w:rsid w:val="00AE1A74"/>
    <w:rsid w:val="00AE21F7"/>
    <w:rsid w:val="00AE2797"/>
    <w:rsid w:val="00AE3A5E"/>
    <w:rsid w:val="00AE3C23"/>
    <w:rsid w:val="00AE3ECD"/>
    <w:rsid w:val="00AE4543"/>
    <w:rsid w:val="00AE4C37"/>
    <w:rsid w:val="00AE53AA"/>
    <w:rsid w:val="00AE54C3"/>
    <w:rsid w:val="00AE6E1E"/>
    <w:rsid w:val="00AE7F08"/>
    <w:rsid w:val="00AF062D"/>
    <w:rsid w:val="00AF0F6F"/>
    <w:rsid w:val="00AF1A33"/>
    <w:rsid w:val="00AF223F"/>
    <w:rsid w:val="00AF226A"/>
    <w:rsid w:val="00AF28AC"/>
    <w:rsid w:val="00AF2A93"/>
    <w:rsid w:val="00AF2C97"/>
    <w:rsid w:val="00AF2CBF"/>
    <w:rsid w:val="00AF2E25"/>
    <w:rsid w:val="00AF3AF6"/>
    <w:rsid w:val="00AF3DD9"/>
    <w:rsid w:val="00AF4929"/>
    <w:rsid w:val="00AF5315"/>
    <w:rsid w:val="00AF60AC"/>
    <w:rsid w:val="00AF6377"/>
    <w:rsid w:val="00AF6BDB"/>
    <w:rsid w:val="00AF6D6C"/>
    <w:rsid w:val="00AF6DCA"/>
    <w:rsid w:val="00AF7EBC"/>
    <w:rsid w:val="00B0014C"/>
    <w:rsid w:val="00B00A1F"/>
    <w:rsid w:val="00B00AD2"/>
    <w:rsid w:val="00B0149D"/>
    <w:rsid w:val="00B02759"/>
    <w:rsid w:val="00B045B3"/>
    <w:rsid w:val="00B071D4"/>
    <w:rsid w:val="00B073DB"/>
    <w:rsid w:val="00B0744C"/>
    <w:rsid w:val="00B07D96"/>
    <w:rsid w:val="00B11DA4"/>
    <w:rsid w:val="00B1215B"/>
    <w:rsid w:val="00B121B1"/>
    <w:rsid w:val="00B124FF"/>
    <w:rsid w:val="00B13D8F"/>
    <w:rsid w:val="00B14408"/>
    <w:rsid w:val="00B14BEF"/>
    <w:rsid w:val="00B151AD"/>
    <w:rsid w:val="00B15430"/>
    <w:rsid w:val="00B1668C"/>
    <w:rsid w:val="00B16905"/>
    <w:rsid w:val="00B204F6"/>
    <w:rsid w:val="00B20F64"/>
    <w:rsid w:val="00B2161B"/>
    <w:rsid w:val="00B21C57"/>
    <w:rsid w:val="00B21DD6"/>
    <w:rsid w:val="00B22834"/>
    <w:rsid w:val="00B22A37"/>
    <w:rsid w:val="00B23300"/>
    <w:rsid w:val="00B23605"/>
    <w:rsid w:val="00B238F1"/>
    <w:rsid w:val="00B24004"/>
    <w:rsid w:val="00B245F6"/>
    <w:rsid w:val="00B24970"/>
    <w:rsid w:val="00B24D59"/>
    <w:rsid w:val="00B25505"/>
    <w:rsid w:val="00B26314"/>
    <w:rsid w:val="00B263A8"/>
    <w:rsid w:val="00B26A35"/>
    <w:rsid w:val="00B26B7F"/>
    <w:rsid w:val="00B26E07"/>
    <w:rsid w:val="00B27004"/>
    <w:rsid w:val="00B2779F"/>
    <w:rsid w:val="00B27BBC"/>
    <w:rsid w:val="00B31F09"/>
    <w:rsid w:val="00B325A3"/>
    <w:rsid w:val="00B32C9B"/>
    <w:rsid w:val="00B32F15"/>
    <w:rsid w:val="00B33533"/>
    <w:rsid w:val="00B3365D"/>
    <w:rsid w:val="00B339B8"/>
    <w:rsid w:val="00B339E5"/>
    <w:rsid w:val="00B34360"/>
    <w:rsid w:val="00B3469E"/>
    <w:rsid w:val="00B35182"/>
    <w:rsid w:val="00B35423"/>
    <w:rsid w:val="00B363CF"/>
    <w:rsid w:val="00B3664A"/>
    <w:rsid w:val="00B36C17"/>
    <w:rsid w:val="00B36F3E"/>
    <w:rsid w:val="00B36F8C"/>
    <w:rsid w:val="00B36FE4"/>
    <w:rsid w:val="00B374E3"/>
    <w:rsid w:val="00B37B3A"/>
    <w:rsid w:val="00B40381"/>
    <w:rsid w:val="00B40840"/>
    <w:rsid w:val="00B41FD8"/>
    <w:rsid w:val="00B42C9F"/>
    <w:rsid w:val="00B43B9B"/>
    <w:rsid w:val="00B43FC2"/>
    <w:rsid w:val="00B444CD"/>
    <w:rsid w:val="00B44EE0"/>
    <w:rsid w:val="00B4563C"/>
    <w:rsid w:val="00B45893"/>
    <w:rsid w:val="00B477BA"/>
    <w:rsid w:val="00B47AA3"/>
    <w:rsid w:val="00B47AC3"/>
    <w:rsid w:val="00B47C47"/>
    <w:rsid w:val="00B47E38"/>
    <w:rsid w:val="00B503C8"/>
    <w:rsid w:val="00B50DAF"/>
    <w:rsid w:val="00B51323"/>
    <w:rsid w:val="00B5171B"/>
    <w:rsid w:val="00B51B03"/>
    <w:rsid w:val="00B52C69"/>
    <w:rsid w:val="00B53CA3"/>
    <w:rsid w:val="00B53DD0"/>
    <w:rsid w:val="00B54126"/>
    <w:rsid w:val="00B54905"/>
    <w:rsid w:val="00B54997"/>
    <w:rsid w:val="00B54C46"/>
    <w:rsid w:val="00B555D2"/>
    <w:rsid w:val="00B55F79"/>
    <w:rsid w:val="00B56070"/>
    <w:rsid w:val="00B5798C"/>
    <w:rsid w:val="00B61073"/>
    <w:rsid w:val="00B612F7"/>
    <w:rsid w:val="00B614FD"/>
    <w:rsid w:val="00B61981"/>
    <w:rsid w:val="00B61FD6"/>
    <w:rsid w:val="00B6254B"/>
    <w:rsid w:val="00B62960"/>
    <w:rsid w:val="00B63231"/>
    <w:rsid w:val="00B63352"/>
    <w:rsid w:val="00B637F9"/>
    <w:rsid w:val="00B63D46"/>
    <w:rsid w:val="00B641B8"/>
    <w:rsid w:val="00B645DE"/>
    <w:rsid w:val="00B65263"/>
    <w:rsid w:val="00B65434"/>
    <w:rsid w:val="00B6543C"/>
    <w:rsid w:val="00B65D89"/>
    <w:rsid w:val="00B67049"/>
    <w:rsid w:val="00B675D9"/>
    <w:rsid w:val="00B70788"/>
    <w:rsid w:val="00B723A3"/>
    <w:rsid w:val="00B72865"/>
    <w:rsid w:val="00B72CF1"/>
    <w:rsid w:val="00B72D6E"/>
    <w:rsid w:val="00B73E49"/>
    <w:rsid w:val="00B7492C"/>
    <w:rsid w:val="00B74A12"/>
    <w:rsid w:val="00B74A65"/>
    <w:rsid w:val="00B74A79"/>
    <w:rsid w:val="00B74FB6"/>
    <w:rsid w:val="00B750DB"/>
    <w:rsid w:val="00B75B0D"/>
    <w:rsid w:val="00B75D97"/>
    <w:rsid w:val="00B7665B"/>
    <w:rsid w:val="00B76A85"/>
    <w:rsid w:val="00B76B35"/>
    <w:rsid w:val="00B76EEB"/>
    <w:rsid w:val="00B771A9"/>
    <w:rsid w:val="00B777FA"/>
    <w:rsid w:val="00B77CCD"/>
    <w:rsid w:val="00B77E2C"/>
    <w:rsid w:val="00B80433"/>
    <w:rsid w:val="00B81579"/>
    <w:rsid w:val="00B81990"/>
    <w:rsid w:val="00B81CAC"/>
    <w:rsid w:val="00B82773"/>
    <w:rsid w:val="00B8376C"/>
    <w:rsid w:val="00B8448F"/>
    <w:rsid w:val="00B84F2A"/>
    <w:rsid w:val="00B86173"/>
    <w:rsid w:val="00B8636B"/>
    <w:rsid w:val="00B8676C"/>
    <w:rsid w:val="00B87252"/>
    <w:rsid w:val="00B87355"/>
    <w:rsid w:val="00B873E6"/>
    <w:rsid w:val="00B873ED"/>
    <w:rsid w:val="00B9080C"/>
    <w:rsid w:val="00B90EB3"/>
    <w:rsid w:val="00B9103E"/>
    <w:rsid w:val="00B937B5"/>
    <w:rsid w:val="00B94AD2"/>
    <w:rsid w:val="00B9607E"/>
    <w:rsid w:val="00B96EDB"/>
    <w:rsid w:val="00B97029"/>
    <w:rsid w:val="00B9760F"/>
    <w:rsid w:val="00B97D2B"/>
    <w:rsid w:val="00BA03FE"/>
    <w:rsid w:val="00BA0511"/>
    <w:rsid w:val="00BA0ADC"/>
    <w:rsid w:val="00BA0D47"/>
    <w:rsid w:val="00BA0DD7"/>
    <w:rsid w:val="00BA17C5"/>
    <w:rsid w:val="00BA1E62"/>
    <w:rsid w:val="00BA2D74"/>
    <w:rsid w:val="00BA2E33"/>
    <w:rsid w:val="00BA363D"/>
    <w:rsid w:val="00BA3DFD"/>
    <w:rsid w:val="00BA3F40"/>
    <w:rsid w:val="00BA3FD8"/>
    <w:rsid w:val="00BA463B"/>
    <w:rsid w:val="00BA46A7"/>
    <w:rsid w:val="00BA4A40"/>
    <w:rsid w:val="00BA5849"/>
    <w:rsid w:val="00BA5B47"/>
    <w:rsid w:val="00BA5D59"/>
    <w:rsid w:val="00BA60F8"/>
    <w:rsid w:val="00BB04A8"/>
    <w:rsid w:val="00BB0AAB"/>
    <w:rsid w:val="00BB12B3"/>
    <w:rsid w:val="00BB1986"/>
    <w:rsid w:val="00BB1C34"/>
    <w:rsid w:val="00BB2175"/>
    <w:rsid w:val="00BB2CDB"/>
    <w:rsid w:val="00BB2F84"/>
    <w:rsid w:val="00BB4BCA"/>
    <w:rsid w:val="00BB4D5E"/>
    <w:rsid w:val="00BB4FAC"/>
    <w:rsid w:val="00BB5E0D"/>
    <w:rsid w:val="00BB694D"/>
    <w:rsid w:val="00BB6B91"/>
    <w:rsid w:val="00BB73ED"/>
    <w:rsid w:val="00BB7D9E"/>
    <w:rsid w:val="00BC03C6"/>
    <w:rsid w:val="00BC0915"/>
    <w:rsid w:val="00BC1009"/>
    <w:rsid w:val="00BC1358"/>
    <w:rsid w:val="00BC195B"/>
    <w:rsid w:val="00BC19DE"/>
    <w:rsid w:val="00BC30C2"/>
    <w:rsid w:val="00BC3387"/>
    <w:rsid w:val="00BC3461"/>
    <w:rsid w:val="00BC43C5"/>
    <w:rsid w:val="00BC4814"/>
    <w:rsid w:val="00BC4964"/>
    <w:rsid w:val="00BC5D1D"/>
    <w:rsid w:val="00BC60AD"/>
    <w:rsid w:val="00BC6BAE"/>
    <w:rsid w:val="00BD06B3"/>
    <w:rsid w:val="00BD1893"/>
    <w:rsid w:val="00BD1C42"/>
    <w:rsid w:val="00BD2272"/>
    <w:rsid w:val="00BD2360"/>
    <w:rsid w:val="00BD2535"/>
    <w:rsid w:val="00BD26BD"/>
    <w:rsid w:val="00BD2B18"/>
    <w:rsid w:val="00BD4290"/>
    <w:rsid w:val="00BD54B1"/>
    <w:rsid w:val="00BD56F8"/>
    <w:rsid w:val="00BD5D23"/>
    <w:rsid w:val="00BD5F85"/>
    <w:rsid w:val="00BD64FF"/>
    <w:rsid w:val="00BD76E2"/>
    <w:rsid w:val="00BE0262"/>
    <w:rsid w:val="00BE04ED"/>
    <w:rsid w:val="00BE14B6"/>
    <w:rsid w:val="00BE17F0"/>
    <w:rsid w:val="00BE23E6"/>
    <w:rsid w:val="00BE3E33"/>
    <w:rsid w:val="00BE4F8A"/>
    <w:rsid w:val="00BE5360"/>
    <w:rsid w:val="00BE5749"/>
    <w:rsid w:val="00BE633C"/>
    <w:rsid w:val="00BE68D5"/>
    <w:rsid w:val="00BE6DF6"/>
    <w:rsid w:val="00BE6F30"/>
    <w:rsid w:val="00BE7426"/>
    <w:rsid w:val="00BE7B9A"/>
    <w:rsid w:val="00BF1349"/>
    <w:rsid w:val="00BF26AB"/>
    <w:rsid w:val="00BF2804"/>
    <w:rsid w:val="00BF3B31"/>
    <w:rsid w:val="00BF4386"/>
    <w:rsid w:val="00BF5363"/>
    <w:rsid w:val="00BF5FEC"/>
    <w:rsid w:val="00BF69BC"/>
    <w:rsid w:val="00BF74B9"/>
    <w:rsid w:val="00BF7BFA"/>
    <w:rsid w:val="00C00000"/>
    <w:rsid w:val="00C006D9"/>
    <w:rsid w:val="00C00769"/>
    <w:rsid w:val="00C013FE"/>
    <w:rsid w:val="00C0197B"/>
    <w:rsid w:val="00C028A2"/>
    <w:rsid w:val="00C029B7"/>
    <w:rsid w:val="00C03872"/>
    <w:rsid w:val="00C0437F"/>
    <w:rsid w:val="00C0446F"/>
    <w:rsid w:val="00C04628"/>
    <w:rsid w:val="00C05593"/>
    <w:rsid w:val="00C05A65"/>
    <w:rsid w:val="00C05DEC"/>
    <w:rsid w:val="00C05F0C"/>
    <w:rsid w:val="00C075F3"/>
    <w:rsid w:val="00C07B8B"/>
    <w:rsid w:val="00C07E96"/>
    <w:rsid w:val="00C1022D"/>
    <w:rsid w:val="00C11270"/>
    <w:rsid w:val="00C11D1D"/>
    <w:rsid w:val="00C11D91"/>
    <w:rsid w:val="00C11FA2"/>
    <w:rsid w:val="00C130E8"/>
    <w:rsid w:val="00C1386D"/>
    <w:rsid w:val="00C13E11"/>
    <w:rsid w:val="00C14672"/>
    <w:rsid w:val="00C14C62"/>
    <w:rsid w:val="00C15DF3"/>
    <w:rsid w:val="00C1600A"/>
    <w:rsid w:val="00C16621"/>
    <w:rsid w:val="00C17FB8"/>
    <w:rsid w:val="00C211F6"/>
    <w:rsid w:val="00C2195E"/>
    <w:rsid w:val="00C222CA"/>
    <w:rsid w:val="00C2276A"/>
    <w:rsid w:val="00C22AF4"/>
    <w:rsid w:val="00C22B93"/>
    <w:rsid w:val="00C22F7A"/>
    <w:rsid w:val="00C23081"/>
    <w:rsid w:val="00C23600"/>
    <w:rsid w:val="00C23B21"/>
    <w:rsid w:val="00C23E04"/>
    <w:rsid w:val="00C24466"/>
    <w:rsid w:val="00C245FE"/>
    <w:rsid w:val="00C24BD9"/>
    <w:rsid w:val="00C25B2D"/>
    <w:rsid w:val="00C25F2D"/>
    <w:rsid w:val="00C261DD"/>
    <w:rsid w:val="00C26DF7"/>
    <w:rsid w:val="00C30345"/>
    <w:rsid w:val="00C303AE"/>
    <w:rsid w:val="00C308AA"/>
    <w:rsid w:val="00C31DF1"/>
    <w:rsid w:val="00C31E57"/>
    <w:rsid w:val="00C31EAE"/>
    <w:rsid w:val="00C3288C"/>
    <w:rsid w:val="00C32A63"/>
    <w:rsid w:val="00C32A90"/>
    <w:rsid w:val="00C32C66"/>
    <w:rsid w:val="00C32F6C"/>
    <w:rsid w:val="00C33DB9"/>
    <w:rsid w:val="00C3489E"/>
    <w:rsid w:val="00C35DBF"/>
    <w:rsid w:val="00C36619"/>
    <w:rsid w:val="00C36B87"/>
    <w:rsid w:val="00C36DFA"/>
    <w:rsid w:val="00C37790"/>
    <w:rsid w:val="00C400AC"/>
    <w:rsid w:val="00C40C32"/>
    <w:rsid w:val="00C40D55"/>
    <w:rsid w:val="00C41FA3"/>
    <w:rsid w:val="00C420CA"/>
    <w:rsid w:val="00C420E4"/>
    <w:rsid w:val="00C42D48"/>
    <w:rsid w:val="00C44020"/>
    <w:rsid w:val="00C44034"/>
    <w:rsid w:val="00C44415"/>
    <w:rsid w:val="00C4473E"/>
    <w:rsid w:val="00C44FBA"/>
    <w:rsid w:val="00C45F34"/>
    <w:rsid w:val="00C45F57"/>
    <w:rsid w:val="00C4683D"/>
    <w:rsid w:val="00C47128"/>
    <w:rsid w:val="00C47E75"/>
    <w:rsid w:val="00C51A5A"/>
    <w:rsid w:val="00C51D51"/>
    <w:rsid w:val="00C51DA8"/>
    <w:rsid w:val="00C52593"/>
    <w:rsid w:val="00C5331B"/>
    <w:rsid w:val="00C539DC"/>
    <w:rsid w:val="00C53DBE"/>
    <w:rsid w:val="00C53FA1"/>
    <w:rsid w:val="00C5405A"/>
    <w:rsid w:val="00C547BE"/>
    <w:rsid w:val="00C549BC"/>
    <w:rsid w:val="00C54C9F"/>
    <w:rsid w:val="00C55A82"/>
    <w:rsid w:val="00C55C07"/>
    <w:rsid w:val="00C5661B"/>
    <w:rsid w:val="00C569DB"/>
    <w:rsid w:val="00C56F68"/>
    <w:rsid w:val="00C571D8"/>
    <w:rsid w:val="00C57847"/>
    <w:rsid w:val="00C602EE"/>
    <w:rsid w:val="00C6153A"/>
    <w:rsid w:val="00C6212F"/>
    <w:rsid w:val="00C62D78"/>
    <w:rsid w:val="00C63A89"/>
    <w:rsid w:val="00C63D47"/>
    <w:rsid w:val="00C64BA8"/>
    <w:rsid w:val="00C64F6D"/>
    <w:rsid w:val="00C64FB6"/>
    <w:rsid w:val="00C65069"/>
    <w:rsid w:val="00C65CF0"/>
    <w:rsid w:val="00C66F52"/>
    <w:rsid w:val="00C70260"/>
    <w:rsid w:val="00C704D1"/>
    <w:rsid w:val="00C71383"/>
    <w:rsid w:val="00C71993"/>
    <w:rsid w:val="00C719D1"/>
    <w:rsid w:val="00C71A5F"/>
    <w:rsid w:val="00C72B31"/>
    <w:rsid w:val="00C737E2"/>
    <w:rsid w:val="00C73A61"/>
    <w:rsid w:val="00C73B39"/>
    <w:rsid w:val="00C73B91"/>
    <w:rsid w:val="00C745A0"/>
    <w:rsid w:val="00C74C1A"/>
    <w:rsid w:val="00C74CA9"/>
    <w:rsid w:val="00C74EF0"/>
    <w:rsid w:val="00C7601C"/>
    <w:rsid w:val="00C7627F"/>
    <w:rsid w:val="00C76440"/>
    <w:rsid w:val="00C767D9"/>
    <w:rsid w:val="00C76856"/>
    <w:rsid w:val="00C77643"/>
    <w:rsid w:val="00C80472"/>
    <w:rsid w:val="00C80F0D"/>
    <w:rsid w:val="00C81377"/>
    <w:rsid w:val="00C81746"/>
    <w:rsid w:val="00C81C37"/>
    <w:rsid w:val="00C82415"/>
    <w:rsid w:val="00C8247D"/>
    <w:rsid w:val="00C83DE0"/>
    <w:rsid w:val="00C84056"/>
    <w:rsid w:val="00C840D7"/>
    <w:rsid w:val="00C8428B"/>
    <w:rsid w:val="00C84AAD"/>
    <w:rsid w:val="00C84F21"/>
    <w:rsid w:val="00C852EF"/>
    <w:rsid w:val="00C8573C"/>
    <w:rsid w:val="00C876C8"/>
    <w:rsid w:val="00C9079E"/>
    <w:rsid w:val="00C90C5B"/>
    <w:rsid w:val="00C91752"/>
    <w:rsid w:val="00C91D6F"/>
    <w:rsid w:val="00C9295C"/>
    <w:rsid w:val="00C92EC3"/>
    <w:rsid w:val="00C93618"/>
    <w:rsid w:val="00C936CA"/>
    <w:rsid w:val="00C937C5"/>
    <w:rsid w:val="00C942F2"/>
    <w:rsid w:val="00C94580"/>
    <w:rsid w:val="00C94F1C"/>
    <w:rsid w:val="00C9508D"/>
    <w:rsid w:val="00C950DD"/>
    <w:rsid w:val="00C9689F"/>
    <w:rsid w:val="00C96BFB"/>
    <w:rsid w:val="00C96C6F"/>
    <w:rsid w:val="00C9746F"/>
    <w:rsid w:val="00C97634"/>
    <w:rsid w:val="00CA0FB6"/>
    <w:rsid w:val="00CA1611"/>
    <w:rsid w:val="00CA184A"/>
    <w:rsid w:val="00CA1F44"/>
    <w:rsid w:val="00CA3BFF"/>
    <w:rsid w:val="00CA3F02"/>
    <w:rsid w:val="00CA4228"/>
    <w:rsid w:val="00CA4B02"/>
    <w:rsid w:val="00CA50A0"/>
    <w:rsid w:val="00CA67BD"/>
    <w:rsid w:val="00CA7CC9"/>
    <w:rsid w:val="00CB05AD"/>
    <w:rsid w:val="00CB0B58"/>
    <w:rsid w:val="00CB1289"/>
    <w:rsid w:val="00CB1630"/>
    <w:rsid w:val="00CB179C"/>
    <w:rsid w:val="00CB1F64"/>
    <w:rsid w:val="00CB24FD"/>
    <w:rsid w:val="00CB27FE"/>
    <w:rsid w:val="00CB3185"/>
    <w:rsid w:val="00CB346B"/>
    <w:rsid w:val="00CB4204"/>
    <w:rsid w:val="00CB452C"/>
    <w:rsid w:val="00CB46A5"/>
    <w:rsid w:val="00CB4868"/>
    <w:rsid w:val="00CB512F"/>
    <w:rsid w:val="00CB5C4A"/>
    <w:rsid w:val="00CB5CAF"/>
    <w:rsid w:val="00CB5D13"/>
    <w:rsid w:val="00CB64B9"/>
    <w:rsid w:val="00CB6660"/>
    <w:rsid w:val="00CB6BE2"/>
    <w:rsid w:val="00CB6CC2"/>
    <w:rsid w:val="00CB731C"/>
    <w:rsid w:val="00CB73EB"/>
    <w:rsid w:val="00CB7AB0"/>
    <w:rsid w:val="00CB7AD7"/>
    <w:rsid w:val="00CC0FAF"/>
    <w:rsid w:val="00CC10D9"/>
    <w:rsid w:val="00CC1221"/>
    <w:rsid w:val="00CC2997"/>
    <w:rsid w:val="00CC3450"/>
    <w:rsid w:val="00CC3799"/>
    <w:rsid w:val="00CC3BAD"/>
    <w:rsid w:val="00CC3F23"/>
    <w:rsid w:val="00CC3FD2"/>
    <w:rsid w:val="00CC4770"/>
    <w:rsid w:val="00CC477B"/>
    <w:rsid w:val="00CC4DFD"/>
    <w:rsid w:val="00CC4ED9"/>
    <w:rsid w:val="00CC5318"/>
    <w:rsid w:val="00CC5E34"/>
    <w:rsid w:val="00CC61D7"/>
    <w:rsid w:val="00CC6C69"/>
    <w:rsid w:val="00CC6C9B"/>
    <w:rsid w:val="00CC6CE1"/>
    <w:rsid w:val="00CC6D47"/>
    <w:rsid w:val="00CC765B"/>
    <w:rsid w:val="00CC7B38"/>
    <w:rsid w:val="00CD04DB"/>
    <w:rsid w:val="00CD0A1C"/>
    <w:rsid w:val="00CD28D7"/>
    <w:rsid w:val="00CD3D26"/>
    <w:rsid w:val="00CD3EC2"/>
    <w:rsid w:val="00CD4550"/>
    <w:rsid w:val="00CD4AE9"/>
    <w:rsid w:val="00CD51E9"/>
    <w:rsid w:val="00CD6921"/>
    <w:rsid w:val="00CD6983"/>
    <w:rsid w:val="00CD7B2F"/>
    <w:rsid w:val="00CD7BF3"/>
    <w:rsid w:val="00CE0249"/>
    <w:rsid w:val="00CE04D8"/>
    <w:rsid w:val="00CE0EE5"/>
    <w:rsid w:val="00CE122E"/>
    <w:rsid w:val="00CE1849"/>
    <w:rsid w:val="00CE1DF1"/>
    <w:rsid w:val="00CE3740"/>
    <w:rsid w:val="00CE401E"/>
    <w:rsid w:val="00CE411A"/>
    <w:rsid w:val="00CE466A"/>
    <w:rsid w:val="00CE4857"/>
    <w:rsid w:val="00CE5032"/>
    <w:rsid w:val="00CE523F"/>
    <w:rsid w:val="00CE5561"/>
    <w:rsid w:val="00CE5719"/>
    <w:rsid w:val="00CE5B2E"/>
    <w:rsid w:val="00CE5FE3"/>
    <w:rsid w:val="00CE669E"/>
    <w:rsid w:val="00CE66A8"/>
    <w:rsid w:val="00CE6720"/>
    <w:rsid w:val="00CE6E16"/>
    <w:rsid w:val="00CE707B"/>
    <w:rsid w:val="00CE7096"/>
    <w:rsid w:val="00CE70C3"/>
    <w:rsid w:val="00CE7570"/>
    <w:rsid w:val="00CE7663"/>
    <w:rsid w:val="00CF009B"/>
    <w:rsid w:val="00CF05A0"/>
    <w:rsid w:val="00CF0857"/>
    <w:rsid w:val="00CF119A"/>
    <w:rsid w:val="00CF1673"/>
    <w:rsid w:val="00CF1AC3"/>
    <w:rsid w:val="00CF403E"/>
    <w:rsid w:val="00CF4B13"/>
    <w:rsid w:val="00CF4D28"/>
    <w:rsid w:val="00CF4D3A"/>
    <w:rsid w:val="00CF5114"/>
    <w:rsid w:val="00CF5645"/>
    <w:rsid w:val="00CF679C"/>
    <w:rsid w:val="00D01244"/>
    <w:rsid w:val="00D01912"/>
    <w:rsid w:val="00D01A25"/>
    <w:rsid w:val="00D02B8C"/>
    <w:rsid w:val="00D02CB1"/>
    <w:rsid w:val="00D036AE"/>
    <w:rsid w:val="00D040ED"/>
    <w:rsid w:val="00D04226"/>
    <w:rsid w:val="00D05377"/>
    <w:rsid w:val="00D0602E"/>
    <w:rsid w:val="00D0691F"/>
    <w:rsid w:val="00D07C19"/>
    <w:rsid w:val="00D07DF9"/>
    <w:rsid w:val="00D1136B"/>
    <w:rsid w:val="00D11D1C"/>
    <w:rsid w:val="00D11D79"/>
    <w:rsid w:val="00D13578"/>
    <w:rsid w:val="00D13B18"/>
    <w:rsid w:val="00D13B62"/>
    <w:rsid w:val="00D13B7A"/>
    <w:rsid w:val="00D14085"/>
    <w:rsid w:val="00D14203"/>
    <w:rsid w:val="00D1548A"/>
    <w:rsid w:val="00D15547"/>
    <w:rsid w:val="00D15A11"/>
    <w:rsid w:val="00D15FB1"/>
    <w:rsid w:val="00D16293"/>
    <w:rsid w:val="00D168E5"/>
    <w:rsid w:val="00D215C2"/>
    <w:rsid w:val="00D215FF"/>
    <w:rsid w:val="00D217EB"/>
    <w:rsid w:val="00D229B1"/>
    <w:rsid w:val="00D22E3E"/>
    <w:rsid w:val="00D23C17"/>
    <w:rsid w:val="00D23F20"/>
    <w:rsid w:val="00D25922"/>
    <w:rsid w:val="00D25DAE"/>
    <w:rsid w:val="00D26116"/>
    <w:rsid w:val="00D26FBC"/>
    <w:rsid w:val="00D30DB3"/>
    <w:rsid w:val="00D30E32"/>
    <w:rsid w:val="00D31992"/>
    <w:rsid w:val="00D31C8A"/>
    <w:rsid w:val="00D32258"/>
    <w:rsid w:val="00D325D1"/>
    <w:rsid w:val="00D32EE3"/>
    <w:rsid w:val="00D33325"/>
    <w:rsid w:val="00D3444F"/>
    <w:rsid w:val="00D34D97"/>
    <w:rsid w:val="00D34E30"/>
    <w:rsid w:val="00D35C59"/>
    <w:rsid w:val="00D36A53"/>
    <w:rsid w:val="00D3734D"/>
    <w:rsid w:val="00D37919"/>
    <w:rsid w:val="00D37C04"/>
    <w:rsid w:val="00D40599"/>
    <w:rsid w:val="00D40629"/>
    <w:rsid w:val="00D4065A"/>
    <w:rsid w:val="00D40E07"/>
    <w:rsid w:val="00D4125D"/>
    <w:rsid w:val="00D41B86"/>
    <w:rsid w:val="00D4265B"/>
    <w:rsid w:val="00D431E0"/>
    <w:rsid w:val="00D4375F"/>
    <w:rsid w:val="00D4379A"/>
    <w:rsid w:val="00D43901"/>
    <w:rsid w:val="00D44082"/>
    <w:rsid w:val="00D44565"/>
    <w:rsid w:val="00D449CB"/>
    <w:rsid w:val="00D45BFD"/>
    <w:rsid w:val="00D460DF"/>
    <w:rsid w:val="00D479B1"/>
    <w:rsid w:val="00D5004D"/>
    <w:rsid w:val="00D5016E"/>
    <w:rsid w:val="00D5099B"/>
    <w:rsid w:val="00D50CD8"/>
    <w:rsid w:val="00D5123F"/>
    <w:rsid w:val="00D51250"/>
    <w:rsid w:val="00D51331"/>
    <w:rsid w:val="00D52596"/>
    <w:rsid w:val="00D526D7"/>
    <w:rsid w:val="00D52800"/>
    <w:rsid w:val="00D52C32"/>
    <w:rsid w:val="00D52F48"/>
    <w:rsid w:val="00D53465"/>
    <w:rsid w:val="00D53773"/>
    <w:rsid w:val="00D53CC3"/>
    <w:rsid w:val="00D548A1"/>
    <w:rsid w:val="00D54D81"/>
    <w:rsid w:val="00D559E0"/>
    <w:rsid w:val="00D55AE3"/>
    <w:rsid w:val="00D5772D"/>
    <w:rsid w:val="00D60C79"/>
    <w:rsid w:val="00D60E0C"/>
    <w:rsid w:val="00D61640"/>
    <w:rsid w:val="00D616B5"/>
    <w:rsid w:val="00D62502"/>
    <w:rsid w:val="00D64366"/>
    <w:rsid w:val="00D64640"/>
    <w:rsid w:val="00D654AB"/>
    <w:rsid w:val="00D65594"/>
    <w:rsid w:val="00D65A29"/>
    <w:rsid w:val="00D66E20"/>
    <w:rsid w:val="00D67EFE"/>
    <w:rsid w:val="00D70A58"/>
    <w:rsid w:val="00D71151"/>
    <w:rsid w:val="00D7294B"/>
    <w:rsid w:val="00D72CBD"/>
    <w:rsid w:val="00D73367"/>
    <w:rsid w:val="00D7347B"/>
    <w:rsid w:val="00D73528"/>
    <w:rsid w:val="00D73618"/>
    <w:rsid w:val="00D738AF"/>
    <w:rsid w:val="00D741A8"/>
    <w:rsid w:val="00D7422B"/>
    <w:rsid w:val="00D74538"/>
    <w:rsid w:val="00D75575"/>
    <w:rsid w:val="00D7579E"/>
    <w:rsid w:val="00D75B44"/>
    <w:rsid w:val="00D80183"/>
    <w:rsid w:val="00D801BF"/>
    <w:rsid w:val="00D80313"/>
    <w:rsid w:val="00D80EF3"/>
    <w:rsid w:val="00D82135"/>
    <w:rsid w:val="00D827C1"/>
    <w:rsid w:val="00D83D1C"/>
    <w:rsid w:val="00D83F07"/>
    <w:rsid w:val="00D84065"/>
    <w:rsid w:val="00D853C7"/>
    <w:rsid w:val="00D8540D"/>
    <w:rsid w:val="00D85C1E"/>
    <w:rsid w:val="00D86F3A"/>
    <w:rsid w:val="00D86FA2"/>
    <w:rsid w:val="00D87639"/>
    <w:rsid w:val="00D876C3"/>
    <w:rsid w:val="00D87AA0"/>
    <w:rsid w:val="00D9020E"/>
    <w:rsid w:val="00D908A0"/>
    <w:rsid w:val="00D908A3"/>
    <w:rsid w:val="00D91878"/>
    <w:rsid w:val="00D93245"/>
    <w:rsid w:val="00D93900"/>
    <w:rsid w:val="00D94051"/>
    <w:rsid w:val="00D94AA5"/>
    <w:rsid w:val="00D950F4"/>
    <w:rsid w:val="00D9594D"/>
    <w:rsid w:val="00D97360"/>
    <w:rsid w:val="00D9773D"/>
    <w:rsid w:val="00DA0F71"/>
    <w:rsid w:val="00DA1028"/>
    <w:rsid w:val="00DA176C"/>
    <w:rsid w:val="00DA32F8"/>
    <w:rsid w:val="00DA3892"/>
    <w:rsid w:val="00DA3CCB"/>
    <w:rsid w:val="00DA4557"/>
    <w:rsid w:val="00DA485C"/>
    <w:rsid w:val="00DA486A"/>
    <w:rsid w:val="00DA4A54"/>
    <w:rsid w:val="00DA4AAD"/>
    <w:rsid w:val="00DA52E8"/>
    <w:rsid w:val="00DA538F"/>
    <w:rsid w:val="00DA5589"/>
    <w:rsid w:val="00DA5625"/>
    <w:rsid w:val="00DA6338"/>
    <w:rsid w:val="00DA6C50"/>
    <w:rsid w:val="00DA77C4"/>
    <w:rsid w:val="00DA77FB"/>
    <w:rsid w:val="00DA7830"/>
    <w:rsid w:val="00DB089E"/>
    <w:rsid w:val="00DB10F1"/>
    <w:rsid w:val="00DB169E"/>
    <w:rsid w:val="00DB1740"/>
    <w:rsid w:val="00DB1C50"/>
    <w:rsid w:val="00DB216C"/>
    <w:rsid w:val="00DB2B3F"/>
    <w:rsid w:val="00DB2EBC"/>
    <w:rsid w:val="00DB2FC4"/>
    <w:rsid w:val="00DB31F8"/>
    <w:rsid w:val="00DB36BB"/>
    <w:rsid w:val="00DB3805"/>
    <w:rsid w:val="00DB3AD4"/>
    <w:rsid w:val="00DB41B3"/>
    <w:rsid w:val="00DB6788"/>
    <w:rsid w:val="00DB695E"/>
    <w:rsid w:val="00DB74B4"/>
    <w:rsid w:val="00DB7909"/>
    <w:rsid w:val="00DB7B8A"/>
    <w:rsid w:val="00DB7E0B"/>
    <w:rsid w:val="00DC12D0"/>
    <w:rsid w:val="00DC1499"/>
    <w:rsid w:val="00DC20F0"/>
    <w:rsid w:val="00DC297A"/>
    <w:rsid w:val="00DC427D"/>
    <w:rsid w:val="00DC4658"/>
    <w:rsid w:val="00DC49AC"/>
    <w:rsid w:val="00DC4D85"/>
    <w:rsid w:val="00DC5C02"/>
    <w:rsid w:val="00DC64D7"/>
    <w:rsid w:val="00DC74FB"/>
    <w:rsid w:val="00DC7752"/>
    <w:rsid w:val="00DC7889"/>
    <w:rsid w:val="00DC7E57"/>
    <w:rsid w:val="00DC7FDC"/>
    <w:rsid w:val="00DD1318"/>
    <w:rsid w:val="00DD26B6"/>
    <w:rsid w:val="00DD2B8E"/>
    <w:rsid w:val="00DD2C07"/>
    <w:rsid w:val="00DD3062"/>
    <w:rsid w:val="00DD5453"/>
    <w:rsid w:val="00DD60F5"/>
    <w:rsid w:val="00DD69C8"/>
    <w:rsid w:val="00DD7DF5"/>
    <w:rsid w:val="00DE03B1"/>
    <w:rsid w:val="00DE0401"/>
    <w:rsid w:val="00DE053D"/>
    <w:rsid w:val="00DE05D2"/>
    <w:rsid w:val="00DE0ABC"/>
    <w:rsid w:val="00DE0C1D"/>
    <w:rsid w:val="00DE10C5"/>
    <w:rsid w:val="00DE1486"/>
    <w:rsid w:val="00DE18AD"/>
    <w:rsid w:val="00DE1A92"/>
    <w:rsid w:val="00DE1BA4"/>
    <w:rsid w:val="00DE2DAA"/>
    <w:rsid w:val="00DE2E0C"/>
    <w:rsid w:val="00DE5642"/>
    <w:rsid w:val="00DE581E"/>
    <w:rsid w:val="00DE6705"/>
    <w:rsid w:val="00DE7C74"/>
    <w:rsid w:val="00DE7E80"/>
    <w:rsid w:val="00DF05AE"/>
    <w:rsid w:val="00DF12A7"/>
    <w:rsid w:val="00DF1510"/>
    <w:rsid w:val="00DF3541"/>
    <w:rsid w:val="00DF3D2C"/>
    <w:rsid w:val="00DF509A"/>
    <w:rsid w:val="00DF5277"/>
    <w:rsid w:val="00DF58FD"/>
    <w:rsid w:val="00DF5902"/>
    <w:rsid w:val="00DF5CEE"/>
    <w:rsid w:val="00DF6DE0"/>
    <w:rsid w:val="00DF7E52"/>
    <w:rsid w:val="00E000B4"/>
    <w:rsid w:val="00E009AA"/>
    <w:rsid w:val="00E011EF"/>
    <w:rsid w:val="00E015DC"/>
    <w:rsid w:val="00E017F9"/>
    <w:rsid w:val="00E018AC"/>
    <w:rsid w:val="00E02008"/>
    <w:rsid w:val="00E029F7"/>
    <w:rsid w:val="00E03CDB"/>
    <w:rsid w:val="00E03D55"/>
    <w:rsid w:val="00E04A6E"/>
    <w:rsid w:val="00E1030F"/>
    <w:rsid w:val="00E111D3"/>
    <w:rsid w:val="00E1177B"/>
    <w:rsid w:val="00E119F9"/>
    <w:rsid w:val="00E129AA"/>
    <w:rsid w:val="00E132FA"/>
    <w:rsid w:val="00E133F3"/>
    <w:rsid w:val="00E13B75"/>
    <w:rsid w:val="00E150EC"/>
    <w:rsid w:val="00E1725D"/>
    <w:rsid w:val="00E21058"/>
    <w:rsid w:val="00E21F12"/>
    <w:rsid w:val="00E2255F"/>
    <w:rsid w:val="00E2307F"/>
    <w:rsid w:val="00E231C4"/>
    <w:rsid w:val="00E23A46"/>
    <w:rsid w:val="00E24A3D"/>
    <w:rsid w:val="00E24C76"/>
    <w:rsid w:val="00E252C9"/>
    <w:rsid w:val="00E259E2"/>
    <w:rsid w:val="00E25EE7"/>
    <w:rsid w:val="00E25F7C"/>
    <w:rsid w:val="00E26152"/>
    <w:rsid w:val="00E26FC6"/>
    <w:rsid w:val="00E27A85"/>
    <w:rsid w:val="00E27ABE"/>
    <w:rsid w:val="00E27AC2"/>
    <w:rsid w:val="00E27CCB"/>
    <w:rsid w:val="00E27E7E"/>
    <w:rsid w:val="00E3015D"/>
    <w:rsid w:val="00E31B0E"/>
    <w:rsid w:val="00E332BC"/>
    <w:rsid w:val="00E3375D"/>
    <w:rsid w:val="00E340E1"/>
    <w:rsid w:val="00E34E62"/>
    <w:rsid w:val="00E350C3"/>
    <w:rsid w:val="00E35B55"/>
    <w:rsid w:val="00E35E6B"/>
    <w:rsid w:val="00E37391"/>
    <w:rsid w:val="00E3747A"/>
    <w:rsid w:val="00E403F5"/>
    <w:rsid w:val="00E4105B"/>
    <w:rsid w:val="00E41276"/>
    <w:rsid w:val="00E41790"/>
    <w:rsid w:val="00E41CCD"/>
    <w:rsid w:val="00E4257B"/>
    <w:rsid w:val="00E427BB"/>
    <w:rsid w:val="00E429BF"/>
    <w:rsid w:val="00E43479"/>
    <w:rsid w:val="00E4369A"/>
    <w:rsid w:val="00E43912"/>
    <w:rsid w:val="00E43BAD"/>
    <w:rsid w:val="00E43D1A"/>
    <w:rsid w:val="00E44CD1"/>
    <w:rsid w:val="00E45F77"/>
    <w:rsid w:val="00E46279"/>
    <w:rsid w:val="00E46448"/>
    <w:rsid w:val="00E47256"/>
    <w:rsid w:val="00E5004C"/>
    <w:rsid w:val="00E507FE"/>
    <w:rsid w:val="00E50AE4"/>
    <w:rsid w:val="00E50DBD"/>
    <w:rsid w:val="00E51365"/>
    <w:rsid w:val="00E51443"/>
    <w:rsid w:val="00E53117"/>
    <w:rsid w:val="00E535FC"/>
    <w:rsid w:val="00E53EEC"/>
    <w:rsid w:val="00E54189"/>
    <w:rsid w:val="00E541D9"/>
    <w:rsid w:val="00E558AD"/>
    <w:rsid w:val="00E55B10"/>
    <w:rsid w:val="00E56739"/>
    <w:rsid w:val="00E56AB4"/>
    <w:rsid w:val="00E56CDC"/>
    <w:rsid w:val="00E56F04"/>
    <w:rsid w:val="00E57127"/>
    <w:rsid w:val="00E574B4"/>
    <w:rsid w:val="00E574BB"/>
    <w:rsid w:val="00E607A6"/>
    <w:rsid w:val="00E608C5"/>
    <w:rsid w:val="00E61CAF"/>
    <w:rsid w:val="00E629C2"/>
    <w:rsid w:val="00E62BFD"/>
    <w:rsid w:val="00E62EC3"/>
    <w:rsid w:val="00E6310F"/>
    <w:rsid w:val="00E65530"/>
    <w:rsid w:val="00E6638F"/>
    <w:rsid w:val="00E66987"/>
    <w:rsid w:val="00E66B01"/>
    <w:rsid w:val="00E679E5"/>
    <w:rsid w:val="00E67C3B"/>
    <w:rsid w:val="00E67D4C"/>
    <w:rsid w:val="00E70820"/>
    <w:rsid w:val="00E715B7"/>
    <w:rsid w:val="00E7294E"/>
    <w:rsid w:val="00E72989"/>
    <w:rsid w:val="00E72BD3"/>
    <w:rsid w:val="00E72D0C"/>
    <w:rsid w:val="00E73228"/>
    <w:rsid w:val="00E73AA0"/>
    <w:rsid w:val="00E73F16"/>
    <w:rsid w:val="00E746B5"/>
    <w:rsid w:val="00E7470B"/>
    <w:rsid w:val="00E747CC"/>
    <w:rsid w:val="00E75166"/>
    <w:rsid w:val="00E75FC5"/>
    <w:rsid w:val="00E7671A"/>
    <w:rsid w:val="00E771C6"/>
    <w:rsid w:val="00E77B9E"/>
    <w:rsid w:val="00E80252"/>
    <w:rsid w:val="00E8029F"/>
    <w:rsid w:val="00E808AA"/>
    <w:rsid w:val="00E814FF"/>
    <w:rsid w:val="00E81E74"/>
    <w:rsid w:val="00E82780"/>
    <w:rsid w:val="00E82CEA"/>
    <w:rsid w:val="00E8373D"/>
    <w:rsid w:val="00E83B67"/>
    <w:rsid w:val="00E83D67"/>
    <w:rsid w:val="00E8587C"/>
    <w:rsid w:val="00E85FE8"/>
    <w:rsid w:val="00E8633F"/>
    <w:rsid w:val="00E87169"/>
    <w:rsid w:val="00E87294"/>
    <w:rsid w:val="00E872F8"/>
    <w:rsid w:val="00E875CB"/>
    <w:rsid w:val="00E914AB"/>
    <w:rsid w:val="00E91ED1"/>
    <w:rsid w:val="00E91F62"/>
    <w:rsid w:val="00E9235A"/>
    <w:rsid w:val="00E92EB6"/>
    <w:rsid w:val="00E9386F"/>
    <w:rsid w:val="00E9438A"/>
    <w:rsid w:val="00E9512E"/>
    <w:rsid w:val="00E955D6"/>
    <w:rsid w:val="00E957B3"/>
    <w:rsid w:val="00E9656D"/>
    <w:rsid w:val="00E966CE"/>
    <w:rsid w:val="00E96B3E"/>
    <w:rsid w:val="00E96FD3"/>
    <w:rsid w:val="00E97047"/>
    <w:rsid w:val="00E97840"/>
    <w:rsid w:val="00E97CE4"/>
    <w:rsid w:val="00EA060D"/>
    <w:rsid w:val="00EA15E9"/>
    <w:rsid w:val="00EA1B8C"/>
    <w:rsid w:val="00EA2278"/>
    <w:rsid w:val="00EA3298"/>
    <w:rsid w:val="00EA419D"/>
    <w:rsid w:val="00EA4738"/>
    <w:rsid w:val="00EA498B"/>
    <w:rsid w:val="00EA5488"/>
    <w:rsid w:val="00EA6452"/>
    <w:rsid w:val="00EA67B6"/>
    <w:rsid w:val="00EA6944"/>
    <w:rsid w:val="00EA79CB"/>
    <w:rsid w:val="00EA7E1C"/>
    <w:rsid w:val="00EB0E11"/>
    <w:rsid w:val="00EB13F6"/>
    <w:rsid w:val="00EB1AEF"/>
    <w:rsid w:val="00EB1CB3"/>
    <w:rsid w:val="00EB234A"/>
    <w:rsid w:val="00EB25E0"/>
    <w:rsid w:val="00EB29A3"/>
    <w:rsid w:val="00EB29B3"/>
    <w:rsid w:val="00EB2D84"/>
    <w:rsid w:val="00EB4767"/>
    <w:rsid w:val="00EB48E9"/>
    <w:rsid w:val="00EB5312"/>
    <w:rsid w:val="00EB55C4"/>
    <w:rsid w:val="00EB65CC"/>
    <w:rsid w:val="00EB6FCB"/>
    <w:rsid w:val="00EC037D"/>
    <w:rsid w:val="00EC0ACD"/>
    <w:rsid w:val="00EC0C50"/>
    <w:rsid w:val="00EC1273"/>
    <w:rsid w:val="00EC166C"/>
    <w:rsid w:val="00EC1EFC"/>
    <w:rsid w:val="00EC1F6F"/>
    <w:rsid w:val="00EC2259"/>
    <w:rsid w:val="00EC2DB4"/>
    <w:rsid w:val="00EC3209"/>
    <w:rsid w:val="00EC4931"/>
    <w:rsid w:val="00EC5841"/>
    <w:rsid w:val="00EC626F"/>
    <w:rsid w:val="00EC67EB"/>
    <w:rsid w:val="00EC6D06"/>
    <w:rsid w:val="00EC7284"/>
    <w:rsid w:val="00ED0ACC"/>
    <w:rsid w:val="00ED14E4"/>
    <w:rsid w:val="00ED1AD2"/>
    <w:rsid w:val="00ED1DD4"/>
    <w:rsid w:val="00ED275B"/>
    <w:rsid w:val="00ED2D42"/>
    <w:rsid w:val="00ED2E95"/>
    <w:rsid w:val="00ED3033"/>
    <w:rsid w:val="00ED38C4"/>
    <w:rsid w:val="00ED5F99"/>
    <w:rsid w:val="00ED629F"/>
    <w:rsid w:val="00ED795B"/>
    <w:rsid w:val="00ED7BDF"/>
    <w:rsid w:val="00ED7E1D"/>
    <w:rsid w:val="00EE040B"/>
    <w:rsid w:val="00EE0C5D"/>
    <w:rsid w:val="00EE1EEC"/>
    <w:rsid w:val="00EE20BF"/>
    <w:rsid w:val="00EE22D2"/>
    <w:rsid w:val="00EE2446"/>
    <w:rsid w:val="00EE2C47"/>
    <w:rsid w:val="00EE3E3E"/>
    <w:rsid w:val="00EE3FF0"/>
    <w:rsid w:val="00EE4256"/>
    <w:rsid w:val="00EE472C"/>
    <w:rsid w:val="00EE4D65"/>
    <w:rsid w:val="00EE61DC"/>
    <w:rsid w:val="00EE6644"/>
    <w:rsid w:val="00EE674C"/>
    <w:rsid w:val="00EE6797"/>
    <w:rsid w:val="00EE700B"/>
    <w:rsid w:val="00EE700D"/>
    <w:rsid w:val="00EE7253"/>
    <w:rsid w:val="00EE73A9"/>
    <w:rsid w:val="00EF1405"/>
    <w:rsid w:val="00EF1843"/>
    <w:rsid w:val="00EF1FA6"/>
    <w:rsid w:val="00EF2B55"/>
    <w:rsid w:val="00EF2E0D"/>
    <w:rsid w:val="00EF309A"/>
    <w:rsid w:val="00EF39F3"/>
    <w:rsid w:val="00EF3DBF"/>
    <w:rsid w:val="00EF3EDC"/>
    <w:rsid w:val="00EF5779"/>
    <w:rsid w:val="00EF5ADA"/>
    <w:rsid w:val="00EF5B99"/>
    <w:rsid w:val="00EF60EB"/>
    <w:rsid w:val="00EF65A6"/>
    <w:rsid w:val="00EF6DB9"/>
    <w:rsid w:val="00EF6E27"/>
    <w:rsid w:val="00EF714E"/>
    <w:rsid w:val="00EF7EBD"/>
    <w:rsid w:val="00F00CF3"/>
    <w:rsid w:val="00F01992"/>
    <w:rsid w:val="00F0216D"/>
    <w:rsid w:val="00F02AB1"/>
    <w:rsid w:val="00F03001"/>
    <w:rsid w:val="00F03201"/>
    <w:rsid w:val="00F032B6"/>
    <w:rsid w:val="00F04B0D"/>
    <w:rsid w:val="00F05141"/>
    <w:rsid w:val="00F05F8D"/>
    <w:rsid w:val="00F06170"/>
    <w:rsid w:val="00F07CD2"/>
    <w:rsid w:val="00F10B10"/>
    <w:rsid w:val="00F11F49"/>
    <w:rsid w:val="00F12CE3"/>
    <w:rsid w:val="00F130ED"/>
    <w:rsid w:val="00F136EB"/>
    <w:rsid w:val="00F13CDC"/>
    <w:rsid w:val="00F13DC8"/>
    <w:rsid w:val="00F13F13"/>
    <w:rsid w:val="00F1437D"/>
    <w:rsid w:val="00F145F9"/>
    <w:rsid w:val="00F15E92"/>
    <w:rsid w:val="00F16203"/>
    <w:rsid w:val="00F1681A"/>
    <w:rsid w:val="00F17327"/>
    <w:rsid w:val="00F1740A"/>
    <w:rsid w:val="00F206F4"/>
    <w:rsid w:val="00F209EA"/>
    <w:rsid w:val="00F21E4C"/>
    <w:rsid w:val="00F21E97"/>
    <w:rsid w:val="00F21E9E"/>
    <w:rsid w:val="00F221C8"/>
    <w:rsid w:val="00F221D9"/>
    <w:rsid w:val="00F22395"/>
    <w:rsid w:val="00F22C41"/>
    <w:rsid w:val="00F23425"/>
    <w:rsid w:val="00F23435"/>
    <w:rsid w:val="00F242F6"/>
    <w:rsid w:val="00F24DDA"/>
    <w:rsid w:val="00F250DD"/>
    <w:rsid w:val="00F2585B"/>
    <w:rsid w:val="00F26545"/>
    <w:rsid w:val="00F27078"/>
    <w:rsid w:val="00F27236"/>
    <w:rsid w:val="00F27A83"/>
    <w:rsid w:val="00F27B7F"/>
    <w:rsid w:val="00F27C69"/>
    <w:rsid w:val="00F30451"/>
    <w:rsid w:val="00F316E1"/>
    <w:rsid w:val="00F32DA6"/>
    <w:rsid w:val="00F33075"/>
    <w:rsid w:val="00F33855"/>
    <w:rsid w:val="00F339F1"/>
    <w:rsid w:val="00F3455B"/>
    <w:rsid w:val="00F35099"/>
    <w:rsid w:val="00F3514E"/>
    <w:rsid w:val="00F359B5"/>
    <w:rsid w:val="00F35C29"/>
    <w:rsid w:val="00F35FFD"/>
    <w:rsid w:val="00F40794"/>
    <w:rsid w:val="00F40925"/>
    <w:rsid w:val="00F40CF7"/>
    <w:rsid w:val="00F41138"/>
    <w:rsid w:val="00F416E0"/>
    <w:rsid w:val="00F41805"/>
    <w:rsid w:val="00F41CA0"/>
    <w:rsid w:val="00F422C4"/>
    <w:rsid w:val="00F42C17"/>
    <w:rsid w:val="00F42F6B"/>
    <w:rsid w:val="00F4418A"/>
    <w:rsid w:val="00F44833"/>
    <w:rsid w:val="00F453F9"/>
    <w:rsid w:val="00F45547"/>
    <w:rsid w:val="00F45C75"/>
    <w:rsid w:val="00F45EE8"/>
    <w:rsid w:val="00F464D8"/>
    <w:rsid w:val="00F474EA"/>
    <w:rsid w:val="00F501AC"/>
    <w:rsid w:val="00F501BC"/>
    <w:rsid w:val="00F509A7"/>
    <w:rsid w:val="00F5216C"/>
    <w:rsid w:val="00F5220F"/>
    <w:rsid w:val="00F52887"/>
    <w:rsid w:val="00F52D89"/>
    <w:rsid w:val="00F533EF"/>
    <w:rsid w:val="00F533F5"/>
    <w:rsid w:val="00F538CD"/>
    <w:rsid w:val="00F538FD"/>
    <w:rsid w:val="00F53C39"/>
    <w:rsid w:val="00F54247"/>
    <w:rsid w:val="00F546E8"/>
    <w:rsid w:val="00F54B96"/>
    <w:rsid w:val="00F54E76"/>
    <w:rsid w:val="00F5502B"/>
    <w:rsid w:val="00F554B5"/>
    <w:rsid w:val="00F555C3"/>
    <w:rsid w:val="00F55654"/>
    <w:rsid w:val="00F55F81"/>
    <w:rsid w:val="00F56A90"/>
    <w:rsid w:val="00F5715A"/>
    <w:rsid w:val="00F57684"/>
    <w:rsid w:val="00F57EF5"/>
    <w:rsid w:val="00F6023B"/>
    <w:rsid w:val="00F605DF"/>
    <w:rsid w:val="00F60BC2"/>
    <w:rsid w:val="00F6151D"/>
    <w:rsid w:val="00F61D62"/>
    <w:rsid w:val="00F62791"/>
    <w:rsid w:val="00F62A10"/>
    <w:rsid w:val="00F62D63"/>
    <w:rsid w:val="00F641A7"/>
    <w:rsid w:val="00F645F9"/>
    <w:rsid w:val="00F64762"/>
    <w:rsid w:val="00F64EC8"/>
    <w:rsid w:val="00F6642B"/>
    <w:rsid w:val="00F66851"/>
    <w:rsid w:val="00F66E7F"/>
    <w:rsid w:val="00F67289"/>
    <w:rsid w:val="00F70074"/>
    <w:rsid w:val="00F71032"/>
    <w:rsid w:val="00F71070"/>
    <w:rsid w:val="00F72C4E"/>
    <w:rsid w:val="00F73B81"/>
    <w:rsid w:val="00F7439E"/>
    <w:rsid w:val="00F74F9F"/>
    <w:rsid w:val="00F7501F"/>
    <w:rsid w:val="00F7597A"/>
    <w:rsid w:val="00F76069"/>
    <w:rsid w:val="00F762B5"/>
    <w:rsid w:val="00F76B52"/>
    <w:rsid w:val="00F77390"/>
    <w:rsid w:val="00F7795C"/>
    <w:rsid w:val="00F80655"/>
    <w:rsid w:val="00F80A55"/>
    <w:rsid w:val="00F80A64"/>
    <w:rsid w:val="00F8132B"/>
    <w:rsid w:val="00F81501"/>
    <w:rsid w:val="00F81FD2"/>
    <w:rsid w:val="00F833F5"/>
    <w:rsid w:val="00F83816"/>
    <w:rsid w:val="00F83952"/>
    <w:rsid w:val="00F84783"/>
    <w:rsid w:val="00F85327"/>
    <w:rsid w:val="00F85A64"/>
    <w:rsid w:val="00F85C43"/>
    <w:rsid w:val="00F85DBE"/>
    <w:rsid w:val="00F863D6"/>
    <w:rsid w:val="00F868BD"/>
    <w:rsid w:val="00F8769E"/>
    <w:rsid w:val="00F90531"/>
    <w:rsid w:val="00F90877"/>
    <w:rsid w:val="00F91B1D"/>
    <w:rsid w:val="00F91DCE"/>
    <w:rsid w:val="00F93031"/>
    <w:rsid w:val="00F930B2"/>
    <w:rsid w:val="00F93270"/>
    <w:rsid w:val="00F9396C"/>
    <w:rsid w:val="00F93AEF"/>
    <w:rsid w:val="00F950E8"/>
    <w:rsid w:val="00F95154"/>
    <w:rsid w:val="00F9533D"/>
    <w:rsid w:val="00F958BC"/>
    <w:rsid w:val="00F9724A"/>
    <w:rsid w:val="00F9797F"/>
    <w:rsid w:val="00F97ED7"/>
    <w:rsid w:val="00FA00A1"/>
    <w:rsid w:val="00FA00F0"/>
    <w:rsid w:val="00FA03FC"/>
    <w:rsid w:val="00FA0473"/>
    <w:rsid w:val="00FA086D"/>
    <w:rsid w:val="00FA08D2"/>
    <w:rsid w:val="00FA0F08"/>
    <w:rsid w:val="00FA0F32"/>
    <w:rsid w:val="00FA1EE1"/>
    <w:rsid w:val="00FA3570"/>
    <w:rsid w:val="00FA3CAD"/>
    <w:rsid w:val="00FA4549"/>
    <w:rsid w:val="00FA4655"/>
    <w:rsid w:val="00FA4D05"/>
    <w:rsid w:val="00FA51BE"/>
    <w:rsid w:val="00FA557D"/>
    <w:rsid w:val="00FA61ED"/>
    <w:rsid w:val="00FA650C"/>
    <w:rsid w:val="00FA69F7"/>
    <w:rsid w:val="00FA6C04"/>
    <w:rsid w:val="00FA714B"/>
    <w:rsid w:val="00FA74B3"/>
    <w:rsid w:val="00FA7515"/>
    <w:rsid w:val="00FA76EE"/>
    <w:rsid w:val="00FA79D0"/>
    <w:rsid w:val="00FB006A"/>
    <w:rsid w:val="00FB01C2"/>
    <w:rsid w:val="00FB13F4"/>
    <w:rsid w:val="00FB1871"/>
    <w:rsid w:val="00FB3140"/>
    <w:rsid w:val="00FB3CE1"/>
    <w:rsid w:val="00FB4790"/>
    <w:rsid w:val="00FB47C8"/>
    <w:rsid w:val="00FB508C"/>
    <w:rsid w:val="00FB6671"/>
    <w:rsid w:val="00FB79E9"/>
    <w:rsid w:val="00FB7B51"/>
    <w:rsid w:val="00FB7DEF"/>
    <w:rsid w:val="00FB7E47"/>
    <w:rsid w:val="00FC0712"/>
    <w:rsid w:val="00FC154B"/>
    <w:rsid w:val="00FC1B25"/>
    <w:rsid w:val="00FC1D37"/>
    <w:rsid w:val="00FC2538"/>
    <w:rsid w:val="00FC3143"/>
    <w:rsid w:val="00FC396F"/>
    <w:rsid w:val="00FC4A89"/>
    <w:rsid w:val="00FC4BCF"/>
    <w:rsid w:val="00FC50AF"/>
    <w:rsid w:val="00FC571B"/>
    <w:rsid w:val="00FC57D4"/>
    <w:rsid w:val="00FC6737"/>
    <w:rsid w:val="00FC6FF8"/>
    <w:rsid w:val="00FC7141"/>
    <w:rsid w:val="00FC71F4"/>
    <w:rsid w:val="00FC7771"/>
    <w:rsid w:val="00FC7E96"/>
    <w:rsid w:val="00FD036D"/>
    <w:rsid w:val="00FD1AB6"/>
    <w:rsid w:val="00FD220A"/>
    <w:rsid w:val="00FD255F"/>
    <w:rsid w:val="00FD260C"/>
    <w:rsid w:val="00FD32BA"/>
    <w:rsid w:val="00FD3DCE"/>
    <w:rsid w:val="00FD3E19"/>
    <w:rsid w:val="00FD51D2"/>
    <w:rsid w:val="00FD5375"/>
    <w:rsid w:val="00FD7265"/>
    <w:rsid w:val="00FD74A6"/>
    <w:rsid w:val="00FD7739"/>
    <w:rsid w:val="00FD7D36"/>
    <w:rsid w:val="00FD7E2C"/>
    <w:rsid w:val="00FE01CA"/>
    <w:rsid w:val="00FE04F9"/>
    <w:rsid w:val="00FE050F"/>
    <w:rsid w:val="00FE1B25"/>
    <w:rsid w:val="00FE2581"/>
    <w:rsid w:val="00FE2F5A"/>
    <w:rsid w:val="00FE3CAE"/>
    <w:rsid w:val="00FE3CBE"/>
    <w:rsid w:val="00FE3D35"/>
    <w:rsid w:val="00FE3FB8"/>
    <w:rsid w:val="00FE4CCB"/>
    <w:rsid w:val="00FE6598"/>
    <w:rsid w:val="00FE6772"/>
    <w:rsid w:val="00FE7F1A"/>
    <w:rsid w:val="00FF0C5D"/>
    <w:rsid w:val="00FF0CB9"/>
    <w:rsid w:val="00FF16E1"/>
    <w:rsid w:val="00FF17DD"/>
    <w:rsid w:val="00FF1831"/>
    <w:rsid w:val="00FF1CA0"/>
    <w:rsid w:val="00FF26E7"/>
    <w:rsid w:val="00FF278A"/>
    <w:rsid w:val="00FF3A34"/>
    <w:rsid w:val="00FF3BC9"/>
    <w:rsid w:val="00FF3FC4"/>
    <w:rsid w:val="00FF41C8"/>
    <w:rsid w:val="00FF4C64"/>
    <w:rsid w:val="00FF5147"/>
    <w:rsid w:val="00FF5C7D"/>
    <w:rsid w:val="00FF5F23"/>
    <w:rsid w:val="00FF61C8"/>
    <w:rsid w:val="00FF6857"/>
    <w:rsid w:val="00FF6937"/>
    <w:rsid w:val="00FF7019"/>
    <w:rsid w:val="00FF759D"/>
    <w:rsid w:val="00FF7708"/>
    <w:rsid w:val="0101CA38"/>
    <w:rsid w:val="018592E9"/>
    <w:rsid w:val="02085455"/>
    <w:rsid w:val="02E1DB55"/>
    <w:rsid w:val="04249C44"/>
    <w:rsid w:val="058A3C58"/>
    <w:rsid w:val="06D510CD"/>
    <w:rsid w:val="090824DE"/>
    <w:rsid w:val="0A8867FB"/>
    <w:rsid w:val="0ADD7D30"/>
    <w:rsid w:val="0B6AE3C6"/>
    <w:rsid w:val="0BC556A2"/>
    <w:rsid w:val="0CFA3D42"/>
    <w:rsid w:val="0D8DF842"/>
    <w:rsid w:val="0E7C02D5"/>
    <w:rsid w:val="0E92A373"/>
    <w:rsid w:val="0F979C55"/>
    <w:rsid w:val="0FDD9A8B"/>
    <w:rsid w:val="0FFC9C5D"/>
    <w:rsid w:val="1084E4A9"/>
    <w:rsid w:val="10E89F88"/>
    <w:rsid w:val="113D3DDE"/>
    <w:rsid w:val="11D84967"/>
    <w:rsid w:val="11EF4B9B"/>
    <w:rsid w:val="127E0B94"/>
    <w:rsid w:val="12BDBFEB"/>
    <w:rsid w:val="12E5DE0B"/>
    <w:rsid w:val="1493BEF3"/>
    <w:rsid w:val="16B4492A"/>
    <w:rsid w:val="1754D7D3"/>
    <w:rsid w:val="18BCD895"/>
    <w:rsid w:val="192CF694"/>
    <w:rsid w:val="1980D650"/>
    <w:rsid w:val="19A2014A"/>
    <w:rsid w:val="19A9DA21"/>
    <w:rsid w:val="19B27F86"/>
    <w:rsid w:val="19D088C1"/>
    <w:rsid w:val="1A2BC996"/>
    <w:rsid w:val="1ADB1DBB"/>
    <w:rsid w:val="1BEABCEC"/>
    <w:rsid w:val="1C640103"/>
    <w:rsid w:val="1C79E3C8"/>
    <w:rsid w:val="1CA43BD2"/>
    <w:rsid w:val="1D06FBA5"/>
    <w:rsid w:val="1D48D065"/>
    <w:rsid w:val="1E502820"/>
    <w:rsid w:val="1EF5A0B9"/>
    <w:rsid w:val="1F99A18B"/>
    <w:rsid w:val="1FE45F94"/>
    <w:rsid w:val="1FFCC16C"/>
    <w:rsid w:val="2036B404"/>
    <w:rsid w:val="20A55542"/>
    <w:rsid w:val="2195FF8C"/>
    <w:rsid w:val="21DF0707"/>
    <w:rsid w:val="21E8E91E"/>
    <w:rsid w:val="22913D48"/>
    <w:rsid w:val="26E6BBF7"/>
    <w:rsid w:val="278D5F9C"/>
    <w:rsid w:val="2800454B"/>
    <w:rsid w:val="29BE8257"/>
    <w:rsid w:val="2A2C2A59"/>
    <w:rsid w:val="2A342039"/>
    <w:rsid w:val="2A67C1B0"/>
    <w:rsid w:val="2B92B8DC"/>
    <w:rsid w:val="2BFD82C6"/>
    <w:rsid w:val="2C9E355C"/>
    <w:rsid w:val="2DDDF4B0"/>
    <w:rsid w:val="2EBB633C"/>
    <w:rsid w:val="2ED36212"/>
    <w:rsid w:val="2F7D7CB0"/>
    <w:rsid w:val="2F989D32"/>
    <w:rsid w:val="301A9FC5"/>
    <w:rsid w:val="309386B6"/>
    <w:rsid w:val="30DA10F0"/>
    <w:rsid w:val="31BF3E17"/>
    <w:rsid w:val="326E275B"/>
    <w:rsid w:val="32C38148"/>
    <w:rsid w:val="32F16CCE"/>
    <w:rsid w:val="333352F6"/>
    <w:rsid w:val="33BC55B6"/>
    <w:rsid w:val="34374B86"/>
    <w:rsid w:val="3444C3A0"/>
    <w:rsid w:val="34DF40B4"/>
    <w:rsid w:val="34FB6227"/>
    <w:rsid w:val="3567BD9F"/>
    <w:rsid w:val="35AF849B"/>
    <w:rsid w:val="372F0FC6"/>
    <w:rsid w:val="382B7606"/>
    <w:rsid w:val="38705B16"/>
    <w:rsid w:val="38DA5591"/>
    <w:rsid w:val="39117462"/>
    <w:rsid w:val="398E9078"/>
    <w:rsid w:val="39B0D9FC"/>
    <w:rsid w:val="39BECCF9"/>
    <w:rsid w:val="3AFAA4A0"/>
    <w:rsid w:val="3B6F2368"/>
    <w:rsid w:val="3BBCC49F"/>
    <w:rsid w:val="3BF47FC1"/>
    <w:rsid w:val="3C77B59D"/>
    <w:rsid w:val="3C7854C3"/>
    <w:rsid w:val="3CC0A409"/>
    <w:rsid w:val="3D9FF0E7"/>
    <w:rsid w:val="3DDCDF0F"/>
    <w:rsid w:val="40B6CD50"/>
    <w:rsid w:val="40F645F9"/>
    <w:rsid w:val="411DE4DD"/>
    <w:rsid w:val="42EF32C7"/>
    <w:rsid w:val="4314F826"/>
    <w:rsid w:val="437C9BAF"/>
    <w:rsid w:val="44FE0C54"/>
    <w:rsid w:val="47508A99"/>
    <w:rsid w:val="47760ACC"/>
    <w:rsid w:val="477E0174"/>
    <w:rsid w:val="480EF25D"/>
    <w:rsid w:val="48EF18C5"/>
    <w:rsid w:val="49856BCB"/>
    <w:rsid w:val="4A4E607E"/>
    <w:rsid w:val="4A667622"/>
    <w:rsid w:val="4AD71CFB"/>
    <w:rsid w:val="4BB0E77F"/>
    <w:rsid w:val="4D02E367"/>
    <w:rsid w:val="4D0E0326"/>
    <w:rsid w:val="4E994ADA"/>
    <w:rsid w:val="4F0806AE"/>
    <w:rsid w:val="4FB77A4A"/>
    <w:rsid w:val="4FCE0AAF"/>
    <w:rsid w:val="509782DE"/>
    <w:rsid w:val="51711FB4"/>
    <w:rsid w:val="5255DA35"/>
    <w:rsid w:val="526CA68A"/>
    <w:rsid w:val="5302DED8"/>
    <w:rsid w:val="532440B5"/>
    <w:rsid w:val="54D73987"/>
    <w:rsid w:val="56F79F9A"/>
    <w:rsid w:val="572CCC2F"/>
    <w:rsid w:val="5973F0D6"/>
    <w:rsid w:val="59A9CCF0"/>
    <w:rsid w:val="59B8E3EB"/>
    <w:rsid w:val="5A7AE063"/>
    <w:rsid w:val="5C06D6B3"/>
    <w:rsid w:val="5D79AF00"/>
    <w:rsid w:val="5ED702B5"/>
    <w:rsid w:val="5FC07A55"/>
    <w:rsid w:val="5FFBFA01"/>
    <w:rsid w:val="600EFD12"/>
    <w:rsid w:val="6046C0E4"/>
    <w:rsid w:val="6071131C"/>
    <w:rsid w:val="6138CE57"/>
    <w:rsid w:val="617792EB"/>
    <w:rsid w:val="617F0A2F"/>
    <w:rsid w:val="61916CC5"/>
    <w:rsid w:val="6327B08F"/>
    <w:rsid w:val="63E9A2D1"/>
    <w:rsid w:val="6412EE5C"/>
    <w:rsid w:val="649D43A6"/>
    <w:rsid w:val="65EC5172"/>
    <w:rsid w:val="66DCC663"/>
    <w:rsid w:val="67DA5A7A"/>
    <w:rsid w:val="69554F73"/>
    <w:rsid w:val="69AAF9D9"/>
    <w:rsid w:val="6A90CAF9"/>
    <w:rsid w:val="6B59823F"/>
    <w:rsid w:val="6BEBD154"/>
    <w:rsid w:val="6CC13ABA"/>
    <w:rsid w:val="6DA31400"/>
    <w:rsid w:val="6E0D62EE"/>
    <w:rsid w:val="6E389F4D"/>
    <w:rsid w:val="6EC4C44B"/>
    <w:rsid w:val="714FB00F"/>
    <w:rsid w:val="71BC329E"/>
    <w:rsid w:val="72BF632F"/>
    <w:rsid w:val="72C1EB31"/>
    <w:rsid w:val="73886CCC"/>
    <w:rsid w:val="7398CEE8"/>
    <w:rsid w:val="7401F4DE"/>
    <w:rsid w:val="7520500A"/>
    <w:rsid w:val="76A6E8FD"/>
    <w:rsid w:val="76DA9307"/>
    <w:rsid w:val="773CC68F"/>
    <w:rsid w:val="77A0D1C1"/>
    <w:rsid w:val="79F2C873"/>
    <w:rsid w:val="7AB44CFD"/>
    <w:rsid w:val="7B14C155"/>
    <w:rsid w:val="7B4B318F"/>
    <w:rsid w:val="7BA19973"/>
    <w:rsid w:val="7C8D8C26"/>
    <w:rsid w:val="7C9A2091"/>
    <w:rsid w:val="7CDBB41C"/>
    <w:rsid w:val="7DC9F6AA"/>
    <w:rsid w:val="7EA11590"/>
    <w:rsid w:val="7F5CE578"/>
    <w:rsid w:val="7FBC8E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C6"/>
    <w:pPr>
      <w:spacing w:before="120" w:after="240" w:line="240" w:lineRule="auto"/>
    </w:pPr>
    <w:rPr>
      <w:rFonts w:ascii="Segoe UI" w:hAnsi="Segoe UI"/>
    </w:rPr>
  </w:style>
  <w:style w:type="paragraph" w:styleId="Heading1">
    <w:name w:val="heading 1"/>
    <w:basedOn w:val="Normal"/>
    <w:next w:val="Normal"/>
    <w:link w:val="Heading1Char"/>
    <w:uiPriority w:val="9"/>
    <w:qFormat/>
    <w:rsid w:val="00D74538"/>
    <w:pPr>
      <w:numPr>
        <w:numId w:val="5"/>
      </w:numPr>
      <w:spacing w:before="360" w:line="276" w:lineRule="auto"/>
      <w:ind w:left="737" w:hanging="737"/>
      <w:outlineLvl w:val="0"/>
    </w:pPr>
    <w:rPr>
      <w:rFonts w:eastAsiaTheme="majorEastAsia" w:cstheme="majorBidi"/>
      <w:b/>
      <w:bCs/>
      <w:color w:val="133286" w:themeColor="text2"/>
      <w:sz w:val="32"/>
      <w:szCs w:val="28"/>
    </w:rPr>
  </w:style>
  <w:style w:type="paragraph" w:styleId="Heading2">
    <w:name w:val="heading 2"/>
    <w:basedOn w:val="Normal"/>
    <w:next w:val="Normal"/>
    <w:link w:val="Heading2Char"/>
    <w:uiPriority w:val="9"/>
    <w:unhideWhenUsed/>
    <w:qFormat/>
    <w:rsid w:val="0059713E"/>
    <w:pPr>
      <w:numPr>
        <w:ilvl w:val="1"/>
        <w:numId w:val="5"/>
      </w:numPr>
      <w:spacing w:before="360"/>
      <w:ind w:left="680" w:hanging="680"/>
      <w:outlineLvl w:val="1"/>
    </w:pPr>
    <w:rPr>
      <w:rFonts w:eastAsiaTheme="majorEastAsia" w:cs="Segoe UI"/>
      <w:b/>
      <w:bCs/>
      <w:sz w:val="26"/>
      <w:szCs w:val="26"/>
      <w:lang w:eastAsia="en-AU"/>
    </w:rPr>
  </w:style>
  <w:style w:type="paragraph" w:styleId="Heading3">
    <w:name w:val="heading 3"/>
    <w:basedOn w:val="Normal"/>
    <w:next w:val="Normal"/>
    <w:link w:val="Heading3Char"/>
    <w:uiPriority w:val="9"/>
    <w:unhideWhenUsed/>
    <w:qFormat/>
    <w:rsid w:val="00BD06B3"/>
    <w:pPr>
      <w:numPr>
        <w:ilvl w:val="2"/>
        <w:numId w:val="5"/>
      </w:numPr>
      <w:spacing w:before="240" w:line="271" w:lineRule="auto"/>
      <w:outlineLvl w:val="2"/>
    </w:pPr>
    <w:rPr>
      <w:rFonts w:ascii="Segoe UI Semibold" w:eastAsiaTheme="majorEastAsia" w:hAnsi="Segoe UI Semibold" w:cstheme="majorBidi"/>
      <w:b/>
      <w:bCs/>
      <w:sz w:val="24"/>
    </w:rPr>
  </w:style>
  <w:style w:type="paragraph" w:styleId="Heading4">
    <w:name w:val="heading 4"/>
    <w:basedOn w:val="Normal"/>
    <w:next w:val="Normal"/>
    <w:link w:val="Heading4Char"/>
    <w:uiPriority w:val="9"/>
    <w:unhideWhenUsed/>
    <w:qFormat/>
    <w:rsid w:val="004A250E"/>
    <w:pPr>
      <w:numPr>
        <w:ilvl w:val="3"/>
        <w:numId w:val="5"/>
      </w:numPr>
      <w:spacing w:before="360"/>
      <w:ind w:left="862" w:hanging="862"/>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E3A65"/>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E3A65"/>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E3A65"/>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E3A65"/>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7E3A65"/>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7FB"/>
    <w:pPr>
      <w:pBdr>
        <w:bottom w:val="single" w:sz="4" w:space="1" w:color="335876"/>
      </w:pBdr>
      <w:tabs>
        <w:tab w:val="center" w:pos="4513"/>
        <w:tab w:val="right" w:pos="9026"/>
      </w:tabs>
      <w:spacing w:after="0"/>
    </w:pPr>
    <w:rPr>
      <w:color w:val="335876"/>
    </w:rPr>
  </w:style>
  <w:style w:type="character" w:customStyle="1" w:styleId="HeaderChar">
    <w:name w:val="Header Char"/>
    <w:basedOn w:val="DefaultParagraphFont"/>
    <w:link w:val="Header"/>
    <w:uiPriority w:val="99"/>
    <w:rsid w:val="00A017FB"/>
    <w:rPr>
      <w:color w:val="335876"/>
    </w:rPr>
  </w:style>
  <w:style w:type="paragraph" w:styleId="Footer">
    <w:name w:val="footer"/>
    <w:basedOn w:val="Normal"/>
    <w:link w:val="FooterChar"/>
    <w:uiPriority w:val="99"/>
    <w:unhideWhenUsed/>
    <w:rsid w:val="00A629D6"/>
    <w:pPr>
      <w:pBdr>
        <w:top w:val="single" w:sz="4" w:space="1" w:color="335876"/>
      </w:pBdr>
      <w:tabs>
        <w:tab w:val="center" w:pos="4513"/>
        <w:tab w:val="right" w:pos="9026"/>
      </w:tabs>
      <w:spacing w:after="0"/>
      <w:jc w:val="right"/>
    </w:pPr>
    <w:rPr>
      <w:color w:val="335876"/>
    </w:rPr>
  </w:style>
  <w:style w:type="character" w:customStyle="1" w:styleId="FooterChar">
    <w:name w:val="Footer Char"/>
    <w:basedOn w:val="DefaultParagraphFont"/>
    <w:link w:val="Footer"/>
    <w:uiPriority w:val="99"/>
    <w:rsid w:val="00A629D6"/>
    <w:rPr>
      <w:color w:val="335876"/>
    </w:rPr>
  </w:style>
  <w:style w:type="table" w:styleId="TableGrid">
    <w:name w:val="Table Grid"/>
    <w:basedOn w:val="TableNormal"/>
    <w:rsid w:val="007E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A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65"/>
    <w:rPr>
      <w:rFonts w:ascii="Tahoma" w:hAnsi="Tahoma" w:cs="Tahoma"/>
      <w:sz w:val="16"/>
      <w:szCs w:val="16"/>
    </w:rPr>
  </w:style>
  <w:style w:type="character" w:customStyle="1" w:styleId="Heading4Char">
    <w:name w:val="Heading 4 Char"/>
    <w:basedOn w:val="DefaultParagraphFont"/>
    <w:link w:val="Heading4"/>
    <w:uiPriority w:val="9"/>
    <w:rsid w:val="004A250E"/>
    <w:rPr>
      <w:rFonts w:asciiTheme="majorHAnsi" w:eastAsiaTheme="majorEastAsia" w:hAnsiTheme="majorHAnsi" w:cstheme="majorBidi"/>
      <w:b/>
      <w:bCs/>
      <w:i/>
      <w:iCs/>
    </w:rPr>
  </w:style>
  <w:style w:type="paragraph" w:styleId="TOC3">
    <w:name w:val="toc 3"/>
    <w:basedOn w:val="Normal"/>
    <w:next w:val="Normal"/>
    <w:autoRedefine/>
    <w:uiPriority w:val="39"/>
    <w:unhideWhenUsed/>
    <w:rsid w:val="00A017FB"/>
    <w:pPr>
      <w:spacing w:after="100"/>
      <w:ind w:left="440"/>
    </w:pPr>
  </w:style>
  <w:style w:type="character" w:customStyle="1" w:styleId="Heading1Char">
    <w:name w:val="Heading 1 Char"/>
    <w:basedOn w:val="DefaultParagraphFont"/>
    <w:link w:val="Heading1"/>
    <w:uiPriority w:val="9"/>
    <w:rsid w:val="00D74538"/>
    <w:rPr>
      <w:rFonts w:ascii="Segoe UI" w:eastAsiaTheme="majorEastAsia" w:hAnsi="Segoe UI" w:cstheme="majorBidi"/>
      <w:b/>
      <w:bCs/>
      <w:color w:val="133286" w:themeColor="text2"/>
      <w:sz w:val="32"/>
      <w:szCs w:val="28"/>
    </w:rPr>
  </w:style>
  <w:style w:type="paragraph" w:styleId="TOC1">
    <w:name w:val="toc 1"/>
    <w:basedOn w:val="Normal"/>
    <w:next w:val="Normal"/>
    <w:autoRedefine/>
    <w:uiPriority w:val="39"/>
    <w:unhideWhenUsed/>
    <w:rsid w:val="001567A2"/>
    <w:pPr>
      <w:tabs>
        <w:tab w:val="left" w:pos="440"/>
        <w:tab w:val="right" w:leader="dot" w:pos="9736"/>
      </w:tabs>
      <w:spacing w:after="100"/>
    </w:pPr>
    <w:rPr>
      <w:b/>
      <w:noProof/>
      <w:color w:val="0E2564" w:themeColor="text2" w:themeShade="BF"/>
      <w:sz w:val="24"/>
    </w:rPr>
  </w:style>
  <w:style w:type="character" w:customStyle="1" w:styleId="Heading2Char">
    <w:name w:val="Heading 2 Char"/>
    <w:basedOn w:val="DefaultParagraphFont"/>
    <w:link w:val="Heading2"/>
    <w:uiPriority w:val="9"/>
    <w:rsid w:val="0059713E"/>
    <w:rPr>
      <w:rFonts w:ascii="Segoe UI" w:eastAsiaTheme="majorEastAsia" w:hAnsi="Segoe UI" w:cs="Segoe UI"/>
      <w:b/>
      <w:bCs/>
      <w:sz w:val="26"/>
      <w:szCs w:val="26"/>
      <w:lang w:eastAsia="en-AU"/>
    </w:rPr>
  </w:style>
  <w:style w:type="paragraph" w:styleId="ListBullet">
    <w:name w:val="List Bullet"/>
    <w:basedOn w:val="Normal"/>
    <w:uiPriority w:val="99"/>
    <w:unhideWhenUsed/>
    <w:rsid w:val="007E3A65"/>
    <w:pPr>
      <w:numPr>
        <w:numId w:val="4"/>
      </w:numPr>
      <w:contextualSpacing/>
    </w:pPr>
  </w:style>
  <w:style w:type="paragraph" w:styleId="ListBullet2">
    <w:name w:val="List Bullet 2"/>
    <w:basedOn w:val="Normal"/>
    <w:uiPriority w:val="99"/>
    <w:unhideWhenUsed/>
    <w:rsid w:val="00CC4DFD"/>
    <w:pPr>
      <w:numPr>
        <w:numId w:val="7"/>
      </w:numPr>
      <w:contextualSpacing/>
    </w:pPr>
  </w:style>
  <w:style w:type="paragraph" w:styleId="TOC2">
    <w:name w:val="toc 2"/>
    <w:basedOn w:val="Normal"/>
    <w:next w:val="Normal"/>
    <w:autoRedefine/>
    <w:uiPriority w:val="39"/>
    <w:unhideWhenUsed/>
    <w:rsid w:val="000C31C2"/>
    <w:pPr>
      <w:tabs>
        <w:tab w:val="left" w:pos="880"/>
        <w:tab w:val="right" w:leader="dot" w:pos="9736"/>
      </w:tabs>
      <w:spacing w:after="100"/>
      <w:ind w:left="221"/>
      <w:contextualSpacing/>
    </w:pPr>
    <w:rPr>
      <w:noProof/>
    </w:rPr>
  </w:style>
  <w:style w:type="character" w:styleId="Hyperlink">
    <w:name w:val="Hyperlink"/>
    <w:basedOn w:val="DefaultParagraphFont"/>
    <w:uiPriority w:val="99"/>
    <w:unhideWhenUsed/>
    <w:rsid w:val="007E3A65"/>
    <w:rPr>
      <w:color w:val="7F7F7F" w:themeColor="hyperlink"/>
      <w:u w:val="single"/>
    </w:rPr>
  </w:style>
  <w:style w:type="paragraph" w:styleId="TOCHeading">
    <w:name w:val="TOC Heading"/>
    <w:basedOn w:val="Heading1"/>
    <w:next w:val="Normal"/>
    <w:uiPriority w:val="39"/>
    <w:unhideWhenUsed/>
    <w:qFormat/>
    <w:rsid w:val="000B47C6"/>
    <w:pPr>
      <w:numPr>
        <w:numId w:val="0"/>
      </w:numPr>
      <w:spacing w:after="120"/>
      <w:outlineLvl w:val="9"/>
    </w:pPr>
    <w:rPr>
      <w:lang w:bidi="en-US"/>
    </w:rPr>
  </w:style>
  <w:style w:type="character" w:customStyle="1" w:styleId="Heading3Char">
    <w:name w:val="Heading 3 Char"/>
    <w:basedOn w:val="DefaultParagraphFont"/>
    <w:link w:val="Heading3"/>
    <w:uiPriority w:val="9"/>
    <w:rsid w:val="00BD06B3"/>
    <w:rPr>
      <w:rFonts w:ascii="Segoe UI Semibold" w:eastAsiaTheme="majorEastAsia" w:hAnsi="Segoe UI Semibold" w:cstheme="majorBidi"/>
      <w:b/>
      <w:bCs/>
      <w:sz w:val="24"/>
    </w:rPr>
  </w:style>
  <w:style w:type="character" w:customStyle="1" w:styleId="Heading5Char">
    <w:name w:val="Heading 5 Char"/>
    <w:basedOn w:val="DefaultParagraphFont"/>
    <w:link w:val="Heading5"/>
    <w:uiPriority w:val="9"/>
    <w:rsid w:val="007E3A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E3A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E3A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E3A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E3A6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493D"/>
    <w:pPr>
      <w:contextualSpacing/>
      <w:jc w:val="center"/>
    </w:pPr>
    <w:rPr>
      <w:rFonts w:asciiTheme="majorHAnsi" w:eastAsiaTheme="majorEastAsia" w:hAnsiTheme="majorHAnsi" w:cstheme="majorBidi"/>
      <w:color w:val="0E2564" w:themeColor="text2" w:themeShade="BF"/>
      <w:spacing w:val="5"/>
      <w:sz w:val="56"/>
      <w:szCs w:val="52"/>
    </w:rPr>
  </w:style>
  <w:style w:type="character" w:customStyle="1" w:styleId="TitleChar">
    <w:name w:val="Title Char"/>
    <w:basedOn w:val="DefaultParagraphFont"/>
    <w:link w:val="Title"/>
    <w:uiPriority w:val="10"/>
    <w:rsid w:val="004A493D"/>
    <w:rPr>
      <w:rFonts w:asciiTheme="majorHAnsi" w:eastAsiaTheme="majorEastAsia" w:hAnsiTheme="majorHAnsi" w:cstheme="majorBidi"/>
      <w:color w:val="0E2564" w:themeColor="text2" w:themeShade="BF"/>
      <w:spacing w:val="5"/>
      <w:sz w:val="56"/>
      <w:szCs w:val="52"/>
    </w:rPr>
  </w:style>
  <w:style w:type="paragraph" w:styleId="Subtitle">
    <w:name w:val="Subtitle"/>
    <w:basedOn w:val="Normal"/>
    <w:next w:val="Normal"/>
    <w:link w:val="SubtitleChar"/>
    <w:uiPriority w:val="11"/>
    <w:qFormat/>
    <w:rsid w:val="004A493D"/>
    <w:pPr>
      <w:pBdr>
        <w:bottom w:val="single" w:sz="4" w:space="1" w:color="436721" w:themeColor="accent1" w:themeShade="BF"/>
      </w:pBdr>
      <w:spacing w:after="600"/>
      <w:jc w:val="center"/>
    </w:pPr>
    <w:rPr>
      <w:rFonts w:asciiTheme="majorHAnsi" w:eastAsiaTheme="majorEastAsia" w:hAnsiTheme="majorHAnsi" w:cstheme="majorBidi"/>
      <w:b/>
      <w:i/>
      <w:iCs/>
      <w:color w:val="5B8A2C" w:themeColor="accent1"/>
      <w:spacing w:val="13"/>
      <w:sz w:val="48"/>
      <w:szCs w:val="24"/>
    </w:rPr>
  </w:style>
  <w:style w:type="character" w:customStyle="1" w:styleId="SubtitleChar">
    <w:name w:val="Subtitle Char"/>
    <w:basedOn w:val="DefaultParagraphFont"/>
    <w:link w:val="Subtitle"/>
    <w:uiPriority w:val="11"/>
    <w:rsid w:val="004A493D"/>
    <w:rPr>
      <w:rFonts w:asciiTheme="majorHAnsi" w:eastAsiaTheme="majorEastAsia" w:hAnsiTheme="majorHAnsi" w:cstheme="majorBidi"/>
      <w:b/>
      <w:i/>
      <w:iCs/>
      <w:color w:val="5B8A2C" w:themeColor="accent1"/>
      <w:spacing w:val="13"/>
      <w:sz w:val="48"/>
      <w:szCs w:val="24"/>
    </w:rPr>
  </w:style>
  <w:style w:type="character" w:styleId="Strong">
    <w:name w:val="Strong"/>
    <w:uiPriority w:val="22"/>
    <w:qFormat/>
    <w:rsid w:val="007E3A65"/>
    <w:rPr>
      <w:b/>
      <w:bCs/>
    </w:rPr>
  </w:style>
  <w:style w:type="character" w:styleId="Emphasis">
    <w:name w:val="Emphasis"/>
    <w:uiPriority w:val="20"/>
    <w:qFormat/>
    <w:rsid w:val="007E3A65"/>
    <w:rPr>
      <w:b/>
      <w:bCs/>
      <w:i/>
      <w:iCs/>
      <w:spacing w:val="10"/>
      <w:bdr w:val="none" w:sz="0" w:space="0" w:color="auto"/>
      <w:shd w:val="clear" w:color="auto" w:fill="auto"/>
    </w:rPr>
  </w:style>
  <w:style w:type="paragraph" w:styleId="NoSpacing">
    <w:name w:val="No Spacing"/>
    <w:basedOn w:val="Normal"/>
    <w:uiPriority w:val="1"/>
    <w:qFormat/>
    <w:rsid w:val="007E3A65"/>
    <w:pPr>
      <w:spacing w:after="0"/>
    </w:pPr>
  </w:style>
  <w:style w:type="paragraph" w:styleId="ListParagraph">
    <w:name w:val="List Paragraph"/>
    <w:aliases w:val="#List Paragraph,Recommendation,List Paragraph1,List Paragraph11,L,SAP Subpara,List Paragraph - bullet,List - bullet,List Paragraph - bullets,Use Case List Paragraph,Bullets,Numbered list"/>
    <w:basedOn w:val="Normal"/>
    <w:link w:val="ListParagraphChar"/>
    <w:uiPriority w:val="34"/>
    <w:qFormat/>
    <w:rsid w:val="0059713E"/>
    <w:pPr>
      <w:numPr>
        <w:numId w:val="10"/>
      </w:numPr>
      <w:contextualSpacing/>
    </w:pPr>
  </w:style>
  <w:style w:type="paragraph" w:styleId="Quote">
    <w:name w:val="Quote"/>
    <w:basedOn w:val="Normal"/>
    <w:next w:val="Normal"/>
    <w:link w:val="QuoteChar"/>
    <w:uiPriority w:val="29"/>
    <w:qFormat/>
    <w:rsid w:val="007E3A65"/>
    <w:pPr>
      <w:spacing w:before="200" w:after="0"/>
      <w:ind w:left="360" w:right="360"/>
    </w:pPr>
    <w:rPr>
      <w:i/>
      <w:iCs/>
    </w:rPr>
  </w:style>
  <w:style w:type="character" w:customStyle="1" w:styleId="QuoteChar">
    <w:name w:val="Quote Char"/>
    <w:basedOn w:val="DefaultParagraphFont"/>
    <w:link w:val="Quote"/>
    <w:uiPriority w:val="29"/>
    <w:rsid w:val="007E3A65"/>
    <w:rPr>
      <w:i/>
      <w:iCs/>
    </w:rPr>
  </w:style>
  <w:style w:type="paragraph" w:styleId="IntenseQuote">
    <w:name w:val="Intense Quote"/>
    <w:basedOn w:val="Normal"/>
    <w:next w:val="Normal"/>
    <w:link w:val="IntenseQuoteChar"/>
    <w:uiPriority w:val="30"/>
    <w:qFormat/>
    <w:rsid w:val="007E3A6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3A65"/>
    <w:rPr>
      <w:b/>
      <w:bCs/>
      <w:i/>
      <w:iCs/>
    </w:rPr>
  </w:style>
  <w:style w:type="character" w:styleId="SubtleEmphasis">
    <w:name w:val="Subtle Emphasis"/>
    <w:uiPriority w:val="19"/>
    <w:qFormat/>
    <w:rsid w:val="004A493D"/>
    <w:rPr>
      <w:i/>
      <w:iCs/>
      <w:color w:val="5B8A2C" w:themeColor="accent1"/>
    </w:rPr>
  </w:style>
  <w:style w:type="character" w:styleId="IntenseEmphasis">
    <w:name w:val="Intense Emphasis"/>
    <w:uiPriority w:val="21"/>
    <w:qFormat/>
    <w:rsid w:val="004A493D"/>
    <w:rPr>
      <w:b/>
      <w:bCs/>
      <w:i/>
      <w:color w:val="5B8A2C" w:themeColor="accent1"/>
    </w:rPr>
  </w:style>
  <w:style w:type="character" w:styleId="SubtleReference">
    <w:name w:val="Subtle Reference"/>
    <w:uiPriority w:val="31"/>
    <w:qFormat/>
    <w:rsid w:val="007E3A65"/>
    <w:rPr>
      <w:smallCaps/>
    </w:rPr>
  </w:style>
  <w:style w:type="character" w:styleId="IntenseReference">
    <w:name w:val="Intense Reference"/>
    <w:uiPriority w:val="32"/>
    <w:qFormat/>
    <w:rsid w:val="007E3A65"/>
    <w:rPr>
      <w:smallCaps/>
      <w:spacing w:val="5"/>
      <w:u w:val="single"/>
    </w:rPr>
  </w:style>
  <w:style w:type="character" w:styleId="BookTitle">
    <w:name w:val="Book Title"/>
    <w:uiPriority w:val="33"/>
    <w:qFormat/>
    <w:rsid w:val="007E3A65"/>
    <w:rPr>
      <w:i/>
      <w:iCs/>
      <w:smallCaps/>
      <w:spacing w:val="5"/>
    </w:rPr>
  </w:style>
  <w:style w:type="table" w:styleId="LightShading">
    <w:name w:val="Light Shading"/>
    <w:basedOn w:val="TableNormal"/>
    <w:uiPriority w:val="60"/>
    <w:rsid w:val="00A017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A017FB"/>
    <w:pPr>
      <w:spacing w:after="0" w:line="240" w:lineRule="auto"/>
    </w:pPr>
    <w:tblPr>
      <w:tblStyleRowBandSize w:val="1"/>
      <w:tblStyleColBandSize w:val="1"/>
      <w:tblBorders>
        <w:top w:val="single" w:sz="8" w:space="0" w:color="5B8A2C" w:themeColor="accent1"/>
        <w:left w:val="single" w:sz="8" w:space="0" w:color="5B8A2C" w:themeColor="accent1"/>
        <w:bottom w:val="single" w:sz="8" w:space="0" w:color="5B8A2C" w:themeColor="accent1"/>
        <w:right w:val="single" w:sz="8" w:space="0" w:color="5B8A2C" w:themeColor="accent1"/>
      </w:tblBorders>
    </w:tblPr>
    <w:tblStylePr w:type="firstRow">
      <w:pPr>
        <w:spacing w:before="0" w:after="0" w:line="240" w:lineRule="auto"/>
      </w:pPr>
      <w:rPr>
        <w:b/>
        <w:bCs/>
        <w:color w:val="FFFFFF" w:themeColor="background1"/>
      </w:rPr>
      <w:tblPr/>
      <w:tcPr>
        <w:shd w:val="clear" w:color="auto" w:fill="5B8A2C" w:themeFill="accent1"/>
      </w:tcPr>
    </w:tblStylePr>
    <w:tblStylePr w:type="lastRow">
      <w:pPr>
        <w:spacing w:before="0" w:after="0" w:line="240" w:lineRule="auto"/>
      </w:pPr>
      <w:rPr>
        <w:b/>
        <w:bCs/>
      </w:rPr>
      <w:tblPr/>
      <w:tcPr>
        <w:tcBorders>
          <w:top w:val="double" w:sz="6" w:space="0" w:color="5B8A2C" w:themeColor="accent1"/>
          <w:left w:val="single" w:sz="8" w:space="0" w:color="5B8A2C" w:themeColor="accent1"/>
          <w:bottom w:val="single" w:sz="8" w:space="0" w:color="5B8A2C" w:themeColor="accent1"/>
          <w:right w:val="single" w:sz="8" w:space="0" w:color="5B8A2C" w:themeColor="accent1"/>
        </w:tcBorders>
      </w:tcPr>
    </w:tblStylePr>
    <w:tblStylePr w:type="firstCol">
      <w:rPr>
        <w:b/>
        <w:bCs/>
      </w:rPr>
    </w:tblStylePr>
    <w:tblStylePr w:type="lastCol">
      <w:rPr>
        <w:b/>
        <w:bCs/>
      </w:rPr>
    </w:tblStylePr>
    <w:tblStylePr w:type="band1Vert">
      <w:tblPr/>
      <w:tcPr>
        <w:tcBorders>
          <w:top w:val="single" w:sz="8" w:space="0" w:color="5B8A2C" w:themeColor="accent1"/>
          <w:left w:val="single" w:sz="8" w:space="0" w:color="5B8A2C" w:themeColor="accent1"/>
          <w:bottom w:val="single" w:sz="8" w:space="0" w:color="5B8A2C" w:themeColor="accent1"/>
          <w:right w:val="single" w:sz="8" w:space="0" w:color="5B8A2C" w:themeColor="accent1"/>
        </w:tcBorders>
      </w:tcPr>
    </w:tblStylePr>
    <w:tblStylePr w:type="band1Horz">
      <w:tblPr/>
      <w:tcPr>
        <w:tcBorders>
          <w:top w:val="single" w:sz="8" w:space="0" w:color="5B8A2C" w:themeColor="accent1"/>
          <w:left w:val="single" w:sz="8" w:space="0" w:color="5B8A2C" w:themeColor="accent1"/>
          <w:bottom w:val="single" w:sz="8" w:space="0" w:color="5B8A2C" w:themeColor="accent1"/>
          <w:right w:val="single" w:sz="8" w:space="0" w:color="5B8A2C" w:themeColor="accent1"/>
        </w:tcBorders>
      </w:tcPr>
    </w:tblStylePr>
  </w:style>
  <w:style w:type="table" w:styleId="LightShading-Accent1">
    <w:name w:val="Light Shading Accent 1"/>
    <w:basedOn w:val="TableNormal"/>
    <w:uiPriority w:val="60"/>
    <w:rsid w:val="00A017FB"/>
    <w:pPr>
      <w:spacing w:after="0" w:line="240" w:lineRule="auto"/>
    </w:pPr>
    <w:rPr>
      <w:color w:val="436721" w:themeColor="accent1" w:themeShade="BF"/>
    </w:rPr>
    <w:tblPr>
      <w:tblStyleRowBandSize w:val="1"/>
      <w:tblStyleColBandSize w:val="1"/>
      <w:tblBorders>
        <w:top w:val="single" w:sz="8" w:space="0" w:color="5B8A2C" w:themeColor="accent1"/>
        <w:bottom w:val="single" w:sz="8" w:space="0" w:color="5B8A2C" w:themeColor="accent1"/>
      </w:tblBorders>
    </w:tblPr>
    <w:tblStylePr w:type="firstRow">
      <w:pPr>
        <w:spacing w:before="0" w:after="0" w:line="240" w:lineRule="auto"/>
      </w:pPr>
      <w:rPr>
        <w:b/>
        <w:bCs/>
      </w:rPr>
      <w:tblPr/>
      <w:tcPr>
        <w:tcBorders>
          <w:top w:val="single" w:sz="8" w:space="0" w:color="5B8A2C" w:themeColor="accent1"/>
          <w:left w:val="nil"/>
          <w:bottom w:val="single" w:sz="8" w:space="0" w:color="5B8A2C" w:themeColor="accent1"/>
          <w:right w:val="nil"/>
          <w:insideH w:val="nil"/>
          <w:insideV w:val="nil"/>
        </w:tcBorders>
      </w:tcPr>
    </w:tblStylePr>
    <w:tblStylePr w:type="lastRow">
      <w:pPr>
        <w:spacing w:before="0" w:after="0" w:line="240" w:lineRule="auto"/>
      </w:pPr>
      <w:rPr>
        <w:b/>
        <w:bCs/>
      </w:rPr>
      <w:tblPr/>
      <w:tcPr>
        <w:tcBorders>
          <w:top w:val="single" w:sz="8" w:space="0" w:color="5B8A2C" w:themeColor="accent1"/>
          <w:left w:val="nil"/>
          <w:bottom w:val="single" w:sz="8" w:space="0" w:color="5B8A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BC1" w:themeFill="accent1" w:themeFillTint="3F"/>
      </w:tcPr>
    </w:tblStylePr>
    <w:tblStylePr w:type="band1Horz">
      <w:tblPr/>
      <w:tcPr>
        <w:tcBorders>
          <w:left w:val="nil"/>
          <w:right w:val="nil"/>
          <w:insideH w:val="nil"/>
          <w:insideV w:val="nil"/>
        </w:tcBorders>
        <w:shd w:val="clear" w:color="auto" w:fill="D6EBC1" w:themeFill="accent1" w:themeFillTint="3F"/>
      </w:tcPr>
    </w:tblStylePr>
  </w:style>
  <w:style w:type="table" w:styleId="LightList-Accent2">
    <w:name w:val="Light List Accent 2"/>
    <w:basedOn w:val="TableNormal"/>
    <w:uiPriority w:val="61"/>
    <w:rsid w:val="00A017FB"/>
    <w:pPr>
      <w:spacing w:after="0" w:line="240" w:lineRule="auto"/>
    </w:pPr>
    <w:tblPr>
      <w:tblStyleRowBandSize w:val="1"/>
      <w:tblStyleColBandSize w:val="1"/>
      <w:tblBorders>
        <w:top w:val="single" w:sz="8" w:space="0" w:color="E88800" w:themeColor="accent2"/>
        <w:left w:val="single" w:sz="8" w:space="0" w:color="E88800" w:themeColor="accent2"/>
        <w:bottom w:val="single" w:sz="8" w:space="0" w:color="E88800" w:themeColor="accent2"/>
        <w:right w:val="single" w:sz="8" w:space="0" w:color="E88800" w:themeColor="accent2"/>
      </w:tblBorders>
    </w:tblPr>
    <w:tblStylePr w:type="firstRow">
      <w:pPr>
        <w:spacing w:before="0" w:after="0" w:line="240" w:lineRule="auto"/>
      </w:pPr>
      <w:rPr>
        <w:b/>
        <w:bCs/>
        <w:color w:val="FFFFFF" w:themeColor="background1"/>
      </w:rPr>
      <w:tblPr/>
      <w:tcPr>
        <w:shd w:val="clear" w:color="auto" w:fill="E88800" w:themeFill="accent2"/>
      </w:tcPr>
    </w:tblStylePr>
    <w:tblStylePr w:type="lastRow">
      <w:pPr>
        <w:spacing w:before="0" w:after="0" w:line="240" w:lineRule="auto"/>
      </w:pPr>
      <w:rPr>
        <w:b/>
        <w:bCs/>
      </w:rPr>
      <w:tblPr/>
      <w:tcPr>
        <w:tcBorders>
          <w:top w:val="double" w:sz="6" w:space="0" w:color="E88800" w:themeColor="accent2"/>
          <w:left w:val="single" w:sz="8" w:space="0" w:color="E88800" w:themeColor="accent2"/>
          <w:bottom w:val="single" w:sz="8" w:space="0" w:color="E88800" w:themeColor="accent2"/>
          <w:right w:val="single" w:sz="8" w:space="0" w:color="E88800" w:themeColor="accent2"/>
        </w:tcBorders>
      </w:tcPr>
    </w:tblStylePr>
    <w:tblStylePr w:type="firstCol">
      <w:rPr>
        <w:b/>
        <w:bCs/>
      </w:rPr>
    </w:tblStylePr>
    <w:tblStylePr w:type="lastCol">
      <w:rPr>
        <w:b/>
        <w:bCs/>
      </w:rPr>
    </w:tblStylePr>
    <w:tblStylePr w:type="band1Vert">
      <w:tblPr/>
      <w:tcPr>
        <w:tcBorders>
          <w:top w:val="single" w:sz="8" w:space="0" w:color="E88800" w:themeColor="accent2"/>
          <w:left w:val="single" w:sz="8" w:space="0" w:color="E88800" w:themeColor="accent2"/>
          <w:bottom w:val="single" w:sz="8" w:space="0" w:color="E88800" w:themeColor="accent2"/>
          <w:right w:val="single" w:sz="8" w:space="0" w:color="E88800" w:themeColor="accent2"/>
        </w:tcBorders>
      </w:tcPr>
    </w:tblStylePr>
    <w:tblStylePr w:type="band1Horz">
      <w:tblPr/>
      <w:tcPr>
        <w:tcBorders>
          <w:top w:val="single" w:sz="8" w:space="0" w:color="E88800" w:themeColor="accent2"/>
          <w:left w:val="single" w:sz="8" w:space="0" w:color="E88800" w:themeColor="accent2"/>
          <w:bottom w:val="single" w:sz="8" w:space="0" w:color="E88800" w:themeColor="accent2"/>
          <w:right w:val="single" w:sz="8" w:space="0" w:color="E88800" w:themeColor="accent2"/>
        </w:tcBorders>
      </w:tcPr>
    </w:tblStylePr>
  </w:style>
  <w:style w:type="paragraph" w:styleId="CommentText">
    <w:name w:val="annotation text"/>
    <w:basedOn w:val="Normal"/>
    <w:link w:val="CommentTextChar"/>
    <w:unhideWhenUsed/>
    <w:rsid w:val="00912A6F"/>
    <w:rPr>
      <w:sz w:val="20"/>
      <w:szCs w:val="20"/>
    </w:rPr>
  </w:style>
  <w:style w:type="character" w:customStyle="1" w:styleId="CommentTextChar">
    <w:name w:val="Comment Text Char"/>
    <w:basedOn w:val="DefaultParagraphFont"/>
    <w:link w:val="CommentText"/>
    <w:rsid w:val="00912A6F"/>
    <w:rPr>
      <w:sz w:val="20"/>
      <w:szCs w:val="20"/>
    </w:rPr>
  </w:style>
  <w:style w:type="character" w:styleId="CommentReference">
    <w:name w:val="annotation reference"/>
    <w:basedOn w:val="DefaultParagraphFont"/>
    <w:unhideWhenUsed/>
    <w:rPr>
      <w:sz w:val="16"/>
      <w:szCs w:val="16"/>
    </w:rPr>
  </w:style>
  <w:style w:type="table" w:customStyle="1" w:styleId="IntroductionTable">
    <w:name w:val="Introduction Table"/>
    <w:basedOn w:val="TableNormal"/>
    <w:uiPriority w:val="99"/>
    <w:rsid w:val="00837881"/>
    <w:pPr>
      <w:spacing w:before="60" w:after="60" w:line="240" w:lineRule="auto"/>
    </w:pPr>
    <w:tblPr>
      <w:tblStyleRowBandSize w:val="1"/>
      <w:tblBorders>
        <w:top w:val="dotted" w:sz="4" w:space="0" w:color="auto"/>
        <w:bottom w:val="dotted" w:sz="4" w:space="0" w:color="auto"/>
        <w:insideH w:val="dotted" w:sz="4" w:space="0" w:color="auto"/>
        <w:insideV w:val="dotted" w:sz="4" w:space="0" w:color="auto"/>
      </w:tblBorders>
    </w:tblPr>
    <w:trPr>
      <w:cantSplit/>
    </w:trPr>
    <w:tblStylePr w:type="firstRow">
      <w:rPr>
        <w:b/>
        <w:color w:val="auto"/>
      </w:rPr>
      <w:tblPr/>
      <w:trPr>
        <w:tblHeader/>
      </w:trPr>
      <w:tcPr>
        <w:tcBorders>
          <w:top w:val="dotted" w:sz="4" w:space="0" w:color="auto"/>
          <w:left w:val="nil"/>
          <w:bottom w:val="dotted" w:sz="4" w:space="0" w:color="auto"/>
          <w:right w:val="nil"/>
          <w:insideH w:val="dotted" w:sz="4" w:space="0" w:color="auto"/>
          <w:insideV w:val="dotted" w:sz="4" w:space="0" w:color="auto"/>
          <w:tl2br w:val="nil"/>
          <w:tr2bl w:val="nil"/>
        </w:tcBorders>
        <w:shd w:val="clear" w:color="auto" w:fill="D9D9D9" w:themeFill="background1" w:themeFillShade="D9"/>
      </w:tcPr>
    </w:tblStylePr>
    <w:tblStylePr w:type="firstCol">
      <w:rPr>
        <w:b/>
      </w:rPr>
      <w:tblPr/>
      <w:tcPr>
        <w:tcBorders>
          <w:top w:val="dotted" w:sz="4" w:space="0" w:color="auto"/>
          <w:left w:val="nil"/>
          <w:bottom w:val="dotted" w:sz="4" w:space="0" w:color="auto"/>
          <w:right w:val="nil"/>
          <w:insideH w:val="nil"/>
          <w:insideV w:val="nil"/>
          <w:tl2br w:val="nil"/>
          <w:tr2bl w:val="nil"/>
        </w:tcBorders>
      </w:tcPr>
    </w:tblStylePr>
  </w:style>
  <w:style w:type="table" w:customStyle="1" w:styleId="BusinessRuleTable">
    <w:name w:val="Business Rule Table"/>
    <w:basedOn w:val="TableNormal"/>
    <w:uiPriority w:val="99"/>
    <w:rsid w:val="00A820B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E2564" w:themeFill="text2" w:themeFillShade="BF"/>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E2564" w:themeFill="text2" w:themeFillShade="BF"/>
      </w:tcPr>
    </w:tblStylePr>
  </w:style>
  <w:style w:type="table" w:customStyle="1" w:styleId="FieldTable">
    <w:name w:val="Field Table"/>
    <w:basedOn w:val="TableNormal"/>
    <w:uiPriority w:val="99"/>
    <w:rsid w:val="00F9303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E2564" w:themeFill="text2" w:themeFillShade="BF"/>
        <w:vAlign w:val="bottom"/>
      </w:tcPr>
    </w:tblStylePr>
  </w:style>
  <w:style w:type="paragraph" w:styleId="TOAHeading">
    <w:name w:val="toa heading"/>
    <w:basedOn w:val="TOCHeading"/>
    <w:next w:val="Normal"/>
    <w:uiPriority w:val="99"/>
    <w:unhideWhenUsed/>
    <w:rsid w:val="000C31C2"/>
  </w:style>
  <w:style w:type="paragraph" w:styleId="EndnoteText">
    <w:name w:val="endnote text"/>
    <w:basedOn w:val="Normal"/>
    <w:link w:val="EndnoteTextChar"/>
    <w:uiPriority w:val="99"/>
    <w:semiHidden/>
    <w:unhideWhenUsed/>
    <w:rsid w:val="00FB1871"/>
    <w:pPr>
      <w:spacing w:after="0"/>
    </w:pPr>
    <w:rPr>
      <w:sz w:val="20"/>
      <w:szCs w:val="20"/>
    </w:rPr>
  </w:style>
  <w:style w:type="character" w:styleId="PlaceholderText">
    <w:name w:val="Placeholder Text"/>
    <w:basedOn w:val="DefaultParagraphFont"/>
    <w:uiPriority w:val="99"/>
    <w:semiHidden/>
    <w:rsid w:val="005610F1"/>
    <w:rPr>
      <w:color w:val="808080"/>
    </w:rPr>
  </w:style>
  <w:style w:type="paragraph" w:styleId="CommentSubject">
    <w:name w:val="annotation subject"/>
    <w:basedOn w:val="Normal"/>
    <w:next w:val="CommentText"/>
    <w:link w:val="CommentSubjectChar"/>
    <w:uiPriority w:val="99"/>
    <w:semiHidden/>
    <w:unhideWhenUsed/>
    <w:rsid w:val="00284B7F"/>
    <w:rPr>
      <w:b/>
      <w:bCs/>
      <w:sz w:val="20"/>
      <w:szCs w:val="20"/>
    </w:rPr>
  </w:style>
  <w:style w:type="character" w:customStyle="1" w:styleId="CommentSubjectChar">
    <w:name w:val="Comment Subject Char"/>
    <w:basedOn w:val="DefaultParagraphFont"/>
    <w:link w:val="CommentSubject"/>
    <w:uiPriority w:val="99"/>
    <w:semiHidden/>
    <w:rsid w:val="00284B7F"/>
    <w:rPr>
      <w:b/>
      <w:bCs/>
      <w:sz w:val="20"/>
      <w:szCs w:val="20"/>
    </w:rPr>
  </w:style>
  <w:style w:type="character" w:styleId="FollowedHyperlink">
    <w:name w:val="FollowedHyperlink"/>
    <w:basedOn w:val="DefaultParagraphFont"/>
    <w:uiPriority w:val="99"/>
    <w:semiHidden/>
    <w:unhideWhenUsed/>
    <w:rsid w:val="004D5C73"/>
    <w:rPr>
      <w:color w:val="3F3F3F" w:themeColor="followedHyperlink"/>
      <w:u w:val="single"/>
    </w:rPr>
  </w:style>
  <w:style w:type="paragraph" w:styleId="ListBullet3">
    <w:name w:val="List Bullet 3"/>
    <w:basedOn w:val="Normal"/>
    <w:uiPriority w:val="99"/>
    <w:unhideWhenUsed/>
    <w:rsid w:val="00CC4DFD"/>
    <w:pPr>
      <w:numPr>
        <w:numId w:val="6"/>
      </w:numPr>
      <w:contextualSpacing/>
    </w:pPr>
  </w:style>
  <w:style w:type="character" w:customStyle="1" w:styleId="EndnoteTextChar">
    <w:name w:val="Endnote Text Char"/>
    <w:basedOn w:val="DefaultParagraphFont"/>
    <w:link w:val="EndnoteText"/>
    <w:uiPriority w:val="99"/>
    <w:semiHidden/>
    <w:rsid w:val="00FB1871"/>
    <w:rPr>
      <w:sz w:val="20"/>
      <w:szCs w:val="20"/>
    </w:rPr>
  </w:style>
  <w:style w:type="character" w:styleId="EndnoteReference">
    <w:name w:val="endnote reference"/>
    <w:basedOn w:val="DefaultParagraphFont"/>
    <w:uiPriority w:val="99"/>
    <w:semiHidden/>
    <w:unhideWhenUsed/>
    <w:rsid w:val="00FB1871"/>
    <w:rPr>
      <w:vertAlign w:val="superscript"/>
    </w:rPr>
  </w:style>
  <w:style w:type="paragraph" w:styleId="ListNumber">
    <w:name w:val="List Number"/>
    <w:basedOn w:val="Normal"/>
    <w:uiPriority w:val="99"/>
    <w:unhideWhenUsed/>
    <w:rsid w:val="00C23E04"/>
    <w:pPr>
      <w:numPr>
        <w:numId w:val="8"/>
      </w:numPr>
      <w:contextualSpacing/>
    </w:pPr>
  </w:style>
  <w:style w:type="character" w:customStyle="1" w:styleId="Block2addition">
    <w:name w:val="Block 2 addition"/>
    <w:uiPriority w:val="1"/>
    <w:qFormat/>
    <w:rsid w:val="00485858"/>
    <w:rPr>
      <w:rFonts w:ascii="Segoe UI" w:hAnsi="Segoe UI"/>
      <w:bdr w:val="none" w:sz="0" w:space="0" w:color="auto"/>
      <w:shd w:val="clear" w:color="auto" w:fill="EFEFEF" w:themeFill="accent5" w:themeFillTint="66"/>
    </w:rPr>
  </w:style>
  <w:style w:type="table" w:customStyle="1" w:styleId="BusinessRuleTable1">
    <w:name w:val="Business Rule Table1"/>
    <w:basedOn w:val="TableNormal"/>
    <w:uiPriority w:val="99"/>
    <w:rsid w:val="0008263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E2564" w:themeFill="text2" w:themeFillShade="BF"/>
      </w:tcPr>
    </w:tblStylePr>
    <w:tblStylePr w:type="lastRow">
      <w:rPr>
        <w:b/>
      </w:r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E2564" w:themeFill="text2" w:themeFillShade="BF"/>
      </w:tcPr>
    </w:tblStylePr>
  </w:style>
  <w:style w:type="character" w:customStyle="1" w:styleId="ListParagraphChar">
    <w:name w:val="List Paragraph Char"/>
    <w:aliases w:val="#List Paragraph Char,Recommendation Char,List Paragraph1 Char,List Paragraph11 Char,L Char,SAP Subpara Char,List Paragraph - bullet Char,List - bullet Char,List Paragraph - bullets Char,Use Case List Paragraph Char,Bullets Char"/>
    <w:basedOn w:val="DefaultParagraphFont"/>
    <w:link w:val="ListParagraph"/>
    <w:uiPriority w:val="34"/>
    <w:locked/>
    <w:rsid w:val="0059713E"/>
    <w:rPr>
      <w:rFonts w:ascii="Segoe UI" w:hAnsi="Segoe UI"/>
    </w:rPr>
  </w:style>
  <w:style w:type="paragraph" w:styleId="Revision">
    <w:name w:val="Revision"/>
    <w:hidden/>
    <w:uiPriority w:val="99"/>
    <w:semiHidden/>
    <w:rsid w:val="0024265A"/>
    <w:pPr>
      <w:spacing w:after="0" w:line="240" w:lineRule="auto"/>
    </w:pPr>
  </w:style>
  <w:style w:type="paragraph" w:customStyle="1" w:styleId="TableContents">
    <w:name w:val="Table Contents"/>
    <w:basedOn w:val="BodyText"/>
    <w:rsid w:val="00354345"/>
    <w:pPr>
      <w:widowControl w:val="0"/>
      <w:suppressAutoHyphens/>
      <w:spacing w:after="0"/>
    </w:pPr>
    <w:rPr>
      <w:rFonts w:ascii="Verdana" w:eastAsia="Verdana" w:hAnsi="Verdana" w:cs="Times New Roman"/>
      <w:sz w:val="20"/>
      <w:szCs w:val="20"/>
      <w:lang w:val="en-US" w:eastAsia="en-AU" w:bidi="he-IL"/>
    </w:rPr>
  </w:style>
  <w:style w:type="paragraph" w:styleId="BodyText">
    <w:name w:val="Body Text"/>
    <w:basedOn w:val="Normal"/>
    <w:link w:val="BodyTextChar"/>
    <w:uiPriority w:val="99"/>
    <w:unhideWhenUsed/>
    <w:rsid w:val="00354345"/>
  </w:style>
  <w:style w:type="character" w:customStyle="1" w:styleId="BodyTextChar">
    <w:name w:val="Body Text Char"/>
    <w:basedOn w:val="DefaultParagraphFont"/>
    <w:link w:val="BodyText"/>
    <w:uiPriority w:val="99"/>
    <w:rsid w:val="00354345"/>
  </w:style>
  <w:style w:type="paragraph" w:styleId="NormalWeb">
    <w:name w:val="Normal (Web)"/>
    <w:basedOn w:val="Normal"/>
    <w:uiPriority w:val="99"/>
    <w:unhideWhenUsed/>
    <w:rsid w:val="002F3827"/>
    <w:pPr>
      <w:spacing w:before="100" w:beforeAutospacing="1" w:after="100" w:afterAutospacing="1"/>
    </w:pPr>
    <w:rPr>
      <w:rFonts w:ascii="Times New Roman" w:eastAsiaTheme="minorHAnsi" w:hAnsi="Times New Roman" w:cs="Times New Roman"/>
      <w:sz w:val="24"/>
      <w:szCs w:val="24"/>
      <w:lang w:eastAsia="en-AU"/>
    </w:rPr>
  </w:style>
  <w:style w:type="paragraph" w:styleId="ListNumber2">
    <w:name w:val="List Number 2"/>
    <w:basedOn w:val="Normal"/>
    <w:uiPriority w:val="99"/>
    <w:unhideWhenUsed/>
    <w:rsid w:val="00367065"/>
    <w:pPr>
      <w:numPr>
        <w:numId w:val="9"/>
      </w:numPr>
      <w:contextualSpacing/>
    </w:pPr>
  </w:style>
  <w:style w:type="paragraph" w:customStyle="1" w:styleId="Heading-UserScenario">
    <w:name w:val="Heading - User Scenario"/>
    <w:basedOn w:val="Normal"/>
    <w:next w:val="Normal"/>
    <w:link w:val="Heading-UserScenarioChar"/>
    <w:qFormat/>
    <w:rsid w:val="00313AD9"/>
    <w:pPr>
      <w:spacing w:before="240"/>
      <w:outlineLvl w:val="1"/>
    </w:pPr>
    <w:rPr>
      <w:rFonts w:asciiTheme="majorHAnsi" w:eastAsiaTheme="majorEastAsia" w:hAnsiTheme="majorHAnsi" w:cstheme="majorBidi"/>
      <w:i/>
      <w:sz w:val="32"/>
      <w:szCs w:val="32"/>
    </w:rPr>
  </w:style>
  <w:style w:type="character" w:customStyle="1" w:styleId="Heading-UserScenarioChar">
    <w:name w:val="Heading - User Scenario Char"/>
    <w:basedOn w:val="Heading1Char"/>
    <w:link w:val="Heading-UserScenario"/>
    <w:rsid w:val="00313AD9"/>
    <w:rPr>
      <w:rFonts w:asciiTheme="majorHAnsi" w:eastAsiaTheme="majorEastAsia" w:hAnsiTheme="majorHAnsi" w:cstheme="majorBidi"/>
      <w:b w:val="0"/>
      <w:bCs w:val="0"/>
      <w:i/>
      <w:color w:val="133286" w:themeColor="text2"/>
      <w:sz w:val="32"/>
      <w:szCs w:val="32"/>
    </w:rPr>
  </w:style>
  <w:style w:type="paragraph" w:customStyle="1" w:styleId="Heading-UserStory">
    <w:name w:val="Heading - User Story"/>
    <w:basedOn w:val="Normal"/>
    <w:qFormat/>
    <w:rsid w:val="00313AD9"/>
    <w:pPr>
      <w:spacing w:before="240"/>
      <w:outlineLvl w:val="2"/>
    </w:pPr>
    <w:rPr>
      <w:rFonts w:asciiTheme="majorHAnsi" w:hAnsiTheme="majorHAnsi"/>
      <w:b/>
      <w:sz w:val="24"/>
    </w:rPr>
  </w:style>
  <w:style w:type="paragraph" w:customStyle="1" w:styleId="Heading-Task">
    <w:name w:val="Heading - Task"/>
    <w:basedOn w:val="Normal"/>
    <w:qFormat/>
    <w:rsid w:val="00313AD9"/>
    <w:pPr>
      <w:spacing w:before="240"/>
      <w:outlineLvl w:val="3"/>
    </w:pPr>
    <w:rPr>
      <w:rFonts w:asciiTheme="majorHAnsi" w:eastAsiaTheme="minorHAnsi" w:hAnsiTheme="majorHAnsi"/>
      <w:i/>
      <w:sz w:val="26"/>
      <w:szCs w:val="26"/>
    </w:rPr>
  </w:style>
  <w:style w:type="character" w:customStyle="1" w:styleId="long-sentence-color-highlight">
    <w:name w:val="long-sentence-color-highlight"/>
    <w:basedOn w:val="DefaultParagraphFont"/>
    <w:rsid w:val="00031094"/>
  </w:style>
  <w:style w:type="character" w:customStyle="1" w:styleId="passive-color-highlight">
    <w:name w:val="passive-color-highlight"/>
    <w:basedOn w:val="DefaultParagraphFont"/>
    <w:rsid w:val="00031094"/>
  </w:style>
  <w:style w:type="character" w:customStyle="1" w:styleId="verb-color-highlight">
    <w:name w:val="verb-color-highlight"/>
    <w:basedOn w:val="DefaultParagraphFont"/>
    <w:rsid w:val="00031094"/>
  </w:style>
  <w:style w:type="table" w:styleId="MediumShading2-Accent1">
    <w:name w:val="Medium Shading 2 Accent 1"/>
    <w:basedOn w:val="TableNormal"/>
    <w:uiPriority w:val="64"/>
    <w:rsid w:val="00802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A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8A2C" w:themeFill="accent1"/>
      </w:tcPr>
    </w:tblStylePr>
    <w:tblStylePr w:type="lastCol">
      <w:rPr>
        <w:b/>
        <w:bCs/>
        <w:color w:val="FFFFFF" w:themeColor="background1"/>
      </w:rPr>
      <w:tblPr/>
      <w:tcPr>
        <w:tcBorders>
          <w:left w:val="nil"/>
          <w:right w:val="nil"/>
          <w:insideH w:val="nil"/>
          <w:insideV w:val="nil"/>
        </w:tcBorders>
        <w:shd w:val="clear" w:color="auto" w:fill="5B8A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F71032"/>
    <w:pPr>
      <w:spacing w:after="0" w:line="240" w:lineRule="auto"/>
    </w:pPr>
    <w:rPr>
      <w:color w:val="A2A2A2" w:themeColor="accent5" w:themeShade="BF"/>
    </w:rPr>
    <w:tblPr>
      <w:tblStyleRowBandSize w:val="1"/>
      <w:tblStyleColBandSize w:val="1"/>
      <w:tblBorders>
        <w:top w:val="single" w:sz="8" w:space="0" w:color="D9D9D9" w:themeColor="accent5"/>
        <w:bottom w:val="single" w:sz="8" w:space="0" w:color="D9D9D9" w:themeColor="accent5"/>
      </w:tblBorders>
    </w:tblPr>
    <w:tblStylePr w:type="firstRow">
      <w:pPr>
        <w:spacing w:before="0" w:after="0" w:line="240" w:lineRule="auto"/>
      </w:pPr>
      <w:rPr>
        <w:b/>
        <w:bCs/>
      </w:rPr>
      <w:tblPr/>
      <w:tcPr>
        <w:tcBorders>
          <w:top w:val="single" w:sz="8" w:space="0" w:color="D9D9D9" w:themeColor="accent5"/>
          <w:left w:val="nil"/>
          <w:bottom w:val="single" w:sz="8" w:space="0" w:color="D9D9D9" w:themeColor="accent5"/>
          <w:right w:val="nil"/>
          <w:insideH w:val="nil"/>
          <w:insideV w:val="nil"/>
        </w:tcBorders>
      </w:tcPr>
    </w:tblStylePr>
    <w:tblStylePr w:type="lastRow">
      <w:pPr>
        <w:spacing w:before="0" w:after="0" w:line="240" w:lineRule="auto"/>
      </w:pPr>
      <w:rPr>
        <w:b/>
        <w:bCs/>
      </w:rPr>
      <w:tblPr/>
      <w:tcPr>
        <w:tcBorders>
          <w:top w:val="single" w:sz="8" w:space="0" w:color="D9D9D9" w:themeColor="accent5"/>
          <w:left w:val="nil"/>
          <w:bottom w:val="single" w:sz="8" w:space="0" w:color="D9D9D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5" w:themeFillTint="3F"/>
      </w:tcPr>
    </w:tblStylePr>
    <w:tblStylePr w:type="band1Horz">
      <w:tblPr/>
      <w:tcPr>
        <w:tcBorders>
          <w:left w:val="nil"/>
          <w:right w:val="nil"/>
          <w:insideH w:val="nil"/>
          <w:insideV w:val="nil"/>
        </w:tcBorders>
        <w:shd w:val="clear" w:color="auto" w:fill="F5F5F5" w:themeFill="accent5" w:themeFillTint="3F"/>
      </w:tcPr>
    </w:tblStylePr>
  </w:style>
  <w:style w:type="table" w:styleId="LightGrid-Accent5">
    <w:name w:val="Light Grid Accent 5"/>
    <w:basedOn w:val="TableNormal"/>
    <w:uiPriority w:val="62"/>
    <w:rsid w:val="00F71032"/>
    <w:pPr>
      <w:spacing w:after="0" w:line="240" w:lineRule="auto"/>
    </w:pPr>
    <w:tblPr>
      <w:tblStyleRowBandSize w:val="1"/>
      <w:tblStyleColBandSize w:val="1"/>
      <w:tblBorders>
        <w:top w:val="single" w:sz="8" w:space="0" w:color="D9D9D9" w:themeColor="accent5"/>
        <w:left w:val="single" w:sz="8" w:space="0" w:color="D9D9D9" w:themeColor="accent5"/>
        <w:bottom w:val="single" w:sz="8" w:space="0" w:color="D9D9D9" w:themeColor="accent5"/>
        <w:right w:val="single" w:sz="8" w:space="0" w:color="D9D9D9" w:themeColor="accent5"/>
        <w:insideH w:val="single" w:sz="8" w:space="0" w:color="D9D9D9" w:themeColor="accent5"/>
        <w:insideV w:val="single" w:sz="8" w:space="0" w:color="D9D9D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9D9" w:themeColor="accent5"/>
          <w:left w:val="single" w:sz="8" w:space="0" w:color="D9D9D9" w:themeColor="accent5"/>
          <w:bottom w:val="single" w:sz="18" w:space="0" w:color="D9D9D9" w:themeColor="accent5"/>
          <w:right w:val="single" w:sz="8" w:space="0" w:color="D9D9D9" w:themeColor="accent5"/>
          <w:insideH w:val="nil"/>
          <w:insideV w:val="single" w:sz="8" w:space="0" w:color="D9D9D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9D9" w:themeColor="accent5"/>
          <w:left w:val="single" w:sz="8" w:space="0" w:color="D9D9D9" w:themeColor="accent5"/>
          <w:bottom w:val="single" w:sz="8" w:space="0" w:color="D9D9D9" w:themeColor="accent5"/>
          <w:right w:val="single" w:sz="8" w:space="0" w:color="D9D9D9" w:themeColor="accent5"/>
          <w:insideH w:val="nil"/>
          <w:insideV w:val="single" w:sz="8" w:space="0" w:color="D9D9D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9D9" w:themeColor="accent5"/>
          <w:left w:val="single" w:sz="8" w:space="0" w:color="D9D9D9" w:themeColor="accent5"/>
          <w:bottom w:val="single" w:sz="8" w:space="0" w:color="D9D9D9" w:themeColor="accent5"/>
          <w:right w:val="single" w:sz="8" w:space="0" w:color="D9D9D9" w:themeColor="accent5"/>
        </w:tcBorders>
      </w:tcPr>
    </w:tblStylePr>
    <w:tblStylePr w:type="band1Vert">
      <w:tblPr/>
      <w:tcPr>
        <w:tcBorders>
          <w:top w:val="single" w:sz="8" w:space="0" w:color="D9D9D9" w:themeColor="accent5"/>
          <w:left w:val="single" w:sz="8" w:space="0" w:color="D9D9D9" w:themeColor="accent5"/>
          <w:bottom w:val="single" w:sz="8" w:space="0" w:color="D9D9D9" w:themeColor="accent5"/>
          <w:right w:val="single" w:sz="8" w:space="0" w:color="D9D9D9" w:themeColor="accent5"/>
        </w:tcBorders>
        <w:shd w:val="clear" w:color="auto" w:fill="F5F5F5" w:themeFill="accent5" w:themeFillTint="3F"/>
      </w:tcPr>
    </w:tblStylePr>
    <w:tblStylePr w:type="band1Horz">
      <w:tblPr/>
      <w:tcPr>
        <w:tcBorders>
          <w:top w:val="single" w:sz="8" w:space="0" w:color="D9D9D9" w:themeColor="accent5"/>
          <w:left w:val="single" w:sz="8" w:space="0" w:color="D9D9D9" w:themeColor="accent5"/>
          <w:bottom w:val="single" w:sz="8" w:space="0" w:color="D9D9D9" w:themeColor="accent5"/>
          <w:right w:val="single" w:sz="8" w:space="0" w:color="D9D9D9" w:themeColor="accent5"/>
          <w:insideV w:val="single" w:sz="8" w:space="0" w:color="D9D9D9" w:themeColor="accent5"/>
        </w:tcBorders>
        <w:shd w:val="clear" w:color="auto" w:fill="F5F5F5" w:themeFill="accent5" w:themeFillTint="3F"/>
      </w:tcPr>
    </w:tblStylePr>
    <w:tblStylePr w:type="band2Horz">
      <w:tblPr/>
      <w:tcPr>
        <w:tcBorders>
          <w:top w:val="single" w:sz="8" w:space="0" w:color="D9D9D9" w:themeColor="accent5"/>
          <w:left w:val="single" w:sz="8" w:space="0" w:color="D9D9D9" w:themeColor="accent5"/>
          <w:bottom w:val="single" w:sz="8" w:space="0" w:color="D9D9D9" w:themeColor="accent5"/>
          <w:right w:val="single" w:sz="8" w:space="0" w:color="D9D9D9" w:themeColor="accent5"/>
          <w:insideV w:val="single" w:sz="8" w:space="0" w:color="D9D9D9" w:themeColor="accent5"/>
        </w:tcBorders>
      </w:tcPr>
    </w:tblStylePr>
  </w:style>
  <w:style w:type="table" w:styleId="LightList-Accent4">
    <w:name w:val="Light List Accent 4"/>
    <w:basedOn w:val="TableNormal"/>
    <w:uiPriority w:val="61"/>
    <w:rsid w:val="00F71032"/>
    <w:pPr>
      <w:spacing w:after="0" w:line="240" w:lineRule="auto"/>
    </w:pPr>
    <w:tblPr>
      <w:tblStyleRowBandSize w:val="1"/>
      <w:tblStyleColBandSize w:val="1"/>
      <w:tblBorders>
        <w:top w:val="single" w:sz="8" w:space="0" w:color="413E67" w:themeColor="accent4"/>
        <w:left w:val="single" w:sz="8" w:space="0" w:color="413E67" w:themeColor="accent4"/>
        <w:bottom w:val="single" w:sz="8" w:space="0" w:color="413E67" w:themeColor="accent4"/>
        <w:right w:val="single" w:sz="8" w:space="0" w:color="413E67" w:themeColor="accent4"/>
      </w:tblBorders>
    </w:tblPr>
    <w:tblStylePr w:type="firstRow">
      <w:pPr>
        <w:spacing w:before="0" w:after="0" w:line="240" w:lineRule="auto"/>
      </w:pPr>
      <w:rPr>
        <w:b/>
        <w:bCs/>
        <w:color w:val="FFFFFF" w:themeColor="background1"/>
      </w:rPr>
      <w:tblPr/>
      <w:tcPr>
        <w:shd w:val="clear" w:color="auto" w:fill="413E67" w:themeFill="accent4"/>
      </w:tcPr>
    </w:tblStylePr>
    <w:tblStylePr w:type="lastRow">
      <w:pPr>
        <w:spacing w:before="0" w:after="0" w:line="240" w:lineRule="auto"/>
      </w:pPr>
      <w:rPr>
        <w:b/>
        <w:bCs/>
      </w:rPr>
      <w:tblPr/>
      <w:tcPr>
        <w:tcBorders>
          <w:top w:val="double" w:sz="6" w:space="0" w:color="413E67" w:themeColor="accent4"/>
          <w:left w:val="single" w:sz="8" w:space="0" w:color="413E67" w:themeColor="accent4"/>
          <w:bottom w:val="single" w:sz="8" w:space="0" w:color="413E67" w:themeColor="accent4"/>
          <w:right w:val="single" w:sz="8" w:space="0" w:color="413E67" w:themeColor="accent4"/>
        </w:tcBorders>
      </w:tcPr>
    </w:tblStylePr>
    <w:tblStylePr w:type="firstCol">
      <w:rPr>
        <w:b/>
        <w:bCs/>
      </w:rPr>
    </w:tblStylePr>
    <w:tblStylePr w:type="lastCol">
      <w:rPr>
        <w:b/>
        <w:bCs/>
      </w:rPr>
    </w:tblStylePr>
    <w:tblStylePr w:type="band1Vert">
      <w:tblPr/>
      <w:tcPr>
        <w:tcBorders>
          <w:top w:val="single" w:sz="8" w:space="0" w:color="413E67" w:themeColor="accent4"/>
          <w:left w:val="single" w:sz="8" w:space="0" w:color="413E67" w:themeColor="accent4"/>
          <w:bottom w:val="single" w:sz="8" w:space="0" w:color="413E67" w:themeColor="accent4"/>
          <w:right w:val="single" w:sz="8" w:space="0" w:color="413E67" w:themeColor="accent4"/>
        </w:tcBorders>
      </w:tcPr>
    </w:tblStylePr>
    <w:tblStylePr w:type="band1Horz">
      <w:tblPr/>
      <w:tcPr>
        <w:tcBorders>
          <w:top w:val="single" w:sz="8" w:space="0" w:color="413E67" w:themeColor="accent4"/>
          <w:left w:val="single" w:sz="8" w:space="0" w:color="413E67" w:themeColor="accent4"/>
          <w:bottom w:val="single" w:sz="8" w:space="0" w:color="413E67" w:themeColor="accent4"/>
          <w:right w:val="single" w:sz="8" w:space="0" w:color="413E67" w:themeColor="accent4"/>
        </w:tcBorders>
      </w:tcPr>
    </w:tblStylePr>
  </w:style>
  <w:style w:type="paragraph" w:customStyle="1" w:styleId="HTML">
    <w:name w:val="HTML"/>
    <w:basedOn w:val="HTMLAddress"/>
    <w:link w:val="HTMLChar"/>
    <w:qFormat/>
    <w:rsid w:val="00C81C37"/>
    <w:rPr>
      <w:i w:val="0"/>
      <w:color w:val="1208DC"/>
      <w:u w:val="single"/>
    </w:rPr>
  </w:style>
  <w:style w:type="character" w:customStyle="1" w:styleId="HTMLChar">
    <w:name w:val="HTML Char"/>
    <w:basedOn w:val="DefaultParagraphFont"/>
    <w:link w:val="HTML"/>
    <w:rsid w:val="00C81C37"/>
    <w:rPr>
      <w:rFonts w:ascii="Segoe UI" w:hAnsi="Segoe UI"/>
      <w:iCs/>
      <w:color w:val="1208DC"/>
      <w:u w:val="single"/>
    </w:rPr>
  </w:style>
  <w:style w:type="paragraph" w:styleId="HTMLAddress">
    <w:name w:val="HTML Address"/>
    <w:basedOn w:val="Normal"/>
    <w:link w:val="HTMLAddressChar"/>
    <w:uiPriority w:val="99"/>
    <w:semiHidden/>
    <w:unhideWhenUsed/>
    <w:rsid w:val="00C81C37"/>
    <w:pPr>
      <w:spacing w:after="0"/>
    </w:pPr>
    <w:rPr>
      <w:i/>
      <w:iCs/>
    </w:rPr>
  </w:style>
  <w:style w:type="character" w:customStyle="1" w:styleId="HTMLAddressChar">
    <w:name w:val="HTML Address Char"/>
    <w:basedOn w:val="DefaultParagraphFont"/>
    <w:link w:val="HTMLAddress"/>
    <w:uiPriority w:val="99"/>
    <w:semiHidden/>
    <w:rsid w:val="00C81C37"/>
    <w:rPr>
      <w:rFonts w:ascii="Segoe UI" w:hAnsi="Segoe UI"/>
      <w:i/>
      <w:iCs/>
    </w:rPr>
  </w:style>
  <w:style w:type="numbering" w:customStyle="1" w:styleId="StyleOutlinenumberedSymbolsymbol10ptLeft063cmHan">
    <w:name w:val="Style Outline numbered Symbol (symbol) 10 pt Left:  0.63 cm Han..."/>
    <w:basedOn w:val="NoList"/>
    <w:rsid w:val="006F61C9"/>
    <w:pPr>
      <w:numPr>
        <w:numId w:val="11"/>
      </w:numPr>
    </w:pPr>
  </w:style>
  <w:style w:type="paragraph" w:styleId="FootnoteText">
    <w:name w:val="footnote text"/>
    <w:basedOn w:val="Normal"/>
    <w:link w:val="FootnoteTextChar"/>
    <w:uiPriority w:val="99"/>
    <w:semiHidden/>
    <w:unhideWhenUsed/>
    <w:rsid w:val="000B5021"/>
    <w:pPr>
      <w:spacing w:before="0" w:after="0"/>
    </w:pPr>
    <w:rPr>
      <w:sz w:val="20"/>
      <w:szCs w:val="20"/>
    </w:rPr>
  </w:style>
  <w:style w:type="character" w:customStyle="1" w:styleId="FootnoteTextChar">
    <w:name w:val="Footnote Text Char"/>
    <w:basedOn w:val="DefaultParagraphFont"/>
    <w:link w:val="FootnoteText"/>
    <w:uiPriority w:val="99"/>
    <w:semiHidden/>
    <w:rsid w:val="000B5021"/>
    <w:rPr>
      <w:rFonts w:ascii="Segoe UI" w:hAnsi="Segoe UI"/>
      <w:sz w:val="20"/>
      <w:szCs w:val="20"/>
    </w:rPr>
  </w:style>
  <w:style w:type="character" w:styleId="FootnoteReference">
    <w:name w:val="footnote reference"/>
    <w:basedOn w:val="DefaultParagraphFont"/>
    <w:uiPriority w:val="99"/>
    <w:semiHidden/>
    <w:unhideWhenUsed/>
    <w:rsid w:val="000B5021"/>
    <w:rPr>
      <w:vertAlign w:val="superscript"/>
    </w:rPr>
  </w:style>
  <w:style w:type="numbering" w:customStyle="1" w:styleId="StyleBulletedSymbolsymbolCustomColorRGB1960134Left">
    <w:name w:val="Style Bulleted Symbol (symbol) Custom Color(RGB(1960134)) Left..."/>
    <w:basedOn w:val="NoList"/>
    <w:rsid w:val="00DB7E0B"/>
    <w:pPr>
      <w:numPr>
        <w:numId w:val="12"/>
      </w:numPr>
    </w:pPr>
  </w:style>
  <w:style w:type="character" w:customStyle="1" w:styleId="normaltextrun">
    <w:name w:val="normaltextrun"/>
    <w:basedOn w:val="DefaultParagraphFont"/>
    <w:rsid w:val="005364A6"/>
  </w:style>
  <w:style w:type="character" w:customStyle="1" w:styleId="eop">
    <w:name w:val="eop"/>
    <w:basedOn w:val="DefaultParagraphFont"/>
    <w:rsid w:val="005364A6"/>
  </w:style>
  <w:style w:type="paragraph" w:customStyle="1" w:styleId="MainHeading3">
    <w:name w:val="Main Heading 3"/>
    <w:basedOn w:val="Heading3"/>
    <w:qFormat/>
    <w:rsid w:val="00980FA0"/>
    <w:pPr>
      <w:keepNext/>
      <w:numPr>
        <w:ilvl w:val="0"/>
        <w:numId w:val="0"/>
      </w:numPr>
      <w:spacing w:before="480" w:after="120" w:line="360" w:lineRule="atLeast"/>
    </w:pPr>
    <w:rPr>
      <w:rFonts w:asciiTheme="minorHAnsi" w:eastAsia="Times New Roman" w:hAnsiTheme="minorHAnsi" w:cs="Arial"/>
      <w:b w:val="0"/>
      <w:color w:val="133286" w:themeColor="text2"/>
      <w:sz w:val="44"/>
      <w:szCs w:val="26"/>
      <w:lang w:val="en" w:eastAsia="en-AU"/>
    </w:rPr>
  </w:style>
  <w:style w:type="paragraph" w:customStyle="1" w:styleId="Bulleted">
    <w:name w:val="Bulleted"/>
    <w:basedOn w:val="ListParagraph"/>
    <w:link w:val="BulletedChar"/>
    <w:qFormat/>
    <w:rsid w:val="00B87355"/>
    <w:pPr>
      <w:numPr>
        <w:numId w:val="13"/>
      </w:numPr>
      <w:spacing w:before="0" w:line="360" w:lineRule="atLeast"/>
    </w:pPr>
    <w:rPr>
      <w:rFonts w:ascii="Microsoft Sans Serif" w:eastAsia="Times New Roman" w:hAnsi="Microsoft Sans Serif" w:cs="Times New Roman"/>
      <w:sz w:val="24"/>
      <w:szCs w:val="24"/>
    </w:rPr>
  </w:style>
  <w:style w:type="character" w:customStyle="1" w:styleId="BulletedChar">
    <w:name w:val="Bulleted Char"/>
    <w:basedOn w:val="DefaultParagraphFont"/>
    <w:link w:val="Bulleted"/>
    <w:rsid w:val="00B87355"/>
    <w:rPr>
      <w:rFonts w:ascii="Microsoft Sans Serif" w:eastAsia="Times New Roman" w:hAnsi="Microsoft Sans Serif" w:cs="Times New Roman"/>
      <w:sz w:val="24"/>
      <w:szCs w:val="24"/>
    </w:rPr>
  </w:style>
  <w:style w:type="paragraph" w:customStyle="1" w:styleId="paragraph">
    <w:name w:val="paragraph"/>
    <w:aliases w:val="a"/>
    <w:basedOn w:val="Normal"/>
    <w:rsid w:val="00F23435"/>
    <w:pPr>
      <w:tabs>
        <w:tab w:val="right" w:pos="1531"/>
      </w:tabs>
      <w:spacing w:before="40" w:after="0"/>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01">
      <w:bodyDiv w:val="1"/>
      <w:marLeft w:val="0"/>
      <w:marRight w:val="0"/>
      <w:marTop w:val="0"/>
      <w:marBottom w:val="0"/>
      <w:divBdr>
        <w:top w:val="none" w:sz="0" w:space="0" w:color="auto"/>
        <w:left w:val="none" w:sz="0" w:space="0" w:color="auto"/>
        <w:bottom w:val="none" w:sz="0" w:space="0" w:color="auto"/>
        <w:right w:val="none" w:sz="0" w:space="0" w:color="auto"/>
      </w:divBdr>
    </w:div>
    <w:div w:id="16931126">
      <w:bodyDiv w:val="1"/>
      <w:marLeft w:val="0"/>
      <w:marRight w:val="0"/>
      <w:marTop w:val="0"/>
      <w:marBottom w:val="0"/>
      <w:divBdr>
        <w:top w:val="none" w:sz="0" w:space="0" w:color="auto"/>
        <w:left w:val="none" w:sz="0" w:space="0" w:color="auto"/>
        <w:bottom w:val="none" w:sz="0" w:space="0" w:color="auto"/>
        <w:right w:val="none" w:sz="0" w:space="0" w:color="auto"/>
      </w:divBdr>
    </w:div>
    <w:div w:id="65762322">
      <w:bodyDiv w:val="1"/>
      <w:marLeft w:val="0"/>
      <w:marRight w:val="0"/>
      <w:marTop w:val="0"/>
      <w:marBottom w:val="0"/>
      <w:divBdr>
        <w:top w:val="none" w:sz="0" w:space="0" w:color="auto"/>
        <w:left w:val="none" w:sz="0" w:space="0" w:color="auto"/>
        <w:bottom w:val="none" w:sz="0" w:space="0" w:color="auto"/>
        <w:right w:val="none" w:sz="0" w:space="0" w:color="auto"/>
      </w:divBdr>
      <w:divsChild>
        <w:div w:id="859777324">
          <w:marLeft w:val="0"/>
          <w:marRight w:val="0"/>
          <w:marTop w:val="0"/>
          <w:marBottom w:val="0"/>
          <w:divBdr>
            <w:top w:val="single" w:sz="6" w:space="0" w:color="999999"/>
            <w:left w:val="single" w:sz="6" w:space="0" w:color="999999"/>
            <w:bottom w:val="single" w:sz="6" w:space="0" w:color="999999"/>
            <w:right w:val="single" w:sz="6" w:space="0" w:color="999999"/>
          </w:divBdr>
          <w:divsChild>
            <w:div w:id="1164470217">
              <w:marLeft w:val="0"/>
              <w:marRight w:val="0"/>
              <w:marTop w:val="0"/>
              <w:marBottom w:val="0"/>
              <w:divBdr>
                <w:top w:val="none" w:sz="0" w:space="0" w:color="auto"/>
                <w:left w:val="none" w:sz="0" w:space="0" w:color="auto"/>
                <w:bottom w:val="none" w:sz="0" w:space="0" w:color="auto"/>
                <w:right w:val="none" w:sz="0" w:space="0" w:color="auto"/>
              </w:divBdr>
              <w:divsChild>
                <w:div w:id="585650313">
                  <w:marLeft w:val="0"/>
                  <w:marRight w:val="0"/>
                  <w:marTop w:val="0"/>
                  <w:marBottom w:val="0"/>
                  <w:divBdr>
                    <w:top w:val="none" w:sz="0" w:space="0" w:color="auto"/>
                    <w:left w:val="none" w:sz="0" w:space="0" w:color="auto"/>
                    <w:bottom w:val="none" w:sz="0" w:space="0" w:color="auto"/>
                    <w:right w:val="none" w:sz="0" w:space="0" w:color="auto"/>
                  </w:divBdr>
                  <w:divsChild>
                    <w:div w:id="1393886312">
                      <w:marLeft w:val="0"/>
                      <w:marRight w:val="0"/>
                      <w:marTop w:val="0"/>
                      <w:marBottom w:val="0"/>
                      <w:divBdr>
                        <w:top w:val="none" w:sz="0" w:space="0" w:color="auto"/>
                        <w:left w:val="none" w:sz="0" w:space="0" w:color="auto"/>
                        <w:bottom w:val="none" w:sz="0" w:space="0" w:color="auto"/>
                        <w:right w:val="none" w:sz="0" w:space="0" w:color="auto"/>
                      </w:divBdr>
                      <w:divsChild>
                        <w:div w:id="1148126827">
                          <w:marLeft w:val="0"/>
                          <w:marRight w:val="0"/>
                          <w:marTop w:val="0"/>
                          <w:marBottom w:val="0"/>
                          <w:divBdr>
                            <w:top w:val="none" w:sz="0" w:space="0" w:color="auto"/>
                            <w:left w:val="none" w:sz="0" w:space="0" w:color="auto"/>
                            <w:bottom w:val="none" w:sz="0" w:space="0" w:color="auto"/>
                            <w:right w:val="none" w:sz="0" w:space="0" w:color="auto"/>
                          </w:divBdr>
                          <w:divsChild>
                            <w:div w:id="16155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2839">
      <w:bodyDiv w:val="1"/>
      <w:marLeft w:val="0"/>
      <w:marRight w:val="0"/>
      <w:marTop w:val="0"/>
      <w:marBottom w:val="0"/>
      <w:divBdr>
        <w:top w:val="none" w:sz="0" w:space="0" w:color="auto"/>
        <w:left w:val="none" w:sz="0" w:space="0" w:color="auto"/>
        <w:bottom w:val="none" w:sz="0" w:space="0" w:color="auto"/>
        <w:right w:val="none" w:sz="0" w:space="0" w:color="auto"/>
      </w:divBdr>
    </w:div>
    <w:div w:id="139003491">
      <w:bodyDiv w:val="1"/>
      <w:marLeft w:val="0"/>
      <w:marRight w:val="0"/>
      <w:marTop w:val="0"/>
      <w:marBottom w:val="0"/>
      <w:divBdr>
        <w:top w:val="none" w:sz="0" w:space="0" w:color="auto"/>
        <w:left w:val="none" w:sz="0" w:space="0" w:color="auto"/>
        <w:bottom w:val="none" w:sz="0" w:space="0" w:color="auto"/>
        <w:right w:val="none" w:sz="0" w:space="0" w:color="auto"/>
      </w:divBdr>
    </w:div>
    <w:div w:id="250091325">
      <w:bodyDiv w:val="1"/>
      <w:marLeft w:val="0"/>
      <w:marRight w:val="0"/>
      <w:marTop w:val="0"/>
      <w:marBottom w:val="0"/>
      <w:divBdr>
        <w:top w:val="none" w:sz="0" w:space="0" w:color="auto"/>
        <w:left w:val="none" w:sz="0" w:space="0" w:color="auto"/>
        <w:bottom w:val="none" w:sz="0" w:space="0" w:color="auto"/>
        <w:right w:val="none" w:sz="0" w:space="0" w:color="auto"/>
      </w:divBdr>
      <w:divsChild>
        <w:div w:id="275917596">
          <w:marLeft w:val="446"/>
          <w:marRight w:val="0"/>
          <w:marTop w:val="0"/>
          <w:marBottom w:val="0"/>
          <w:divBdr>
            <w:top w:val="none" w:sz="0" w:space="0" w:color="auto"/>
            <w:left w:val="none" w:sz="0" w:space="0" w:color="auto"/>
            <w:bottom w:val="none" w:sz="0" w:space="0" w:color="auto"/>
            <w:right w:val="none" w:sz="0" w:space="0" w:color="auto"/>
          </w:divBdr>
        </w:div>
        <w:div w:id="455100318">
          <w:marLeft w:val="446"/>
          <w:marRight w:val="0"/>
          <w:marTop w:val="0"/>
          <w:marBottom w:val="0"/>
          <w:divBdr>
            <w:top w:val="none" w:sz="0" w:space="0" w:color="auto"/>
            <w:left w:val="none" w:sz="0" w:space="0" w:color="auto"/>
            <w:bottom w:val="none" w:sz="0" w:space="0" w:color="auto"/>
            <w:right w:val="none" w:sz="0" w:space="0" w:color="auto"/>
          </w:divBdr>
        </w:div>
        <w:div w:id="555704018">
          <w:marLeft w:val="446"/>
          <w:marRight w:val="0"/>
          <w:marTop w:val="0"/>
          <w:marBottom w:val="0"/>
          <w:divBdr>
            <w:top w:val="none" w:sz="0" w:space="0" w:color="auto"/>
            <w:left w:val="none" w:sz="0" w:space="0" w:color="auto"/>
            <w:bottom w:val="none" w:sz="0" w:space="0" w:color="auto"/>
            <w:right w:val="none" w:sz="0" w:space="0" w:color="auto"/>
          </w:divBdr>
        </w:div>
        <w:div w:id="746070747">
          <w:marLeft w:val="446"/>
          <w:marRight w:val="0"/>
          <w:marTop w:val="0"/>
          <w:marBottom w:val="0"/>
          <w:divBdr>
            <w:top w:val="none" w:sz="0" w:space="0" w:color="auto"/>
            <w:left w:val="none" w:sz="0" w:space="0" w:color="auto"/>
            <w:bottom w:val="none" w:sz="0" w:space="0" w:color="auto"/>
            <w:right w:val="none" w:sz="0" w:space="0" w:color="auto"/>
          </w:divBdr>
        </w:div>
        <w:div w:id="1507675931">
          <w:marLeft w:val="446"/>
          <w:marRight w:val="0"/>
          <w:marTop w:val="0"/>
          <w:marBottom w:val="0"/>
          <w:divBdr>
            <w:top w:val="none" w:sz="0" w:space="0" w:color="auto"/>
            <w:left w:val="none" w:sz="0" w:space="0" w:color="auto"/>
            <w:bottom w:val="none" w:sz="0" w:space="0" w:color="auto"/>
            <w:right w:val="none" w:sz="0" w:space="0" w:color="auto"/>
          </w:divBdr>
        </w:div>
        <w:div w:id="1574244273">
          <w:marLeft w:val="446"/>
          <w:marRight w:val="0"/>
          <w:marTop w:val="0"/>
          <w:marBottom w:val="0"/>
          <w:divBdr>
            <w:top w:val="none" w:sz="0" w:space="0" w:color="auto"/>
            <w:left w:val="none" w:sz="0" w:space="0" w:color="auto"/>
            <w:bottom w:val="none" w:sz="0" w:space="0" w:color="auto"/>
            <w:right w:val="none" w:sz="0" w:space="0" w:color="auto"/>
          </w:divBdr>
        </w:div>
        <w:div w:id="1735811883">
          <w:marLeft w:val="446"/>
          <w:marRight w:val="0"/>
          <w:marTop w:val="0"/>
          <w:marBottom w:val="0"/>
          <w:divBdr>
            <w:top w:val="none" w:sz="0" w:space="0" w:color="auto"/>
            <w:left w:val="none" w:sz="0" w:space="0" w:color="auto"/>
            <w:bottom w:val="none" w:sz="0" w:space="0" w:color="auto"/>
            <w:right w:val="none" w:sz="0" w:space="0" w:color="auto"/>
          </w:divBdr>
        </w:div>
      </w:divsChild>
    </w:div>
    <w:div w:id="314914337">
      <w:bodyDiv w:val="1"/>
      <w:marLeft w:val="0"/>
      <w:marRight w:val="0"/>
      <w:marTop w:val="0"/>
      <w:marBottom w:val="0"/>
      <w:divBdr>
        <w:top w:val="none" w:sz="0" w:space="0" w:color="auto"/>
        <w:left w:val="none" w:sz="0" w:space="0" w:color="auto"/>
        <w:bottom w:val="none" w:sz="0" w:space="0" w:color="auto"/>
        <w:right w:val="none" w:sz="0" w:space="0" w:color="auto"/>
      </w:divBdr>
    </w:div>
    <w:div w:id="346952151">
      <w:bodyDiv w:val="1"/>
      <w:marLeft w:val="0"/>
      <w:marRight w:val="0"/>
      <w:marTop w:val="0"/>
      <w:marBottom w:val="0"/>
      <w:divBdr>
        <w:top w:val="none" w:sz="0" w:space="0" w:color="auto"/>
        <w:left w:val="none" w:sz="0" w:space="0" w:color="auto"/>
        <w:bottom w:val="none" w:sz="0" w:space="0" w:color="auto"/>
        <w:right w:val="none" w:sz="0" w:space="0" w:color="auto"/>
      </w:divBdr>
    </w:div>
    <w:div w:id="505828677">
      <w:bodyDiv w:val="1"/>
      <w:marLeft w:val="0"/>
      <w:marRight w:val="0"/>
      <w:marTop w:val="0"/>
      <w:marBottom w:val="0"/>
      <w:divBdr>
        <w:top w:val="none" w:sz="0" w:space="0" w:color="auto"/>
        <w:left w:val="none" w:sz="0" w:space="0" w:color="auto"/>
        <w:bottom w:val="none" w:sz="0" w:space="0" w:color="auto"/>
        <w:right w:val="none" w:sz="0" w:space="0" w:color="auto"/>
      </w:divBdr>
    </w:div>
    <w:div w:id="568735291">
      <w:bodyDiv w:val="1"/>
      <w:marLeft w:val="0"/>
      <w:marRight w:val="0"/>
      <w:marTop w:val="0"/>
      <w:marBottom w:val="0"/>
      <w:divBdr>
        <w:top w:val="none" w:sz="0" w:space="0" w:color="auto"/>
        <w:left w:val="none" w:sz="0" w:space="0" w:color="auto"/>
        <w:bottom w:val="none" w:sz="0" w:space="0" w:color="auto"/>
        <w:right w:val="none" w:sz="0" w:space="0" w:color="auto"/>
      </w:divBdr>
    </w:div>
    <w:div w:id="650519158">
      <w:bodyDiv w:val="1"/>
      <w:marLeft w:val="0"/>
      <w:marRight w:val="0"/>
      <w:marTop w:val="0"/>
      <w:marBottom w:val="0"/>
      <w:divBdr>
        <w:top w:val="none" w:sz="0" w:space="0" w:color="auto"/>
        <w:left w:val="none" w:sz="0" w:space="0" w:color="auto"/>
        <w:bottom w:val="none" w:sz="0" w:space="0" w:color="auto"/>
        <w:right w:val="none" w:sz="0" w:space="0" w:color="auto"/>
      </w:divBdr>
    </w:div>
    <w:div w:id="706950515">
      <w:bodyDiv w:val="1"/>
      <w:marLeft w:val="0"/>
      <w:marRight w:val="0"/>
      <w:marTop w:val="0"/>
      <w:marBottom w:val="0"/>
      <w:divBdr>
        <w:top w:val="none" w:sz="0" w:space="0" w:color="auto"/>
        <w:left w:val="none" w:sz="0" w:space="0" w:color="auto"/>
        <w:bottom w:val="none" w:sz="0" w:space="0" w:color="auto"/>
        <w:right w:val="none" w:sz="0" w:space="0" w:color="auto"/>
      </w:divBdr>
    </w:div>
    <w:div w:id="712539817">
      <w:bodyDiv w:val="1"/>
      <w:marLeft w:val="0"/>
      <w:marRight w:val="0"/>
      <w:marTop w:val="0"/>
      <w:marBottom w:val="0"/>
      <w:divBdr>
        <w:top w:val="none" w:sz="0" w:space="0" w:color="auto"/>
        <w:left w:val="none" w:sz="0" w:space="0" w:color="auto"/>
        <w:bottom w:val="none" w:sz="0" w:space="0" w:color="auto"/>
        <w:right w:val="none" w:sz="0" w:space="0" w:color="auto"/>
      </w:divBdr>
    </w:div>
    <w:div w:id="723722033">
      <w:bodyDiv w:val="1"/>
      <w:marLeft w:val="0"/>
      <w:marRight w:val="0"/>
      <w:marTop w:val="0"/>
      <w:marBottom w:val="0"/>
      <w:divBdr>
        <w:top w:val="none" w:sz="0" w:space="0" w:color="auto"/>
        <w:left w:val="none" w:sz="0" w:space="0" w:color="auto"/>
        <w:bottom w:val="none" w:sz="0" w:space="0" w:color="auto"/>
        <w:right w:val="none" w:sz="0" w:space="0" w:color="auto"/>
      </w:divBdr>
    </w:div>
    <w:div w:id="805047146">
      <w:bodyDiv w:val="1"/>
      <w:marLeft w:val="0"/>
      <w:marRight w:val="0"/>
      <w:marTop w:val="0"/>
      <w:marBottom w:val="0"/>
      <w:divBdr>
        <w:top w:val="none" w:sz="0" w:space="0" w:color="auto"/>
        <w:left w:val="none" w:sz="0" w:space="0" w:color="auto"/>
        <w:bottom w:val="none" w:sz="0" w:space="0" w:color="auto"/>
        <w:right w:val="none" w:sz="0" w:space="0" w:color="auto"/>
      </w:divBdr>
    </w:div>
    <w:div w:id="856040542">
      <w:bodyDiv w:val="1"/>
      <w:marLeft w:val="0"/>
      <w:marRight w:val="0"/>
      <w:marTop w:val="0"/>
      <w:marBottom w:val="0"/>
      <w:divBdr>
        <w:top w:val="none" w:sz="0" w:space="0" w:color="auto"/>
        <w:left w:val="none" w:sz="0" w:space="0" w:color="auto"/>
        <w:bottom w:val="none" w:sz="0" w:space="0" w:color="auto"/>
        <w:right w:val="none" w:sz="0" w:space="0" w:color="auto"/>
      </w:divBdr>
    </w:div>
    <w:div w:id="877014077">
      <w:bodyDiv w:val="1"/>
      <w:marLeft w:val="0"/>
      <w:marRight w:val="0"/>
      <w:marTop w:val="0"/>
      <w:marBottom w:val="0"/>
      <w:divBdr>
        <w:top w:val="none" w:sz="0" w:space="0" w:color="auto"/>
        <w:left w:val="none" w:sz="0" w:space="0" w:color="auto"/>
        <w:bottom w:val="none" w:sz="0" w:space="0" w:color="auto"/>
        <w:right w:val="none" w:sz="0" w:space="0" w:color="auto"/>
      </w:divBdr>
    </w:div>
    <w:div w:id="946349806">
      <w:bodyDiv w:val="1"/>
      <w:marLeft w:val="0"/>
      <w:marRight w:val="0"/>
      <w:marTop w:val="0"/>
      <w:marBottom w:val="0"/>
      <w:divBdr>
        <w:top w:val="none" w:sz="0" w:space="0" w:color="auto"/>
        <w:left w:val="none" w:sz="0" w:space="0" w:color="auto"/>
        <w:bottom w:val="none" w:sz="0" w:space="0" w:color="auto"/>
        <w:right w:val="none" w:sz="0" w:space="0" w:color="auto"/>
      </w:divBdr>
    </w:div>
    <w:div w:id="967316429">
      <w:bodyDiv w:val="1"/>
      <w:marLeft w:val="0"/>
      <w:marRight w:val="0"/>
      <w:marTop w:val="0"/>
      <w:marBottom w:val="0"/>
      <w:divBdr>
        <w:top w:val="none" w:sz="0" w:space="0" w:color="auto"/>
        <w:left w:val="none" w:sz="0" w:space="0" w:color="auto"/>
        <w:bottom w:val="none" w:sz="0" w:space="0" w:color="auto"/>
        <w:right w:val="none" w:sz="0" w:space="0" w:color="auto"/>
      </w:divBdr>
      <w:divsChild>
        <w:div w:id="380403460">
          <w:marLeft w:val="446"/>
          <w:marRight w:val="0"/>
          <w:marTop w:val="0"/>
          <w:marBottom w:val="0"/>
          <w:divBdr>
            <w:top w:val="none" w:sz="0" w:space="0" w:color="auto"/>
            <w:left w:val="none" w:sz="0" w:space="0" w:color="auto"/>
            <w:bottom w:val="none" w:sz="0" w:space="0" w:color="auto"/>
            <w:right w:val="none" w:sz="0" w:space="0" w:color="auto"/>
          </w:divBdr>
        </w:div>
        <w:div w:id="394209224">
          <w:marLeft w:val="446"/>
          <w:marRight w:val="0"/>
          <w:marTop w:val="0"/>
          <w:marBottom w:val="0"/>
          <w:divBdr>
            <w:top w:val="none" w:sz="0" w:space="0" w:color="auto"/>
            <w:left w:val="none" w:sz="0" w:space="0" w:color="auto"/>
            <w:bottom w:val="none" w:sz="0" w:space="0" w:color="auto"/>
            <w:right w:val="none" w:sz="0" w:space="0" w:color="auto"/>
          </w:divBdr>
        </w:div>
        <w:div w:id="831263059">
          <w:marLeft w:val="446"/>
          <w:marRight w:val="0"/>
          <w:marTop w:val="0"/>
          <w:marBottom w:val="0"/>
          <w:divBdr>
            <w:top w:val="none" w:sz="0" w:space="0" w:color="auto"/>
            <w:left w:val="none" w:sz="0" w:space="0" w:color="auto"/>
            <w:bottom w:val="none" w:sz="0" w:space="0" w:color="auto"/>
            <w:right w:val="none" w:sz="0" w:space="0" w:color="auto"/>
          </w:divBdr>
        </w:div>
        <w:div w:id="1027634047">
          <w:marLeft w:val="446"/>
          <w:marRight w:val="0"/>
          <w:marTop w:val="0"/>
          <w:marBottom w:val="0"/>
          <w:divBdr>
            <w:top w:val="none" w:sz="0" w:space="0" w:color="auto"/>
            <w:left w:val="none" w:sz="0" w:space="0" w:color="auto"/>
            <w:bottom w:val="none" w:sz="0" w:space="0" w:color="auto"/>
            <w:right w:val="none" w:sz="0" w:space="0" w:color="auto"/>
          </w:divBdr>
        </w:div>
        <w:div w:id="1126855529">
          <w:marLeft w:val="446"/>
          <w:marRight w:val="0"/>
          <w:marTop w:val="0"/>
          <w:marBottom w:val="0"/>
          <w:divBdr>
            <w:top w:val="none" w:sz="0" w:space="0" w:color="auto"/>
            <w:left w:val="none" w:sz="0" w:space="0" w:color="auto"/>
            <w:bottom w:val="none" w:sz="0" w:space="0" w:color="auto"/>
            <w:right w:val="none" w:sz="0" w:space="0" w:color="auto"/>
          </w:divBdr>
        </w:div>
        <w:div w:id="1195076406">
          <w:marLeft w:val="446"/>
          <w:marRight w:val="0"/>
          <w:marTop w:val="0"/>
          <w:marBottom w:val="0"/>
          <w:divBdr>
            <w:top w:val="none" w:sz="0" w:space="0" w:color="auto"/>
            <w:left w:val="none" w:sz="0" w:space="0" w:color="auto"/>
            <w:bottom w:val="none" w:sz="0" w:space="0" w:color="auto"/>
            <w:right w:val="none" w:sz="0" w:space="0" w:color="auto"/>
          </w:divBdr>
        </w:div>
        <w:div w:id="1348675868">
          <w:marLeft w:val="446"/>
          <w:marRight w:val="0"/>
          <w:marTop w:val="0"/>
          <w:marBottom w:val="0"/>
          <w:divBdr>
            <w:top w:val="none" w:sz="0" w:space="0" w:color="auto"/>
            <w:left w:val="none" w:sz="0" w:space="0" w:color="auto"/>
            <w:bottom w:val="none" w:sz="0" w:space="0" w:color="auto"/>
            <w:right w:val="none" w:sz="0" w:space="0" w:color="auto"/>
          </w:divBdr>
        </w:div>
        <w:div w:id="1359237226">
          <w:marLeft w:val="446"/>
          <w:marRight w:val="0"/>
          <w:marTop w:val="0"/>
          <w:marBottom w:val="0"/>
          <w:divBdr>
            <w:top w:val="none" w:sz="0" w:space="0" w:color="auto"/>
            <w:left w:val="none" w:sz="0" w:space="0" w:color="auto"/>
            <w:bottom w:val="none" w:sz="0" w:space="0" w:color="auto"/>
            <w:right w:val="none" w:sz="0" w:space="0" w:color="auto"/>
          </w:divBdr>
        </w:div>
        <w:div w:id="1521747254">
          <w:marLeft w:val="446"/>
          <w:marRight w:val="0"/>
          <w:marTop w:val="0"/>
          <w:marBottom w:val="0"/>
          <w:divBdr>
            <w:top w:val="none" w:sz="0" w:space="0" w:color="auto"/>
            <w:left w:val="none" w:sz="0" w:space="0" w:color="auto"/>
            <w:bottom w:val="none" w:sz="0" w:space="0" w:color="auto"/>
            <w:right w:val="none" w:sz="0" w:space="0" w:color="auto"/>
          </w:divBdr>
        </w:div>
        <w:div w:id="1612544562">
          <w:marLeft w:val="446"/>
          <w:marRight w:val="0"/>
          <w:marTop w:val="0"/>
          <w:marBottom w:val="0"/>
          <w:divBdr>
            <w:top w:val="none" w:sz="0" w:space="0" w:color="auto"/>
            <w:left w:val="none" w:sz="0" w:space="0" w:color="auto"/>
            <w:bottom w:val="none" w:sz="0" w:space="0" w:color="auto"/>
            <w:right w:val="none" w:sz="0" w:space="0" w:color="auto"/>
          </w:divBdr>
        </w:div>
        <w:div w:id="1651402482">
          <w:marLeft w:val="446"/>
          <w:marRight w:val="0"/>
          <w:marTop w:val="0"/>
          <w:marBottom w:val="0"/>
          <w:divBdr>
            <w:top w:val="none" w:sz="0" w:space="0" w:color="auto"/>
            <w:left w:val="none" w:sz="0" w:space="0" w:color="auto"/>
            <w:bottom w:val="none" w:sz="0" w:space="0" w:color="auto"/>
            <w:right w:val="none" w:sz="0" w:space="0" w:color="auto"/>
          </w:divBdr>
        </w:div>
        <w:div w:id="1651473343">
          <w:marLeft w:val="446"/>
          <w:marRight w:val="0"/>
          <w:marTop w:val="0"/>
          <w:marBottom w:val="0"/>
          <w:divBdr>
            <w:top w:val="none" w:sz="0" w:space="0" w:color="auto"/>
            <w:left w:val="none" w:sz="0" w:space="0" w:color="auto"/>
            <w:bottom w:val="none" w:sz="0" w:space="0" w:color="auto"/>
            <w:right w:val="none" w:sz="0" w:space="0" w:color="auto"/>
          </w:divBdr>
        </w:div>
        <w:div w:id="1944915429">
          <w:marLeft w:val="446"/>
          <w:marRight w:val="0"/>
          <w:marTop w:val="0"/>
          <w:marBottom w:val="0"/>
          <w:divBdr>
            <w:top w:val="none" w:sz="0" w:space="0" w:color="auto"/>
            <w:left w:val="none" w:sz="0" w:space="0" w:color="auto"/>
            <w:bottom w:val="none" w:sz="0" w:space="0" w:color="auto"/>
            <w:right w:val="none" w:sz="0" w:space="0" w:color="auto"/>
          </w:divBdr>
        </w:div>
        <w:div w:id="1967075748">
          <w:marLeft w:val="446"/>
          <w:marRight w:val="0"/>
          <w:marTop w:val="0"/>
          <w:marBottom w:val="0"/>
          <w:divBdr>
            <w:top w:val="none" w:sz="0" w:space="0" w:color="auto"/>
            <w:left w:val="none" w:sz="0" w:space="0" w:color="auto"/>
            <w:bottom w:val="none" w:sz="0" w:space="0" w:color="auto"/>
            <w:right w:val="none" w:sz="0" w:space="0" w:color="auto"/>
          </w:divBdr>
        </w:div>
      </w:divsChild>
    </w:div>
    <w:div w:id="1086196155">
      <w:bodyDiv w:val="1"/>
      <w:marLeft w:val="0"/>
      <w:marRight w:val="0"/>
      <w:marTop w:val="0"/>
      <w:marBottom w:val="0"/>
      <w:divBdr>
        <w:top w:val="none" w:sz="0" w:space="0" w:color="auto"/>
        <w:left w:val="none" w:sz="0" w:space="0" w:color="auto"/>
        <w:bottom w:val="none" w:sz="0" w:space="0" w:color="auto"/>
        <w:right w:val="none" w:sz="0" w:space="0" w:color="auto"/>
      </w:divBdr>
    </w:div>
    <w:div w:id="1098595897">
      <w:bodyDiv w:val="1"/>
      <w:marLeft w:val="0"/>
      <w:marRight w:val="0"/>
      <w:marTop w:val="0"/>
      <w:marBottom w:val="0"/>
      <w:divBdr>
        <w:top w:val="none" w:sz="0" w:space="0" w:color="auto"/>
        <w:left w:val="none" w:sz="0" w:space="0" w:color="auto"/>
        <w:bottom w:val="none" w:sz="0" w:space="0" w:color="auto"/>
        <w:right w:val="none" w:sz="0" w:space="0" w:color="auto"/>
      </w:divBdr>
    </w:div>
    <w:div w:id="1118765089">
      <w:bodyDiv w:val="1"/>
      <w:marLeft w:val="0"/>
      <w:marRight w:val="0"/>
      <w:marTop w:val="0"/>
      <w:marBottom w:val="0"/>
      <w:divBdr>
        <w:top w:val="none" w:sz="0" w:space="0" w:color="auto"/>
        <w:left w:val="none" w:sz="0" w:space="0" w:color="auto"/>
        <w:bottom w:val="none" w:sz="0" w:space="0" w:color="auto"/>
        <w:right w:val="none" w:sz="0" w:space="0" w:color="auto"/>
      </w:divBdr>
      <w:divsChild>
        <w:div w:id="149559496">
          <w:marLeft w:val="446"/>
          <w:marRight w:val="0"/>
          <w:marTop w:val="0"/>
          <w:marBottom w:val="0"/>
          <w:divBdr>
            <w:top w:val="none" w:sz="0" w:space="0" w:color="auto"/>
            <w:left w:val="none" w:sz="0" w:space="0" w:color="auto"/>
            <w:bottom w:val="none" w:sz="0" w:space="0" w:color="auto"/>
            <w:right w:val="none" w:sz="0" w:space="0" w:color="auto"/>
          </w:divBdr>
        </w:div>
        <w:div w:id="161822990">
          <w:marLeft w:val="446"/>
          <w:marRight w:val="0"/>
          <w:marTop w:val="0"/>
          <w:marBottom w:val="0"/>
          <w:divBdr>
            <w:top w:val="none" w:sz="0" w:space="0" w:color="auto"/>
            <w:left w:val="none" w:sz="0" w:space="0" w:color="auto"/>
            <w:bottom w:val="none" w:sz="0" w:space="0" w:color="auto"/>
            <w:right w:val="none" w:sz="0" w:space="0" w:color="auto"/>
          </w:divBdr>
        </w:div>
        <w:div w:id="408814864">
          <w:marLeft w:val="446"/>
          <w:marRight w:val="0"/>
          <w:marTop w:val="0"/>
          <w:marBottom w:val="0"/>
          <w:divBdr>
            <w:top w:val="none" w:sz="0" w:space="0" w:color="auto"/>
            <w:left w:val="none" w:sz="0" w:space="0" w:color="auto"/>
            <w:bottom w:val="none" w:sz="0" w:space="0" w:color="auto"/>
            <w:right w:val="none" w:sz="0" w:space="0" w:color="auto"/>
          </w:divBdr>
        </w:div>
        <w:div w:id="692927023">
          <w:marLeft w:val="446"/>
          <w:marRight w:val="0"/>
          <w:marTop w:val="0"/>
          <w:marBottom w:val="0"/>
          <w:divBdr>
            <w:top w:val="none" w:sz="0" w:space="0" w:color="auto"/>
            <w:left w:val="none" w:sz="0" w:space="0" w:color="auto"/>
            <w:bottom w:val="none" w:sz="0" w:space="0" w:color="auto"/>
            <w:right w:val="none" w:sz="0" w:space="0" w:color="auto"/>
          </w:divBdr>
        </w:div>
        <w:div w:id="876353689">
          <w:marLeft w:val="446"/>
          <w:marRight w:val="0"/>
          <w:marTop w:val="0"/>
          <w:marBottom w:val="0"/>
          <w:divBdr>
            <w:top w:val="none" w:sz="0" w:space="0" w:color="auto"/>
            <w:left w:val="none" w:sz="0" w:space="0" w:color="auto"/>
            <w:bottom w:val="none" w:sz="0" w:space="0" w:color="auto"/>
            <w:right w:val="none" w:sz="0" w:space="0" w:color="auto"/>
          </w:divBdr>
        </w:div>
        <w:div w:id="1009483607">
          <w:marLeft w:val="446"/>
          <w:marRight w:val="0"/>
          <w:marTop w:val="0"/>
          <w:marBottom w:val="0"/>
          <w:divBdr>
            <w:top w:val="none" w:sz="0" w:space="0" w:color="auto"/>
            <w:left w:val="none" w:sz="0" w:space="0" w:color="auto"/>
            <w:bottom w:val="none" w:sz="0" w:space="0" w:color="auto"/>
            <w:right w:val="none" w:sz="0" w:space="0" w:color="auto"/>
          </w:divBdr>
        </w:div>
        <w:div w:id="1224170699">
          <w:marLeft w:val="446"/>
          <w:marRight w:val="0"/>
          <w:marTop w:val="0"/>
          <w:marBottom w:val="0"/>
          <w:divBdr>
            <w:top w:val="none" w:sz="0" w:space="0" w:color="auto"/>
            <w:left w:val="none" w:sz="0" w:space="0" w:color="auto"/>
            <w:bottom w:val="none" w:sz="0" w:space="0" w:color="auto"/>
            <w:right w:val="none" w:sz="0" w:space="0" w:color="auto"/>
          </w:divBdr>
        </w:div>
        <w:div w:id="1286159725">
          <w:marLeft w:val="446"/>
          <w:marRight w:val="0"/>
          <w:marTop w:val="0"/>
          <w:marBottom w:val="0"/>
          <w:divBdr>
            <w:top w:val="none" w:sz="0" w:space="0" w:color="auto"/>
            <w:left w:val="none" w:sz="0" w:space="0" w:color="auto"/>
            <w:bottom w:val="none" w:sz="0" w:space="0" w:color="auto"/>
            <w:right w:val="none" w:sz="0" w:space="0" w:color="auto"/>
          </w:divBdr>
        </w:div>
        <w:div w:id="1372533771">
          <w:marLeft w:val="446"/>
          <w:marRight w:val="0"/>
          <w:marTop w:val="0"/>
          <w:marBottom w:val="0"/>
          <w:divBdr>
            <w:top w:val="none" w:sz="0" w:space="0" w:color="auto"/>
            <w:left w:val="none" w:sz="0" w:space="0" w:color="auto"/>
            <w:bottom w:val="none" w:sz="0" w:space="0" w:color="auto"/>
            <w:right w:val="none" w:sz="0" w:space="0" w:color="auto"/>
          </w:divBdr>
        </w:div>
        <w:div w:id="1501430383">
          <w:marLeft w:val="446"/>
          <w:marRight w:val="0"/>
          <w:marTop w:val="0"/>
          <w:marBottom w:val="0"/>
          <w:divBdr>
            <w:top w:val="none" w:sz="0" w:space="0" w:color="auto"/>
            <w:left w:val="none" w:sz="0" w:space="0" w:color="auto"/>
            <w:bottom w:val="none" w:sz="0" w:space="0" w:color="auto"/>
            <w:right w:val="none" w:sz="0" w:space="0" w:color="auto"/>
          </w:divBdr>
        </w:div>
        <w:div w:id="1716931735">
          <w:marLeft w:val="446"/>
          <w:marRight w:val="0"/>
          <w:marTop w:val="0"/>
          <w:marBottom w:val="0"/>
          <w:divBdr>
            <w:top w:val="none" w:sz="0" w:space="0" w:color="auto"/>
            <w:left w:val="none" w:sz="0" w:space="0" w:color="auto"/>
            <w:bottom w:val="none" w:sz="0" w:space="0" w:color="auto"/>
            <w:right w:val="none" w:sz="0" w:space="0" w:color="auto"/>
          </w:divBdr>
        </w:div>
        <w:div w:id="2085296945">
          <w:marLeft w:val="446"/>
          <w:marRight w:val="0"/>
          <w:marTop w:val="0"/>
          <w:marBottom w:val="0"/>
          <w:divBdr>
            <w:top w:val="none" w:sz="0" w:space="0" w:color="auto"/>
            <w:left w:val="none" w:sz="0" w:space="0" w:color="auto"/>
            <w:bottom w:val="none" w:sz="0" w:space="0" w:color="auto"/>
            <w:right w:val="none" w:sz="0" w:space="0" w:color="auto"/>
          </w:divBdr>
        </w:div>
      </w:divsChild>
    </w:div>
    <w:div w:id="1125999463">
      <w:bodyDiv w:val="1"/>
      <w:marLeft w:val="0"/>
      <w:marRight w:val="0"/>
      <w:marTop w:val="0"/>
      <w:marBottom w:val="0"/>
      <w:divBdr>
        <w:top w:val="none" w:sz="0" w:space="0" w:color="auto"/>
        <w:left w:val="none" w:sz="0" w:space="0" w:color="auto"/>
        <w:bottom w:val="none" w:sz="0" w:space="0" w:color="auto"/>
        <w:right w:val="none" w:sz="0" w:space="0" w:color="auto"/>
      </w:divBdr>
    </w:div>
    <w:div w:id="1176578491">
      <w:bodyDiv w:val="1"/>
      <w:marLeft w:val="0"/>
      <w:marRight w:val="0"/>
      <w:marTop w:val="0"/>
      <w:marBottom w:val="0"/>
      <w:divBdr>
        <w:top w:val="none" w:sz="0" w:space="0" w:color="auto"/>
        <w:left w:val="none" w:sz="0" w:space="0" w:color="auto"/>
        <w:bottom w:val="none" w:sz="0" w:space="0" w:color="auto"/>
        <w:right w:val="none" w:sz="0" w:space="0" w:color="auto"/>
      </w:divBdr>
    </w:div>
    <w:div w:id="1197500101">
      <w:bodyDiv w:val="1"/>
      <w:marLeft w:val="0"/>
      <w:marRight w:val="0"/>
      <w:marTop w:val="0"/>
      <w:marBottom w:val="0"/>
      <w:divBdr>
        <w:top w:val="none" w:sz="0" w:space="0" w:color="auto"/>
        <w:left w:val="none" w:sz="0" w:space="0" w:color="auto"/>
        <w:bottom w:val="none" w:sz="0" w:space="0" w:color="auto"/>
        <w:right w:val="none" w:sz="0" w:space="0" w:color="auto"/>
      </w:divBdr>
    </w:div>
    <w:div w:id="1325547667">
      <w:bodyDiv w:val="1"/>
      <w:marLeft w:val="0"/>
      <w:marRight w:val="0"/>
      <w:marTop w:val="0"/>
      <w:marBottom w:val="0"/>
      <w:divBdr>
        <w:top w:val="none" w:sz="0" w:space="0" w:color="auto"/>
        <w:left w:val="none" w:sz="0" w:space="0" w:color="auto"/>
        <w:bottom w:val="none" w:sz="0" w:space="0" w:color="auto"/>
        <w:right w:val="none" w:sz="0" w:space="0" w:color="auto"/>
      </w:divBdr>
    </w:div>
    <w:div w:id="1475020916">
      <w:bodyDiv w:val="1"/>
      <w:marLeft w:val="0"/>
      <w:marRight w:val="0"/>
      <w:marTop w:val="0"/>
      <w:marBottom w:val="0"/>
      <w:divBdr>
        <w:top w:val="none" w:sz="0" w:space="0" w:color="auto"/>
        <w:left w:val="none" w:sz="0" w:space="0" w:color="auto"/>
        <w:bottom w:val="none" w:sz="0" w:space="0" w:color="auto"/>
        <w:right w:val="none" w:sz="0" w:space="0" w:color="auto"/>
      </w:divBdr>
    </w:div>
    <w:div w:id="1496800895">
      <w:bodyDiv w:val="1"/>
      <w:marLeft w:val="0"/>
      <w:marRight w:val="0"/>
      <w:marTop w:val="0"/>
      <w:marBottom w:val="0"/>
      <w:divBdr>
        <w:top w:val="none" w:sz="0" w:space="0" w:color="auto"/>
        <w:left w:val="none" w:sz="0" w:space="0" w:color="auto"/>
        <w:bottom w:val="none" w:sz="0" w:space="0" w:color="auto"/>
        <w:right w:val="none" w:sz="0" w:space="0" w:color="auto"/>
      </w:divBdr>
    </w:div>
    <w:div w:id="1529369896">
      <w:bodyDiv w:val="1"/>
      <w:marLeft w:val="0"/>
      <w:marRight w:val="0"/>
      <w:marTop w:val="0"/>
      <w:marBottom w:val="0"/>
      <w:divBdr>
        <w:top w:val="none" w:sz="0" w:space="0" w:color="auto"/>
        <w:left w:val="none" w:sz="0" w:space="0" w:color="auto"/>
        <w:bottom w:val="none" w:sz="0" w:space="0" w:color="auto"/>
        <w:right w:val="none" w:sz="0" w:space="0" w:color="auto"/>
      </w:divBdr>
      <w:divsChild>
        <w:div w:id="350300328">
          <w:marLeft w:val="0"/>
          <w:marRight w:val="0"/>
          <w:marTop w:val="0"/>
          <w:marBottom w:val="0"/>
          <w:divBdr>
            <w:top w:val="single" w:sz="6" w:space="0" w:color="999999"/>
            <w:left w:val="single" w:sz="6" w:space="0" w:color="999999"/>
            <w:bottom w:val="single" w:sz="6" w:space="0" w:color="999999"/>
            <w:right w:val="single" w:sz="6" w:space="0" w:color="999999"/>
          </w:divBdr>
          <w:divsChild>
            <w:div w:id="432214244">
              <w:marLeft w:val="0"/>
              <w:marRight w:val="0"/>
              <w:marTop w:val="0"/>
              <w:marBottom w:val="0"/>
              <w:divBdr>
                <w:top w:val="none" w:sz="0" w:space="0" w:color="auto"/>
                <w:left w:val="none" w:sz="0" w:space="0" w:color="auto"/>
                <w:bottom w:val="none" w:sz="0" w:space="0" w:color="auto"/>
                <w:right w:val="none" w:sz="0" w:space="0" w:color="auto"/>
              </w:divBdr>
              <w:divsChild>
                <w:div w:id="1796632654">
                  <w:marLeft w:val="0"/>
                  <w:marRight w:val="0"/>
                  <w:marTop w:val="0"/>
                  <w:marBottom w:val="0"/>
                  <w:divBdr>
                    <w:top w:val="none" w:sz="0" w:space="0" w:color="auto"/>
                    <w:left w:val="none" w:sz="0" w:space="0" w:color="auto"/>
                    <w:bottom w:val="none" w:sz="0" w:space="0" w:color="auto"/>
                    <w:right w:val="none" w:sz="0" w:space="0" w:color="auto"/>
                  </w:divBdr>
                  <w:divsChild>
                    <w:div w:id="859701831">
                      <w:marLeft w:val="0"/>
                      <w:marRight w:val="0"/>
                      <w:marTop w:val="0"/>
                      <w:marBottom w:val="0"/>
                      <w:divBdr>
                        <w:top w:val="none" w:sz="0" w:space="0" w:color="auto"/>
                        <w:left w:val="none" w:sz="0" w:space="0" w:color="auto"/>
                        <w:bottom w:val="none" w:sz="0" w:space="0" w:color="auto"/>
                        <w:right w:val="none" w:sz="0" w:space="0" w:color="auto"/>
                      </w:divBdr>
                      <w:divsChild>
                        <w:div w:id="1450973080">
                          <w:marLeft w:val="0"/>
                          <w:marRight w:val="0"/>
                          <w:marTop w:val="0"/>
                          <w:marBottom w:val="0"/>
                          <w:divBdr>
                            <w:top w:val="none" w:sz="0" w:space="0" w:color="auto"/>
                            <w:left w:val="none" w:sz="0" w:space="0" w:color="auto"/>
                            <w:bottom w:val="none" w:sz="0" w:space="0" w:color="auto"/>
                            <w:right w:val="none" w:sz="0" w:space="0" w:color="auto"/>
                          </w:divBdr>
                          <w:divsChild>
                            <w:div w:id="185604435">
                              <w:marLeft w:val="0"/>
                              <w:marRight w:val="0"/>
                              <w:marTop w:val="0"/>
                              <w:marBottom w:val="0"/>
                              <w:divBdr>
                                <w:top w:val="none" w:sz="0" w:space="0" w:color="auto"/>
                                <w:left w:val="none" w:sz="0" w:space="0" w:color="auto"/>
                                <w:bottom w:val="none" w:sz="0" w:space="0" w:color="auto"/>
                                <w:right w:val="none" w:sz="0" w:space="0" w:color="auto"/>
                              </w:divBdr>
                            </w:div>
                            <w:div w:id="9447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40439">
      <w:bodyDiv w:val="1"/>
      <w:marLeft w:val="0"/>
      <w:marRight w:val="0"/>
      <w:marTop w:val="0"/>
      <w:marBottom w:val="0"/>
      <w:divBdr>
        <w:top w:val="none" w:sz="0" w:space="0" w:color="auto"/>
        <w:left w:val="none" w:sz="0" w:space="0" w:color="auto"/>
        <w:bottom w:val="none" w:sz="0" w:space="0" w:color="auto"/>
        <w:right w:val="none" w:sz="0" w:space="0" w:color="auto"/>
      </w:divBdr>
    </w:div>
    <w:div w:id="1541741683">
      <w:bodyDiv w:val="1"/>
      <w:marLeft w:val="0"/>
      <w:marRight w:val="0"/>
      <w:marTop w:val="0"/>
      <w:marBottom w:val="0"/>
      <w:divBdr>
        <w:top w:val="none" w:sz="0" w:space="0" w:color="auto"/>
        <w:left w:val="none" w:sz="0" w:space="0" w:color="auto"/>
        <w:bottom w:val="none" w:sz="0" w:space="0" w:color="auto"/>
        <w:right w:val="none" w:sz="0" w:space="0" w:color="auto"/>
      </w:divBdr>
    </w:div>
    <w:div w:id="1545361237">
      <w:bodyDiv w:val="1"/>
      <w:marLeft w:val="0"/>
      <w:marRight w:val="0"/>
      <w:marTop w:val="0"/>
      <w:marBottom w:val="0"/>
      <w:divBdr>
        <w:top w:val="none" w:sz="0" w:space="0" w:color="auto"/>
        <w:left w:val="none" w:sz="0" w:space="0" w:color="auto"/>
        <w:bottom w:val="none" w:sz="0" w:space="0" w:color="auto"/>
        <w:right w:val="none" w:sz="0" w:space="0" w:color="auto"/>
      </w:divBdr>
    </w:div>
    <w:div w:id="1566144828">
      <w:bodyDiv w:val="1"/>
      <w:marLeft w:val="0"/>
      <w:marRight w:val="0"/>
      <w:marTop w:val="0"/>
      <w:marBottom w:val="0"/>
      <w:divBdr>
        <w:top w:val="none" w:sz="0" w:space="0" w:color="auto"/>
        <w:left w:val="none" w:sz="0" w:space="0" w:color="auto"/>
        <w:bottom w:val="none" w:sz="0" w:space="0" w:color="auto"/>
        <w:right w:val="none" w:sz="0" w:space="0" w:color="auto"/>
      </w:divBdr>
    </w:div>
    <w:div w:id="1595672584">
      <w:bodyDiv w:val="1"/>
      <w:marLeft w:val="0"/>
      <w:marRight w:val="0"/>
      <w:marTop w:val="0"/>
      <w:marBottom w:val="0"/>
      <w:divBdr>
        <w:top w:val="none" w:sz="0" w:space="0" w:color="auto"/>
        <w:left w:val="none" w:sz="0" w:space="0" w:color="auto"/>
        <w:bottom w:val="none" w:sz="0" w:space="0" w:color="auto"/>
        <w:right w:val="none" w:sz="0" w:space="0" w:color="auto"/>
      </w:divBdr>
      <w:divsChild>
        <w:div w:id="297730625">
          <w:marLeft w:val="446"/>
          <w:marRight w:val="0"/>
          <w:marTop w:val="0"/>
          <w:marBottom w:val="0"/>
          <w:divBdr>
            <w:top w:val="none" w:sz="0" w:space="0" w:color="auto"/>
            <w:left w:val="none" w:sz="0" w:space="0" w:color="auto"/>
            <w:bottom w:val="none" w:sz="0" w:space="0" w:color="auto"/>
            <w:right w:val="none" w:sz="0" w:space="0" w:color="auto"/>
          </w:divBdr>
        </w:div>
        <w:div w:id="637303609">
          <w:marLeft w:val="446"/>
          <w:marRight w:val="0"/>
          <w:marTop w:val="0"/>
          <w:marBottom w:val="0"/>
          <w:divBdr>
            <w:top w:val="none" w:sz="0" w:space="0" w:color="auto"/>
            <w:left w:val="none" w:sz="0" w:space="0" w:color="auto"/>
            <w:bottom w:val="none" w:sz="0" w:space="0" w:color="auto"/>
            <w:right w:val="none" w:sz="0" w:space="0" w:color="auto"/>
          </w:divBdr>
        </w:div>
        <w:div w:id="762148807">
          <w:marLeft w:val="446"/>
          <w:marRight w:val="0"/>
          <w:marTop w:val="0"/>
          <w:marBottom w:val="0"/>
          <w:divBdr>
            <w:top w:val="none" w:sz="0" w:space="0" w:color="auto"/>
            <w:left w:val="none" w:sz="0" w:space="0" w:color="auto"/>
            <w:bottom w:val="none" w:sz="0" w:space="0" w:color="auto"/>
            <w:right w:val="none" w:sz="0" w:space="0" w:color="auto"/>
          </w:divBdr>
        </w:div>
        <w:div w:id="965086784">
          <w:marLeft w:val="446"/>
          <w:marRight w:val="0"/>
          <w:marTop w:val="0"/>
          <w:marBottom w:val="0"/>
          <w:divBdr>
            <w:top w:val="none" w:sz="0" w:space="0" w:color="auto"/>
            <w:left w:val="none" w:sz="0" w:space="0" w:color="auto"/>
            <w:bottom w:val="none" w:sz="0" w:space="0" w:color="auto"/>
            <w:right w:val="none" w:sz="0" w:space="0" w:color="auto"/>
          </w:divBdr>
        </w:div>
        <w:div w:id="1370911560">
          <w:marLeft w:val="446"/>
          <w:marRight w:val="0"/>
          <w:marTop w:val="0"/>
          <w:marBottom w:val="0"/>
          <w:divBdr>
            <w:top w:val="none" w:sz="0" w:space="0" w:color="auto"/>
            <w:left w:val="none" w:sz="0" w:space="0" w:color="auto"/>
            <w:bottom w:val="none" w:sz="0" w:space="0" w:color="auto"/>
            <w:right w:val="none" w:sz="0" w:space="0" w:color="auto"/>
          </w:divBdr>
        </w:div>
        <w:div w:id="1395348436">
          <w:marLeft w:val="446"/>
          <w:marRight w:val="0"/>
          <w:marTop w:val="0"/>
          <w:marBottom w:val="0"/>
          <w:divBdr>
            <w:top w:val="none" w:sz="0" w:space="0" w:color="auto"/>
            <w:left w:val="none" w:sz="0" w:space="0" w:color="auto"/>
            <w:bottom w:val="none" w:sz="0" w:space="0" w:color="auto"/>
            <w:right w:val="none" w:sz="0" w:space="0" w:color="auto"/>
          </w:divBdr>
        </w:div>
        <w:div w:id="1797217009">
          <w:marLeft w:val="446"/>
          <w:marRight w:val="0"/>
          <w:marTop w:val="0"/>
          <w:marBottom w:val="0"/>
          <w:divBdr>
            <w:top w:val="none" w:sz="0" w:space="0" w:color="auto"/>
            <w:left w:val="none" w:sz="0" w:space="0" w:color="auto"/>
            <w:bottom w:val="none" w:sz="0" w:space="0" w:color="auto"/>
            <w:right w:val="none" w:sz="0" w:space="0" w:color="auto"/>
          </w:divBdr>
        </w:div>
        <w:div w:id="2062094837">
          <w:marLeft w:val="446"/>
          <w:marRight w:val="0"/>
          <w:marTop w:val="0"/>
          <w:marBottom w:val="0"/>
          <w:divBdr>
            <w:top w:val="none" w:sz="0" w:space="0" w:color="auto"/>
            <w:left w:val="none" w:sz="0" w:space="0" w:color="auto"/>
            <w:bottom w:val="none" w:sz="0" w:space="0" w:color="auto"/>
            <w:right w:val="none" w:sz="0" w:space="0" w:color="auto"/>
          </w:divBdr>
        </w:div>
      </w:divsChild>
    </w:div>
    <w:div w:id="1620067557">
      <w:bodyDiv w:val="1"/>
      <w:marLeft w:val="0"/>
      <w:marRight w:val="0"/>
      <w:marTop w:val="0"/>
      <w:marBottom w:val="0"/>
      <w:divBdr>
        <w:top w:val="none" w:sz="0" w:space="0" w:color="auto"/>
        <w:left w:val="none" w:sz="0" w:space="0" w:color="auto"/>
        <w:bottom w:val="none" w:sz="0" w:space="0" w:color="auto"/>
        <w:right w:val="none" w:sz="0" w:space="0" w:color="auto"/>
      </w:divBdr>
    </w:div>
    <w:div w:id="1637904245">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771974291">
      <w:bodyDiv w:val="1"/>
      <w:marLeft w:val="0"/>
      <w:marRight w:val="0"/>
      <w:marTop w:val="0"/>
      <w:marBottom w:val="0"/>
      <w:divBdr>
        <w:top w:val="none" w:sz="0" w:space="0" w:color="auto"/>
        <w:left w:val="none" w:sz="0" w:space="0" w:color="auto"/>
        <w:bottom w:val="none" w:sz="0" w:space="0" w:color="auto"/>
        <w:right w:val="none" w:sz="0" w:space="0" w:color="auto"/>
      </w:divBdr>
      <w:divsChild>
        <w:div w:id="1605501574">
          <w:marLeft w:val="0"/>
          <w:marRight w:val="0"/>
          <w:marTop w:val="0"/>
          <w:marBottom w:val="0"/>
          <w:divBdr>
            <w:top w:val="single" w:sz="6" w:space="0" w:color="999999"/>
            <w:left w:val="single" w:sz="6" w:space="0" w:color="999999"/>
            <w:bottom w:val="single" w:sz="6" w:space="0" w:color="999999"/>
            <w:right w:val="single" w:sz="6" w:space="0" w:color="999999"/>
          </w:divBdr>
          <w:divsChild>
            <w:div w:id="1804156571">
              <w:marLeft w:val="0"/>
              <w:marRight w:val="0"/>
              <w:marTop w:val="0"/>
              <w:marBottom w:val="0"/>
              <w:divBdr>
                <w:top w:val="none" w:sz="0" w:space="0" w:color="auto"/>
                <w:left w:val="none" w:sz="0" w:space="0" w:color="auto"/>
                <w:bottom w:val="none" w:sz="0" w:space="0" w:color="auto"/>
                <w:right w:val="none" w:sz="0" w:space="0" w:color="auto"/>
              </w:divBdr>
              <w:divsChild>
                <w:div w:id="1519000691">
                  <w:marLeft w:val="0"/>
                  <w:marRight w:val="0"/>
                  <w:marTop w:val="0"/>
                  <w:marBottom w:val="0"/>
                  <w:divBdr>
                    <w:top w:val="none" w:sz="0" w:space="0" w:color="auto"/>
                    <w:left w:val="none" w:sz="0" w:space="0" w:color="auto"/>
                    <w:bottom w:val="none" w:sz="0" w:space="0" w:color="auto"/>
                    <w:right w:val="none" w:sz="0" w:space="0" w:color="auto"/>
                  </w:divBdr>
                  <w:divsChild>
                    <w:div w:id="277299660">
                      <w:marLeft w:val="0"/>
                      <w:marRight w:val="0"/>
                      <w:marTop w:val="0"/>
                      <w:marBottom w:val="0"/>
                      <w:divBdr>
                        <w:top w:val="none" w:sz="0" w:space="0" w:color="auto"/>
                        <w:left w:val="none" w:sz="0" w:space="0" w:color="auto"/>
                        <w:bottom w:val="none" w:sz="0" w:space="0" w:color="auto"/>
                        <w:right w:val="none" w:sz="0" w:space="0" w:color="auto"/>
                      </w:divBdr>
                      <w:divsChild>
                        <w:div w:id="840048122">
                          <w:marLeft w:val="0"/>
                          <w:marRight w:val="0"/>
                          <w:marTop w:val="0"/>
                          <w:marBottom w:val="0"/>
                          <w:divBdr>
                            <w:top w:val="none" w:sz="0" w:space="0" w:color="auto"/>
                            <w:left w:val="none" w:sz="0" w:space="0" w:color="auto"/>
                            <w:bottom w:val="none" w:sz="0" w:space="0" w:color="auto"/>
                            <w:right w:val="none" w:sz="0" w:space="0" w:color="auto"/>
                          </w:divBdr>
                          <w:divsChild>
                            <w:div w:id="553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559651">
      <w:bodyDiv w:val="1"/>
      <w:marLeft w:val="0"/>
      <w:marRight w:val="0"/>
      <w:marTop w:val="0"/>
      <w:marBottom w:val="0"/>
      <w:divBdr>
        <w:top w:val="none" w:sz="0" w:space="0" w:color="auto"/>
        <w:left w:val="none" w:sz="0" w:space="0" w:color="auto"/>
        <w:bottom w:val="none" w:sz="0" w:space="0" w:color="auto"/>
        <w:right w:val="none" w:sz="0" w:space="0" w:color="auto"/>
      </w:divBdr>
    </w:div>
    <w:div w:id="1928878327">
      <w:bodyDiv w:val="1"/>
      <w:marLeft w:val="0"/>
      <w:marRight w:val="0"/>
      <w:marTop w:val="0"/>
      <w:marBottom w:val="0"/>
      <w:divBdr>
        <w:top w:val="none" w:sz="0" w:space="0" w:color="auto"/>
        <w:left w:val="none" w:sz="0" w:space="0" w:color="auto"/>
        <w:bottom w:val="none" w:sz="0" w:space="0" w:color="auto"/>
        <w:right w:val="none" w:sz="0" w:space="0" w:color="auto"/>
      </w:divBdr>
    </w:div>
    <w:div w:id="1935018731">
      <w:bodyDiv w:val="1"/>
      <w:marLeft w:val="0"/>
      <w:marRight w:val="0"/>
      <w:marTop w:val="0"/>
      <w:marBottom w:val="0"/>
      <w:divBdr>
        <w:top w:val="none" w:sz="0" w:space="0" w:color="auto"/>
        <w:left w:val="none" w:sz="0" w:space="0" w:color="auto"/>
        <w:bottom w:val="none" w:sz="0" w:space="0" w:color="auto"/>
        <w:right w:val="none" w:sz="0" w:space="0" w:color="auto"/>
      </w:divBdr>
    </w:div>
    <w:div w:id="1994211561">
      <w:bodyDiv w:val="1"/>
      <w:marLeft w:val="0"/>
      <w:marRight w:val="0"/>
      <w:marTop w:val="0"/>
      <w:marBottom w:val="0"/>
      <w:divBdr>
        <w:top w:val="none" w:sz="0" w:space="0" w:color="auto"/>
        <w:left w:val="none" w:sz="0" w:space="0" w:color="auto"/>
        <w:bottom w:val="none" w:sz="0" w:space="0" w:color="auto"/>
        <w:right w:val="none" w:sz="0" w:space="0" w:color="auto"/>
      </w:divBdr>
    </w:div>
    <w:div w:id="2011835316">
      <w:bodyDiv w:val="1"/>
      <w:marLeft w:val="0"/>
      <w:marRight w:val="0"/>
      <w:marTop w:val="0"/>
      <w:marBottom w:val="0"/>
      <w:divBdr>
        <w:top w:val="none" w:sz="0" w:space="0" w:color="auto"/>
        <w:left w:val="none" w:sz="0" w:space="0" w:color="auto"/>
        <w:bottom w:val="none" w:sz="0" w:space="0" w:color="auto"/>
        <w:right w:val="none" w:sz="0" w:space="0" w:color="auto"/>
      </w:divBdr>
    </w:div>
    <w:div w:id="2031561573">
      <w:bodyDiv w:val="1"/>
      <w:marLeft w:val="0"/>
      <w:marRight w:val="0"/>
      <w:marTop w:val="0"/>
      <w:marBottom w:val="0"/>
      <w:divBdr>
        <w:top w:val="none" w:sz="0" w:space="0" w:color="auto"/>
        <w:left w:val="none" w:sz="0" w:space="0" w:color="auto"/>
        <w:bottom w:val="none" w:sz="0" w:space="0" w:color="auto"/>
        <w:right w:val="none" w:sz="0" w:space="0" w:color="auto"/>
      </w:divBdr>
      <w:divsChild>
        <w:div w:id="293146433">
          <w:marLeft w:val="446"/>
          <w:marRight w:val="0"/>
          <w:marTop w:val="0"/>
          <w:marBottom w:val="0"/>
          <w:divBdr>
            <w:top w:val="none" w:sz="0" w:space="0" w:color="auto"/>
            <w:left w:val="none" w:sz="0" w:space="0" w:color="auto"/>
            <w:bottom w:val="none" w:sz="0" w:space="0" w:color="auto"/>
            <w:right w:val="none" w:sz="0" w:space="0" w:color="auto"/>
          </w:divBdr>
        </w:div>
        <w:div w:id="645429320">
          <w:marLeft w:val="446"/>
          <w:marRight w:val="0"/>
          <w:marTop w:val="0"/>
          <w:marBottom w:val="0"/>
          <w:divBdr>
            <w:top w:val="none" w:sz="0" w:space="0" w:color="auto"/>
            <w:left w:val="none" w:sz="0" w:space="0" w:color="auto"/>
            <w:bottom w:val="none" w:sz="0" w:space="0" w:color="auto"/>
            <w:right w:val="none" w:sz="0" w:space="0" w:color="auto"/>
          </w:divBdr>
        </w:div>
        <w:div w:id="1026638304">
          <w:marLeft w:val="446"/>
          <w:marRight w:val="0"/>
          <w:marTop w:val="0"/>
          <w:marBottom w:val="0"/>
          <w:divBdr>
            <w:top w:val="none" w:sz="0" w:space="0" w:color="auto"/>
            <w:left w:val="none" w:sz="0" w:space="0" w:color="auto"/>
            <w:bottom w:val="none" w:sz="0" w:space="0" w:color="auto"/>
            <w:right w:val="none" w:sz="0" w:space="0" w:color="auto"/>
          </w:divBdr>
        </w:div>
        <w:div w:id="1101031685">
          <w:marLeft w:val="446"/>
          <w:marRight w:val="0"/>
          <w:marTop w:val="0"/>
          <w:marBottom w:val="0"/>
          <w:divBdr>
            <w:top w:val="none" w:sz="0" w:space="0" w:color="auto"/>
            <w:left w:val="none" w:sz="0" w:space="0" w:color="auto"/>
            <w:bottom w:val="none" w:sz="0" w:space="0" w:color="auto"/>
            <w:right w:val="none" w:sz="0" w:space="0" w:color="auto"/>
          </w:divBdr>
        </w:div>
        <w:div w:id="1662152267">
          <w:marLeft w:val="446"/>
          <w:marRight w:val="0"/>
          <w:marTop w:val="0"/>
          <w:marBottom w:val="0"/>
          <w:divBdr>
            <w:top w:val="none" w:sz="0" w:space="0" w:color="auto"/>
            <w:left w:val="none" w:sz="0" w:space="0" w:color="auto"/>
            <w:bottom w:val="none" w:sz="0" w:space="0" w:color="auto"/>
            <w:right w:val="none" w:sz="0" w:space="0" w:color="auto"/>
          </w:divBdr>
        </w:div>
      </w:divsChild>
    </w:div>
    <w:div w:id="2036273986">
      <w:bodyDiv w:val="1"/>
      <w:marLeft w:val="0"/>
      <w:marRight w:val="0"/>
      <w:marTop w:val="0"/>
      <w:marBottom w:val="0"/>
      <w:divBdr>
        <w:top w:val="none" w:sz="0" w:space="0" w:color="auto"/>
        <w:left w:val="none" w:sz="0" w:space="0" w:color="auto"/>
        <w:bottom w:val="none" w:sz="0" w:space="0" w:color="auto"/>
        <w:right w:val="none" w:sz="0" w:space="0" w:color="auto"/>
      </w:divBdr>
    </w:div>
    <w:div w:id="2061127937">
      <w:bodyDiv w:val="1"/>
      <w:marLeft w:val="0"/>
      <w:marRight w:val="0"/>
      <w:marTop w:val="0"/>
      <w:marBottom w:val="0"/>
      <w:divBdr>
        <w:top w:val="none" w:sz="0" w:space="0" w:color="auto"/>
        <w:left w:val="none" w:sz="0" w:space="0" w:color="auto"/>
        <w:bottom w:val="none" w:sz="0" w:space="0" w:color="auto"/>
        <w:right w:val="none" w:sz="0" w:space="0" w:color="auto"/>
      </w:divBdr>
    </w:div>
    <w:div w:id="21167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oecd-ilibrary.org/content/book/9789264070707-en" TargetMode="External"/><Relationship Id="rId39" Type="http://schemas.openxmlformats.org/officeDocument/2006/relationships/hyperlink" Target="http://www.nite.go.jp/en/chem/chrip/chrip_search/sltLst" TargetMode="External"/><Relationship Id="rId21" Type="http://schemas.openxmlformats.org/officeDocument/2006/relationships/hyperlink" Target="http://www.oecd-ilibrary.org/content/book/9789264070349-en" TargetMode="External"/><Relationship Id="rId34" Type="http://schemas.openxmlformats.org/officeDocument/2006/relationships/hyperlink" Target="https://ntp.niehs.nih.gov/pubhealth/roc/index-1.html" TargetMode="External"/><Relationship Id="rId42" Type="http://schemas.openxmlformats.org/officeDocument/2006/relationships/hyperlink" Target="https://qsartoolbox.org/" TargetMode="External"/><Relationship Id="rId47" Type="http://schemas.openxmlformats.org/officeDocument/2006/relationships/hyperlink" Target="https://www.lhasalimited.org/products/derek-nexus.htm" TargetMode="External"/><Relationship Id="rId50" Type="http://schemas.openxmlformats.org/officeDocument/2006/relationships/hyperlink" Target="https://www.mn-am.com/products/chemtunes" TargetMode="External"/><Relationship Id="rId55" Type="http://schemas.openxmlformats.org/officeDocument/2006/relationships/hyperlink" Target="http://www.compudrug.com/hazardexpertpro"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afeworkaustralia.gov.au/system/files/documents/1702/classification_hazardous_chemicals.pdf" TargetMode="External"/><Relationship Id="rId29" Type="http://schemas.openxmlformats.org/officeDocument/2006/relationships/hyperlink" Target="https://echa.europa.eu/candidate-list-table" TargetMode="External"/><Relationship Id="rId41" Type="http://schemas.openxmlformats.org/officeDocument/2006/relationships/hyperlink" Target="https://echa.europa.eu/authorisation-list" TargetMode="External"/><Relationship Id="rId54" Type="http://schemas.openxmlformats.org/officeDocument/2006/relationships/hyperlink" Target="http://www.acdlabs.com/products/percepta/" TargetMode="External"/><Relationship Id="rId62" Type="http://schemas.openxmlformats.org/officeDocument/2006/relationships/hyperlink" Target="https://www.epa.gov/tsca-screening-tools/epi-suitetm-estimation-program-interf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ecd.org/chemicalsafety/testing/oecdguidelinesforthetestingofchemicals.htm" TargetMode="External"/><Relationship Id="rId32" Type="http://schemas.openxmlformats.org/officeDocument/2006/relationships/hyperlink" Target="https://echa.europa.eu/information-on-chemicals/annex-vi-to-clp" TargetMode="External"/><Relationship Id="rId37" Type="http://schemas.openxmlformats.org/officeDocument/2006/relationships/hyperlink" Target="https://www.unenvironment.org/explore-topics/chemicals-waste/what-we-do/emerging-issues/scientific-knowledge-endocrine-disrupting" TargetMode="External"/><Relationship Id="rId40" Type="http://schemas.openxmlformats.org/officeDocument/2006/relationships/footer" Target="footer5.xml"/><Relationship Id="rId45" Type="http://schemas.openxmlformats.org/officeDocument/2006/relationships/hyperlink" Target="https://www.epa.gov/chemical-research/toxicity-estimation-software-tool-test" TargetMode="External"/><Relationship Id="rId53" Type="http://schemas.openxmlformats.org/officeDocument/2006/relationships/hyperlink" Target="http://accelrys.com/products/collaborative-science/biovia-discovery-studio/qsar-admet-and-predictive-toxicology.html" TargetMode="External"/><Relationship Id="rId58" Type="http://schemas.openxmlformats.org/officeDocument/2006/relationships/hyperlink" Target="http://www.yapcwsoft.com/dd/padelddpredicto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au/Details/F2017C00715" TargetMode="External"/><Relationship Id="rId28" Type="http://schemas.openxmlformats.org/officeDocument/2006/relationships/hyperlink" Target="https://www.unece.org/trans/danger/publi/ghs/ghs_rev07/07files_e0.html" TargetMode="External"/><Relationship Id="rId36" Type="http://schemas.openxmlformats.org/officeDocument/2006/relationships/hyperlink" Target="http://ec.europa.eu/environment/chemicals/endocrine/strategy/substances_en.htm" TargetMode="External"/><Relationship Id="rId49" Type="http://schemas.openxmlformats.org/officeDocument/2006/relationships/hyperlink" Target="http://oasis-lmc.org/products/software/times.aspx" TargetMode="External"/><Relationship Id="rId57" Type="http://schemas.openxmlformats.org/officeDocument/2006/relationships/hyperlink" Target="https://www.vegahub.eu/" TargetMode="External"/><Relationship Id="rId61" Type="http://schemas.openxmlformats.org/officeDocument/2006/relationships/hyperlink" Target="https://www.epa.gov/tsca-screening-tools/epi-suitetm-estimation-program-interface" TargetMode="External"/><Relationship Id="rId10" Type="http://schemas.openxmlformats.org/officeDocument/2006/relationships/endnotes" Target="endnotes.xml"/><Relationship Id="rId19" Type="http://schemas.openxmlformats.org/officeDocument/2006/relationships/hyperlink" Target="https://www.unece.org/trans/danger/publi/ghs/ghs_rev07/07files_e0.html" TargetMode="External"/><Relationship Id="rId31" Type="http://schemas.openxmlformats.org/officeDocument/2006/relationships/hyperlink" Target="http://hcis.safeworkaustralia.gov.au/" TargetMode="External"/><Relationship Id="rId44" Type="http://schemas.openxmlformats.org/officeDocument/2006/relationships/hyperlink" Target="http://www.qsar.food.dtu.dk/" TargetMode="External"/><Relationship Id="rId52" Type="http://schemas.openxmlformats.org/officeDocument/2006/relationships/hyperlink" Target="http://www.simulations-plus.com/industries/chemicals/" TargetMode="External"/><Relationship Id="rId60" Type="http://schemas.openxmlformats.org/officeDocument/2006/relationships/hyperlink" Target="https://www.epa.gov/tsca-screening-tools/ecological-structure-activity-relationships-ecosar-predictive-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oecd-ilibrary.org/content/book/9789264070523-en" TargetMode="External"/><Relationship Id="rId27" Type="http://schemas.openxmlformats.org/officeDocument/2006/relationships/hyperlink" Target="http://www.oecd-ilibrary.org/content/book/9789264070721-en" TargetMode="External"/><Relationship Id="rId30" Type="http://schemas.openxmlformats.org/officeDocument/2006/relationships/hyperlink" Target="http://qsar.food.dtu.dk/" TargetMode="External"/><Relationship Id="rId35" Type="http://schemas.openxmlformats.org/officeDocument/2006/relationships/hyperlink" Target="http://monographs.iarc.fr/" TargetMode="External"/><Relationship Id="rId43" Type="http://schemas.openxmlformats.org/officeDocument/2006/relationships/hyperlink" Target="https://www.vegahub.eu/" TargetMode="External"/><Relationship Id="rId48" Type="http://schemas.openxmlformats.org/officeDocument/2006/relationships/hyperlink" Target="https://www.lhasalimited.org/products/sarah-nexus.htm" TargetMode="External"/><Relationship Id="rId56" Type="http://schemas.openxmlformats.org/officeDocument/2006/relationships/hyperlink" Target="https://www.ul.com/apps/ul-cheminformatics-tool-ki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multicase.com/case-ultra-model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oecd-ilibrary.org/content/book/9789264070684-en" TargetMode="External"/><Relationship Id="rId33" Type="http://schemas.openxmlformats.org/officeDocument/2006/relationships/hyperlink" Target="https://echa.europa.eu/candidate-list-table" TargetMode="External"/><Relationship Id="rId38" Type="http://schemas.openxmlformats.org/officeDocument/2006/relationships/hyperlink" Target="https://www.canada.ca/en/environment-climate-change/services/canadian-environmental-protection-act-registry/substances-list/toxic.html" TargetMode="External"/><Relationship Id="rId46" Type="http://schemas.openxmlformats.org/officeDocument/2006/relationships/hyperlink" Target="https://ambitlri.ideaconsult.net/tool/ui/toxtree%20http:/toxtree.sourceforge.net/" TargetMode="External"/><Relationship Id="rId59" Type="http://schemas.openxmlformats.org/officeDocument/2006/relationships/hyperlink" Target="https://ntp.niehs.nih.gov/whatwestudy/tox21/toolbox/index.html" TargetMode="External"/><Relationship Id="Rbb7d9549f3f34793"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officialdocuments/publicdisplaydocumentpdf/?cote=env/jm/mono%282012%2922&amp;doclanguage=en" TargetMode="External"/><Relationship Id="rId2" Type="http://schemas.openxmlformats.org/officeDocument/2006/relationships/hyperlink" Target="https://comments.echa.europa.eu/comments_cms/ED_Guidance%20for%20public%20consultation_20171207.pdf" TargetMode="External"/><Relationship Id="rId1" Type="http://schemas.openxmlformats.org/officeDocument/2006/relationships/hyperlink" Target="http://www.oecd.org/chemicalsafety/risk-assessment/proceduresfornotificationofnewchemicals.htm" TargetMode="External"/><Relationship Id="rId5" Type="http://schemas.openxmlformats.org/officeDocument/2006/relationships/hyperlink" Target="http://www.oecd.org/officialdocuments/publicdisplaydocumentpdf/?cote=env/jm/mono%282012%2922&amp;doclanguage=en" TargetMode="External"/><Relationship Id="rId4" Type="http://schemas.openxmlformats.org/officeDocument/2006/relationships/hyperlink" Target="https://comments.echa.europa.eu/comments_cms/ED_Guidance%20for%20public%20consultation_20171207.pdf" TargetMode="External"/></Relationships>
</file>

<file path=word/theme/theme1.xml><?xml version="1.0" encoding="utf-8"?>
<a:theme xmlns:a="http://schemas.openxmlformats.org/drawingml/2006/main" name="Office Theme">
  <a:themeElements>
    <a:clrScheme name="NICNAS">
      <a:dk1>
        <a:srgbClr val="000000"/>
      </a:dk1>
      <a:lt1>
        <a:sysClr val="window" lastClr="FFFFFF"/>
      </a:lt1>
      <a:dk2>
        <a:srgbClr val="133286"/>
      </a:dk2>
      <a:lt2>
        <a:srgbClr val="1179D2"/>
      </a:lt2>
      <a:accent1>
        <a:srgbClr val="5B8A2C"/>
      </a:accent1>
      <a:accent2>
        <a:srgbClr val="E88800"/>
      </a:accent2>
      <a:accent3>
        <a:srgbClr val="B22525"/>
      </a:accent3>
      <a:accent4>
        <a:srgbClr val="413E67"/>
      </a:accent4>
      <a:accent5>
        <a:srgbClr val="D9D9D9"/>
      </a:accent5>
      <a:accent6>
        <a:srgbClr val="CEEFFF"/>
      </a:accent6>
      <a:hlink>
        <a:srgbClr val="7F7F7F"/>
      </a:hlink>
      <a:folHlink>
        <a:srgbClr val="3F3F3F"/>
      </a:folHlink>
    </a:clrScheme>
    <a:fontScheme name="DSS Functional Specifica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ADEE5B8A176D4C8459EE90EDD7949C" ma:contentTypeVersion="11" ma:contentTypeDescription="Create a new document." ma:contentTypeScope="" ma:versionID="341180ec3b52f5c668c87ac22ba26a6e">
  <xsd:schema xmlns:xsd="http://www.w3.org/2001/XMLSchema" xmlns:xs="http://www.w3.org/2001/XMLSchema" xmlns:p="http://schemas.microsoft.com/office/2006/metadata/properties" xmlns:ns2="e32d400a-ef18-4888-a6f7-8b8315220aa1" xmlns:ns3="61364402-c0fe-489d-9bdc-2167705d4ca6" targetNamespace="http://schemas.microsoft.com/office/2006/metadata/properties" ma:root="true" ma:fieldsID="82ba254bb01703a11f86cc2d0090c923" ns2:_="" ns3:_="">
    <xsd:import namespace="e32d400a-ef18-4888-a6f7-8b8315220aa1"/>
    <xsd:import namespace="61364402-c0fe-489d-9bdc-2167705d4c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400a-ef18-4888-a6f7-8b8315220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364402-c0fe-489d-9bdc-2167705d4c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6010-176C-40A6-952F-0E686D9CFD3E}">
  <ds:schemaRefs>
    <ds:schemaRef ds:uri="http://schemas.microsoft.com/sharepoint/v3/contenttype/forms"/>
  </ds:schemaRefs>
</ds:datastoreItem>
</file>

<file path=customXml/itemProps2.xml><?xml version="1.0" encoding="utf-8"?>
<ds:datastoreItem xmlns:ds="http://schemas.openxmlformats.org/officeDocument/2006/customXml" ds:itemID="{8072581E-F120-44C3-80D5-B117F325A98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61364402-c0fe-489d-9bdc-2167705d4ca6"/>
    <ds:schemaRef ds:uri="http://purl.org/dc/terms/"/>
    <ds:schemaRef ds:uri="http://schemas.microsoft.com/office/2006/documentManagement/types"/>
    <ds:schemaRef ds:uri="e32d400a-ef18-4888-a6f7-8b8315220aa1"/>
    <ds:schemaRef ds:uri="http://www.w3.org/XML/1998/namespace"/>
  </ds:schemaRefs>
</ds:datastoreItem>
</file>

<file path=customXml/itemProps3.xml><?xml version="1.0" encoding="utf-8"?>
<ds:datastoreItem xmlns:ds="http://schemas.openxmlformats.org/officeDocument/2006/customXml" ds:itemID="{8A930CF6-6881-443D-B8F9-2395551B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400a-ef18-4888-a6f7-8b8315220aa1"/>
    <ds:schemaRef ds:uri="61364402-c0fe-489d-9bdc-2167705d4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A5FE9-2F0C-4BBF-9A72-65BB81D3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24981</Words>
  <Characters>127903</Characters>
  <Application>Microsoft Office Word</Application>
  <DocSecurity>0</DocSecurity>
  <Lines>3119</Lines>
  <Paragraphs>2123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2020-06-23T05:40:00Z</dcterms:created>
  <dcterms:modified xsi:type="dcterms:W3CDTF">2020-06-24T01:27:00Z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0x01010030ADEE5B8A176D4C8459EE90EDD7949C</vt:lpwstr>
  </property>
</Properties>
</file>