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5C322B" w14:textId="77777777" w:rsidR="002F24F0" w:rsidRDefault="002F24F0" w:rsidP="002F24F0"/>
    <w:p w14:paraId="25FD4FFF" w14:textId="43B14F29" w:rsidR="002F24F0" w:rsidRDefault="00F956D0" w:rsidP="003E6300">
      <w:r>
        <w:rPr>
          <w:rFonts w:ascii="Aptos" w:eastAsia="Times New Roman" w:hAnsi="Aptos"/>
          <w:noProof/>
          <w:kern w:val="2"/>
          <w:sz w:val="24"/>
          <w:lang w:eastAsia="en-AU"/>
          <w14:ligatures w14:val="standardContextual"/>
        </w:rPr>
        <w:drawing>
          <wp:inline distT="0" distB="0" distL="0" distR="0" wp14:anchorId="52137C09" wp14:editId="47C2BF14">
            <wp:extent cx="4953000" cy="681038"/>
            <wp:effectExtent l="0" t="0" r="0" b="5080"/>
            <wp:docPr id="20449190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35307" cy="692355"/>
                    </a:xfrm>
                    <a:prstGeom prst="rect">
                      <a:avLst/>
                    </a:prstGeom>
                    <a:noFill/>
                    <a:ln>
                      <a:noFill/>
                    </a:ln>
                  </pic:spPr>
                </pic:pic>
              </a:graphicData>
            </a:graphic>
          </wp:inline>
        </w:drawing>
      </w:r>
    </w:p>
    <w:p w14:paraId="53661952" w14:textId="77777777" w:rsidR="00C071E4" w:rsidRDefault="00C071E4" w:rsidP="002F24F0">
      <w:pPr>
        <w:rPr>
          <w:rFonts w:eastAsiaTheme="minorEastAsia" w:cstheme="minorBidi"/>
          <w:b/>
          <w:color w:val="003399" w:themeColor="accent1"/>
          <w:spacing w:val="15"/>
          <w:sz w:val="48"/>
          <w:szCs w:val="22"/>
        </w:rPr>
      </w:pPr>
    </w:p>
    <w:p w14:paraId="01F2C235" w14:textId="3FE51BBE" w:rsidR="002F24F0" w:rsidRDefault="00FC2578" w:rsidP="002F24F0">
      <w:r w:rsidRPr="00FC2578">
        <w:rPr>
          <w:rFonts w:eastAsiaTheme="minorEastAsia" w:cstheme="minorBidi"/>
          <w:b/>
          <w:color w:val="003399" w:themeColor="accent1"/>
          <w:spacing w:val="15"/>
          <w:sz w:val="48"/>
          <w:szCs w:val="22"/>
        </w:rPr>
        <w:t>Industrial Chemicals Categorisation Guidelines</w:t>
      </w:r>
    </w:p>
    <w:p w14:paraId="31D632DF" w14:textId="77777777" w:rsidR="00E00FCB" w:rsidRPr="00791D8C" w:rsidRDefault="00E00FCB" w:rsidP="00C254BE">
      <w:pPr>
        <w:pStyle w:val="Subtitleoptional"/>
        <w:rPr>
          <w:sz w:val="24"/>
          <w:szCs w:val="24"/>
        </w:rPr>
      </w:pPr>
    </w:p>
    <w:p w14:paraId="1BD24275" w14:textId="12A925CA" w:rsidR="00E00FCB" w:rsidRPr="00791D8C" w:rsidRDefault="00E00FCB" w:rsidP="00C254BE">
      <w:pPr>
        <w:pStyle w:val="Subtitleoptional"/>
        <w:rPr>
          <w:b/>
          <w:bCs/>
          <w:sz w:val="24"/>
          <w:szCs w:val="24"/>
        </w:rPr>
      </w:pPr>
      <w:r w:rsidRPr="00791D8C">
        <w:rPr>
          <w:b/>
          <w:bCs/>
          <w:sz w:val="24"/>
          <w:szCs w:val="24"/>
        </w:rPr>
        <w:t>Australian Industrial Chemicals Introduction Scheme (AICIS)</w:t>
      </w:r>
    </w:p>
    <w:p w14:paraId="7B1665DE" w14:textId="77777777" w:rsidR="00E00FCB" w:rsidRDefault="00E00FCB" w:rsidP="00C254BE">
      <w:pPr>
        <w:pStyle w:val="Date"/>
      </w:pPr>
    </w:p>
    <w:p w14:paraId="028C89D3" w14:textId="3E630DB7" w:rsidR="002F24F0" w:rsidRDefault="00791D8C" w:rsidP="00C254BE">
      <w:pPr>
        <w:pStyle w:val="Date"/>
      </w:pPr>
      <w:r>
        <w:t>0</w:t>
      </w:r>
      <w:r w:rsidR="00C210EC">
        <w:t>1</w:t>
      </w:r>
      <w:r w:rsidR="002F24F0">
        <w:t xml:space="preserve"> </w:t>
      </w:r>
      <w:r w:rsidR="00FC2578">
        <w:t>September 202</w:t>
      </w:r>
      <w:r w:rsidR="00D1247D">
        <w:t>6</w:t>
      </w:r>
    </w:p>
    <w:p w14:paraId="64901CF8" w14:textId="77777777" w:rsidR="002F24F0" w:rsidRDefault="002F24F0" w:rsidP="002F24F0"/>
    <w:p w14:paraId="07B45494" w14:textId="77777777" w:rsidR="002C3AEB" w:rsidRDefault="002C3AEB">
      <w:pPr>
        <w:spacing w:before="0" w:beforeAutospacing="0" w:after="160" w:afterAutospacing="0" w:line="259" w:lineRule="auto"/>
      </w:pPr>
      <w:r>
        <w:br w:type="page"/>
      </w:r>
    </w:p>
    <w:p w14:paraId="2C1D6D43" w14:textId="77777777" w:rsidR="00625AC7" w:rsidRPr="00142328" w:rsidRDefault="00625AC7" w:rsidP="00082FB8">
      <w:pPr>
        <w:rPr>
          <w:b/>
          <w:bCs/>
        </w:rPr>
      </w:pPr>
      <w:r w:rsidRPr="00142328">
        <w:rPr>
          <w:b/>
          <w:bCs/>
        </w:rPr>
        <w:lastRenderedPageBreak/>
        <w:t>About this version</w:t>
      </w:r>
    </w:p>
    <w:p w14:paraId="7FF55F5B" w14:textId="77777777" w:rsidR="00082FB8" w:rsidRDefault="00082FB8" w:rsidP="00625AC7">
      <w:pPr>
        <w:spacing w:before="0" w:beforeAutospacing="0" w:after="160" w:afterAutospacing="0" w:line="259" w:lineRule="auto"/>
      </w:pPr>
    </w:p>
    <w:p w14:paraId="035812DC" w14:textId="496CB83D" w:rsidR="00625AC7" w:rsidRDefault="00625AC7" w:rsidP="00625AC7">
      <w:pPr>
        <w:spacing w:before="0" w:beforeAutospacing="0" w:after="160" w:afterAutospacing="0" w:line="259" w:lineRule="auto"/>
      </w:pPr>
      <w:r>
        <w:t xml:space="preserve">This is a version of the </w:t>
      </w:r>
      <w:r w:rsidRPr="00B5260E">
        <w:rPr>
          <w:i/>
          <w:iCs/>
        </w:rPr>
        <w:t>Industrial Chemicals Categorisation Guidelines</w:t>
      </w:r>
      <w:r>
        <w:t xml:space="preserve"> that shows the text as amended and in force on </w:t>
      </w:r>
      <w:r w:rsidR="00086C22">
        <w:t>0</w:t>
      </w:r>
      <w:r w:rsidR="00C210EC">
        <w:t>1</w:t>
      </w:r>
      <w:r>
        <w:t xml:space="preserve"> September 202</w:t>
      </w:r>
      <w:r w:rsidR="001F1A0D">
        <w:t>6</w:t>
      </w:r>
      <w:r>
        <w:t>.</w:t>
      </w:r>
    </w:p>
    <w:p w14:paraId="64D82B81" w14:textId="77777777" w:rsidR="00625AC7" w:rsidRDefault="00625AC7" w:rsidP="00625AC7">
      <w:pPr>
        <w:spacing w:before="0" w:beforeAutospacing="0" w:after="160" w:afterAutospacing="0" w:line="259" w:lineRule="auto"/>
      </w:pPr>
      <w:r>
        <w:t xml:space="preserve">The notes at the end of this version (the </w:t>
      </w:r>
      <w:r w:rsidRPr="005E479E">
        <w:rPr>
          <w:b/>
          <w:bCs/>
          <w:i/>
          <w:iCs/>
        </w:rPr>
        <w:t>endnotes</w:t>
      </w:r>
      <w:r>
        <w:t>) include information about previous versions and the amendment history.</w:t>
      </w:r>
    </w:p>
    <w:p w14:paraId="5409ECCC" w14:textId="77777777" w:rsidR="00EC08B7" w:rsidRDefault="00EC08B7" w:rsidP="005D5C46">
      <w:r>
        <w:br w:type="page"/>
      </w:r>
    </w:p>
    <w:p w14:paraId="1BCE2E65" w14:textId="77777777" w:rsidR="002F24F0" w:rsidRPr="00142328" w:rsidRDefault="002F24F0" w:rsidP="00082FB8">
      <w:pPr>
        <w:rPr>
          <w:b/>
          <w:bCs/>
        </w:rPr>
      </w:pPr>
      <w:r w:rsidRPr="00142328">
        <w:rPr>
          <w:b/>
          <w:bCs/>
        </w:rPr>
        <w:lastRenderedPageBreak/>
        <w:t xml:space="preserve">Contents </w:t>
      </w:r>
    </w:p>
    <w:sdt>
      <w:sdtPr>
        <w:id w:val="1528061309"/>
        <w:docPartObj>
          <w:docPartGallery w:val="Table of Contents"/>
          <w:docPartUnique/>
        </w:docPartObj>
      </w:sdtPr>
      <w:sdtEndPr>
        <w:rPr>
          <w:b w:val="0"/>
          <w:bCs/>
          <w:noProof/>
        </w:rPr>
      </w:sdtEndPr>
      <w:sdtContent>
        <w:p w14:paraId="3964EDFC" w14:textId="0657A361" w:rsidR="005D5C46" w:rsidRDefault="00EE14BC">
          <w:pPr>
            <w:pStyle w:val="TOC1"/>
            <w:rPr>
              <w:rFonts w:asciiTheme="minorHAnsi" w:eastAsiaTheme="minorEastAsia" w:hAnsiTheme="minorHAnsi" w:cstheme="minorBidi"/>
              <w:b w:val="0"/>
              <w:noProof/>
              <w:kern w:val="2"/>
              <w:sz w:val="24"/>
              <w:lang w:eastAsia="en-AU"/>
              <w14:ligatures w14:val="standardContextual"/>
            </w:rPr>
          </w:pPr>
          <w:r>
            <w:fldChar w:fldCharType="begin"/>
          </w:r>
          <w:r>
            <w:instrText xml:space="preserve"> TOC \o "1-2" \h \z \u </w:instrText>
          </w:r>
          <w:r>
            <w:fldChar w:fldCharType="separate"/>
          </w:r>
          <w:hyperlink w:anchor="_Toc238816792" w:history="1">
            <w:r w:rsidR="005D5C46" w:rsidRPr="00C873D2">
              <w:rPr>
                <w:rStyle w:val="Hyperlink"/>
                <w:noProof/>
              </w:rPr>
              <w:t>1.</w:t>
            </w:r>
            <w:r w:rsidR="005D5C46">
              <w:rPr>
                <w:rFonts w:asciiTheme="minorHAnsi" w:eastAsiaTheme="minorEastAsia" w:hAnsiTheme="minorHAnsi" w:cstheme="minorBidi"/>
                <w:b w:val="0"/>
                <w:noProof/>
                <w:kern w:val="2"/>
                <w:sz w:val="24"/>
                <w:lang w:eastAsia="en-AU"/>
                <w14:ligatures w14:val="standardContextual"/>
              </w:rPr>
              <w:tab/>
            </w:r>
            <w:r w:rsidR="005D5C46" w:rsidRPr="00C873D2">
              <w:rPr>
                <w:rStyle w:val="Hyperlink"/>
                <w:noProof/>
              </w:rPr>
              <w:t>About these Guidelines</w:t>
            </w:r>
            <w:r w:rsidR="005D5C46">
              <w:rPr>
                <w:noProof/>
                <w:webHidden/>
              </w:rPr>
              <w:tab/>
            </w:r>
            <w:r w:rsidR="005D5C46">
              <w:rPr>
                <w:noProof/>
                <w:webHidden/>
              </w:rPr>
              <w:fldChar w:fldCharType="begin"/>
            </w:r>
            <w:r w:rsidR="005D5C46">
              <w:rPr>
                <w:noProof/>
                <w:webHidden/>
              </w:rPr>
              <w:instrText xml:space="preserve"> PAGEREF _Toc238816792 \h </w:instrText>
            </w:r>
            <w:r w:rsidR="005D5C46">
              <w:rPr>
                <w:noProof/>
                <w:webHidden/>
              </w:rPr>
            </w:r>
            <w:r w:rsidR="005D5C46">
              <w:rPr>
                <w:noProof/>
                <w:webHidden/>
              </w:rPr>
              <w:fldChar w:fldCharType="separate"/>
            </w:r>
            <w:r w:rsidR="005D5C46">
              <w:rPr>
                <w:noProof/>
                <w:webHidden/>
              </w:rPr>
              <w:t>5</w:t>
            </w:r>
            <w:r w:rsidR="005D5C46">
              <w:rPr>
                <w:noProof/>
                <w:webHidden/>
              </w:rPr>
              <w:fldChar w:fldCharType="end"/>
            </w:r>
          </w:hyperlink>
        </w:p>
        <w:p w14:paraId="700AC1EC" w14:textId="4AB35E4C" w:rsidR="005D5C46" w:rsidRDefault="005D5C46">
          <w:pPr>
            <w:pStyle w:val="TOC1"/>
            <w:rPr>
              <w:rFonts w:asciiTheme="minorHAnsi" w:eastAsiaTheme="minorEastAsia" w:hAnsiTheme="minorHAnsi" w:cstheme="minorBidi"/>
              <w:b w:val="0"/>
              <w:noProof/>
              <w:kern w:val="2"/>
              <w:sz w:val="24"/>
              <w:lang w:eastAsia="en-AU"/>
              <w14:ligatures w14:val="standardContextual"/>
            </w:rPr>
          </w:pPr>
          <w:hyperlink w:anchor="_Toc238816793" w:history="1">
            <w:r w:rsidRPr="00C873D2">
              <w:rPr>
                <w:rStyle w:val="Hyperlink"/>
                <w:noProof/>
              </w:rPr>
              <w:t>2.</w:t>
            </w:r>
            <w:r>
              <w:rPr>
                <w:rFonts w:asciiTheme="minorHAnsi" w:eastAsiaTheme="minorEastAsia" w:hAnsiTheme="minorHAnsi" w:cstheme="minorBidi"/>
                <w:b w:val="0"/>
                <w:noProof/>
                <w:kern w:val="2"/>
                <w:sz w:val="24"/>
                <w:lang w:eastAsia="en-AU"/>
                <w14:ligatures w14:val="standardContextual"/>
              </w:rPr>
              <w:tab/>
            </w:r>
            <w:r w:rsidRPr="00C873D2">
              <w:rPr>
                <w:rStyle w:val="Hyperlink"/>
                <w:noProof/>
              </w:rPr>
              <w:t>Definitions of terms in Chapter 1, Part 1 of the IC General Rules</w:t>
            </w:r>
            <w:r>
              <w:rPr>
                <w:noProof/>
                <w:webHidden/>
              </w:rPr>
              <w:tab/>
            </w:r>
            <w:r>
              <w:rPr>
                <w:noProof/>
                <w:webHidden/>
              </w:rPr>
              <w:fldChar w:fldCharType="begin"/>
            </w:r>
            <w:r>
              <w:rPr>
                <w:noProof/>
                <w:webHidden/>
              </w:rPr>
              <w:instrText xml:space="preserve"> PAGEREF _Toc238816793 \h </w:instrText>
            </w:r>
            <w:r>
              <w:rPr>
                <w:noProof/>
                <w:webHidden/>
              </w:rPr>
            </w:r>
            <w:r>
              <w:rPr>
                <w:noProof/>
                <w:webHidden/>
              </w:rPr>
              <w:fldChar w:fldCharType="separate"/>
            </w:r>
            <w:r>
              <w:rPr>
                <w:noProof/>
                <w:webHidden/>
              </w:rPr>
              <w:t>6</w:t>
            </w:r>
            <w:r>
              <w:rPr>
                <w:noProof/>
                <w:webHidden/>
              </w:rPr>
              <w:fldChar w:fldCharType="end"/>
            </w:r>
          </w:hyperlink>
        </w:p>
        <w:p w14:paraId="67BE71B8" w14:textId="42E9F0CB" w:rsidR="005D5C46" w:rsidRDefault="005D5C46">
          <w:pPr>
            <w:pStyle w:val="TOC2"/>
            <w:rPr>
              <w:rFonts w:asciiTheme="minorHAnsi" w:eastAsiaTheme="minorEastAsia" w:hAnsiTheme="minorHAnsi" w:cstheme="minorBidi"/>
              <w:noProof/>
              <w:kern w:val="2"/>
              <w:sz w:val="24"/>
              <w:lang w:eastAsia="en-AU"/>
              <w14:ligatures w14:val="standardContextual"/>
            </w:rPr>
          </w:pPr>
          <w:hyperlink w:anchor="_Toc238816794" w:history="1">
            <w:r w:rsidRPr="00C873D2">
              <w:rPr>
                <w:rStyle w:val="Hyperlink"/>
                <w:noProof/>
              </w:rPr>
              <w:t>2.1</w:t>
            </w:r>
            <w:r>
              <w:rPr>
                <w:rFonts w:asciiTheme="minorHAnsi" w:eastAsiaTheme="minorEastAsia" w:hAnsiTheme="minorHAnsi" w:cstheme="minorBidi"/>
                <w:noProof/>
                <w:kern w:val="2"/>
                <w:sz w:val="24"/>
                <w:lang w:eastAsia="en-AU"/>
                <w14:ligatures w14:val="standardContextual"/>
              </w:rPr>
              <w:tab/>
            </w:r>
            <w:r w:rsidRPr="00C873D2">
              <w:rPr>
                <w:rStyle w:val="Hyperlink"/>
                <w:noProof/>
              </w:rPr>
              <w:t>Section 5 of the IC General Rules</w:t>
            </w:r>
            <w:r>
              <w:rPr>
                <w:noProof/>
                <w:webHidden/>
              </w:rPr>
              <w:tab/>
            </w:r>
            <w:r>
              <w:rPr>
                <w:noProof/>
                <w:webHidden/>
              </w:rPr>
              <w:fldChar w:fldCharType="begin"/>
            </w:r>
            <w:r>
              <w:rPr>
                <w:noProof/>
                <w:webHidden/>
              </w:rPr>
              <w:instrText xml:space="preserve"> PAGEREF _Toc238816794 \h </w:instrText>
            </w:r>
            <w:r>
              <w:rPr>
                <w:noProof/>
                <w:webHidden/>
              </w:rPr>
            </w:r>
            <w:r>
              <w:rPr>
                <w:noProof/>
                <w:webHidden/>
              </w:rPr>
              <w:fldChar w:fldCharType="separate"/>
            </w:r>
            <w:r>
              <w:rPr>
                <w:noProof/>
                <w:webHidden/>
              </w:rPr>
              <w:t>6</w:t>
            </w:r>
            <w:r>
              <w:rPr>
                <w:noProof/>
                <w:webHidden/>
              </w:rPr>
              <w:fldChar w:fldCharType="end"/>
            </w:r>
          </w:hyperlink>
        </w:p>
        <w:p w14:paraId="101D8AC5" w14:textId="3402A3AB" w:rsidR="005D5C46" w:rsidRDefault="005D5C46">
          <w:pPr>
            <w:pStyle w:val="TOC2"/>
            <w:rPr>
              <w:rFonts w:asciiTheme="minorHAnsi" w:eastAsiaTheme="minorEastAsia" w:hAnsiTheme="minorHAnsi" w:cstheme="minorBidi"/>
              <w:noProof/>
              <w:kern w:val="2"/>
              <w:sz w:val="24"/>
              <w:lang w:eastAsia="en-AU"/>
              <w14:ligatures w14:val="standardContextual"/>
            </w:rPr>
          </w:pPr>
          <w:hyperlink w:anchor="_Toc238816795" w:history="1">
            <w:r w:rsidRPr="00C873D2">
              <w:rPr>
                <w:rStyle w:val="Hyperlink"/>
                <w:noProof/>
              </w:rPr>
              <w:t>2.2</w:t>
            </w:r>
            <w:r>
              <w:rPr>
                <w:rFonts w:asciiTheme="minorHAnsi" w:eastAsiaTheme="minorEastAsia" w:hAnsiTheme="minorHAnsi" w:cstheme="minorBidi"/>
                <w:noProof/>
                <w:kern w:val="2"/>
                <w:sz w:val="24"/>
                <w:lang w:eastAsia="en-AU"/>
                <w14:ligatures w14:val="standardContextual"/>
              </w:rPr>
              <w:tab/>
            </w:r>
            <w:r w:rsidRPr="00C873D2">
              <w:rPr>
                <w:rStyle w:val="Hyperlink"/>
                <w:noProof/>
              </w:rPr>
              <w:t>Section 6 of the IC General Rules</w:t>
            </w:r>
            <w:r>
              <w:rPr>
                <w:noProof/>
                <w:webHidden/>
              </w:rPr>
              <w:tab/>
            </w:r>
            <w:r>
              <w:rPr>
                <w:noProof/>
                <w:webHidden/>
              </w:rPr>
              <w:fldChar w:fldCharType="begin"/>
            </w:r>
            <w:r>
              <w:rPr>
                <w:noProof/>
                <w:webHidden/>
              </w:rPr>
              <w:instrText xml:space="preserve"> PAGEREF _Toc238816795 \h </w:instrText>
            </w:r>
            <w:r>
              <w:rPr>
                <w:noProof/>
                <w:webHidden/>
              </w:rPr>
            </w:r>
            <w:r>
              <w:rPr>
                <w:noProof/>
                <w:webHidden/>
              </w:rPr>
              <w:fldChar w:fldCharType="separate"/>
            </w:r>
            <w:r>
              <w:rPr>
                <w:noProof/>
                <w:webHidden/>
              </w:rPr>
              <w:t>16</w:t>
            </w:r>
            <w:r>
              <w:rPr>
                <w:noProof/>
                <w:webHidden/>
              </w:rPr>
              <w:fldChar w:fldCharType="end"/>
            </w:r>
          </w:hyperlink>
        </w:p>
        <w:p w14:paraId="586162C2" w14:textId="11B33440" w:rsidR="005D5C46" w:rsidRDefault="005D5C46">
          <w:pPr>
            <w:pStyle w:val="TOC1"/>
            <w:rPr>
              <w:rFonts w:asciiTheme="minorHAnsi" w:eastAsiaTheme="minorEastAsia" w:hAnsiTheme="minorHAnsi" w:cstheme="minorBidi"/>
              <w:b w:val="0"/>
              <w:noProof/>
              <w:kern w:val="2"/>
              <w:sz w:val="24"/>
              <w:lang w:eastAsia="en-AU"/>
              <w14:ligatures w14:val="standardContextual"/>
            </w:rPr>
          </w:pPr>
          <w:hyperlink w:anchor="_Toc238816796" w:history="1">
            <w:r w:rsidRPr="00C873D2">
              <w:rPr>
                <w:rStyle w:val="Hyperlink"/>
                <w:noProof/>
              </w:rPr>
              <w:t>3.</w:t>
            </w:r>
            <w:r>
              <w:rPr>
                <w:rFonts w:asciiTheme="minorHAnsi" w:eastAsiaTheme="minorEastAsia" w:hAnsiTheme="minorHAnsi" w:cstheme="minorBidi"/>
                <w:b w:val="0"/>
                <w:noProof/>
                <w:kern w:val="2"/>
                <w:sz w:val="24"/>
                <w:lang w:eastAsia="en-AU"/>
                <w14:ligatures w14:val="standardContextual"/>
              </w:rPr>
              <w:tab/>
            </w:r>
            <w:r w:rsidRPr="00C873D2">
              <w:rPr>
                <w:rStyle w:val="Hyperlink"/>
                <w:noProof/>
              </w:rPr>
              <w:t>Definition of terms in Chapter 2, Part 2 of the IC General Rules</w:t>
            </w:r>
            <w:r>
              <w:rPr>
                <w:noProof/>
                <w:webHidden/>
              </w:rPr>
              <w:tab/>
            </w:r>
            <w:r>
              <w:rPr>
                <w:noProof/>
                <w:webHidden/>
              </w:rPr>
              <w:fldChar w:fldCharType="begin"/>
            </w:r>
            <w:r>
              <w:rPr>
                <w:noProof/>
                <w:webHidden/>
              </w:rPr>
              <w:instrText xml:space="preserve"> PAGEREF _Toc238816796 \h </w:instrText>
            </w:r>
            <w:r>
              <w:rPr>
                <w:noProof/>
                <w:webHidden/>
              </w:rPr>
            </w:r>
            <w:r>
              <w:rPr>
                <w:noProof/>
                <w:webHidden/>
              </w:rPr>
              <w:fldChar w:fldCharType="separate"/>
            </w:r>
            <w:r>
              <w:rPr>
                <w:noProof/>
                <w:webHidden/>
              </w:rPr>
              <w:t>16</w:t>
            </w:r>
            <w:r>
              <w:rPr>
                <w:noProof/>
                <w:webHidden/>
              </w:rPr>
              <w:fldChar w:fldCharType="end"/>
            </w:r>
          </w:hyperlink>
        </w:p>
        <w:p w14:paraId="2B169959" w14:textId="43D07F27" w:rsidR="005D5C46" w:rsidRDefault="005D5C46">
          <w:pPr>
            <w:pStyle w:val="TOC2"/>
            <w:rPr>
              <w:rFonts w:asciiTheme="minorHAnsi" w:eastAsiaTheme="minorEastAsia" w:hAnsiTheme="minorHAnsi" w:cstheme="minorBidi"/>
              <w:noProof/>
              <w:kern w:val="2"/>
              <w:sz w:val="24"/>
              <w:lang w:eastAsia="en-AU"/>
              <w14:ligatures w14:val="standardContextual"/>
            </w:rPr>
          </w:pPr>
          <w:hyperlink w:anchor="_Toc238816797" w:history="1">
            <w:r w:rsidRPr="00C873D2">
              <w:rPr>
                <w:rStyle w:val="Hyperlink"/>
                <w:noProof/>
              </w:rPr>
              <w:t>3.1</w:t>
            </w:r>
            <w:r>
              <w:rPr>
                <w:rFonts w:asciiTheme="minorHAnsi" w:eastAsiaTheme="minorEastAsia" w:hAnsiTheme="minorHAnsi" w:cstheme="minorBidi"/>
                <w:noProof/>
                <w:kern w:val="2"/>
                <w:sz w:val="24"/>
                <w:lang w:eastAsia="en-AU"/>
                <w14:ligatures w14:val="standardContextual"/>
              </w:rPr>
              <w:tab/>
            </w:r>
            <w:r w:rsidRPr="00C873D2">
              <w:rPr>
                <w:rStyle w:val="Hyperlink"/>
                <w:noProof/>
              </w:rPr>
              <w:t>High molecular weight polymer that has lung overloading potential</w:t>
            </w:r>
            <w:r>
              <w:rPr>
                <w:noProof/>
                <w:webHidden/>
              </w:rPr>
              <w:tab/>
            </w:r>
            <w:r>
              <w:rPr>
                <w:noProof/>
                <w:webHidden/>
              </w:rPr>
              <w:fldChar w:fldCharType="begin"/>
            </w:r>
            <w:r>
              <w:rPr>
                <w:noProof/>
                <w:webHidden/>
              </w:rPr>
              <w:instrText xml:space="preserve"> PAGEREF _Toc238816797 \h </w:instrText>
            </w:r>
            <w:r>
              <w:rPr>
                <w:noProof/>
                <w:webHidden/>
              </w:rPr>
            </w:r>
            <w:r>
              <w:rPr>
                <w:noProof/>
                <w:webHidden/>
              </w:rPr>
              <w:fldChar w:fldCharType="separate"/>
            </w:r>
            <w:r>
              <w:rPr>
                <w:noProof/>
                <w:webHidden/>
              </w:rPr>
              <w:t>16</w:t>
            </w:r>
            <w:r>
              <w:rPr>
                <w:noProof/>
                <w:webHidden/>
              </w:rPr>
              <w:fldChar w:fldCharType="end"/>
            </w:r>
          </w:hyperlink>
        </w:p>
        <w:p w14:paraId="1D05C240" w14:textId="22EE9418" w:rsidR="005D5C46" w:rsidRDefault="005D5C46">
          <w:pPr>
            <w:pStyle w:val="TOC2"/>
            <w:rPr>
              <w:rFonts w:asciiTheme="minorHAnsi" w:eastAsiaTheme="minorEastAsia" w:hAnsiTheme="minorHAnsi" w:cstheme="minorBidi"/>
              <w:noProof/>
              <w:kern w:val="2"/>
              <w:sz w:val="24"/>
              <w:lang w:eastAsia="en-AU"/>
              <w14:ligatures w14:val="standardContextual"/>
            </w:rPr>
          </w:pPr>
          <w:hyperlink w:anchor="_Toc238816798" w:history="1">
            <w:r w:rsidRPr="00C873D2">
              <w:rPr>
                <w:rStyle w:val="Hyperlink"/>
                <w:noProof/>
              </w:rPr>
              <w:t>3.2</w:t>
            </w:r>
            <w:r>
              <w:rPr>
                <w:rFonts w:asciiTheme="minorHAnsi" w:eastAsiaTheme="minorEastAsia" w:hAnsiTheme="minorHAnsi" w:cstheme="minorBidi"/>
                <w:noProof/>
                <w:kern w:val="2"/>
                <w:sz w:val="24"/>
                <w:lang w:eastAsia="en-AU"/>
                <w14:ligatures w14:val="standardContextual"/>
              </w:rPr>
              <w:tab/>
            </w:r>
            <w:r w:rsidRPr="00C873D2">
              <w:rPr>
                <w:rStyle w:val="Hyperlink"/>
                <w:noProof/>
              </w:rPr>
              <w:t>Polymer is stable</w:t>
            </w:r>
            <w:r>
              <w:rPr>
                <w:noProof/>
                <w:webHidden/>
              </w:rPr>
              <w:tab/>
            </w:r>
            <w:r>
              <w:rPr>
                <w:noProof/>
                <w:webHidden/>
              </w:rPr>
              <w:fldChar w:fldCharType="begin"/>
            </w:r>
            <w:r>
              <w:rPr>
                <w:noProof/>
                <w:webHidden/>
              </w:rPr>
              <w:instrText xml:space="preserve"> PAGEREF _Toc238816798 \h </w:instrText>
            </w:r>
            <w:r>
              <w:rPr>
                <w:noProof/>
                <w:webHidden/>
              </w:rPr>
            </w:r>
            <w:r>
              <w:rPr>
                <w:noProof/>
                <w:webHidden/>
              </w:rPr>
              <w:fldChar w:fldCharType="separate"/>
            </w:r>
            <w:r>
              <w:rPr>
                <w:noProof/>
                <w:webHidden/>
              </w:rPr>
              <w:t>17</w:t>
            </w:r>
            <w:r>
              <w:rPr>
                <w:noProof/>
                <w:webHidden/>
              </w:rPr>
              <w:fldChar w:fldCharType="end"/>
            </w:r>
          </w:hyperlink>
        </w:p>
        <w:p w14:paraId="00F9DFB4" w14:textId="58E0D432" w:rsidR="005D5C46" w:rsidRDefault="005D5C46">
          <w:pPr>
            <w:pStyle w:val="TOC1"/>
            <w:rPr>
              <w:rFonts w:asciiTheme="minorHAnsi" w:eastAsiaTheme="minorEastAsia" w:hAnsiTheme="minorHAnsi" w:cstheme="minorBidi"/>
              <w:b w:val="0"/>
              <w:noProof/>
              <w:kern w:val="2"/>
              <w:sz w:val="24"/>
              <w:lang w:eastAsia="en-AU"/>
              <w14:ligatures w14:val="standardContextual"/>
            </w:rPr>
          </w:pPr>
          <w:hyperlink w:anchor="_Toc238816799" w:history="1">
            <w:r w:rsidRPr="00C873D2">
              <w:rPr>
                <w:rStyle w:val="Hyperlink"/>
                <w:noProof/>
              </w:rPr>
              <w:t>4.</w:t>
            </w:r>
            <w:r>
              <w:rPr>
                <w:rFonts w:asciiTheme="minorHAnsi" w:eastAsiaTheme="minorEastAsia" w:hAnsiTheme="minorHAnsi" w:cstheme="minorBidi"/>
                <w:b w:val="0"/>
                <w:noProof/>
                <w:kern w:val="2"/>
                <w:sz w:val="24"/>
                <w:lang w:eastAsia="en-AU"/>
                <w14:ligatures w14:val="standardContextual"/>
              </w:rPr>
              <w:tab/>
            </w:r>
            <w:r w:rsidRPr="00C873D2">
              <w:rPr>
                <w:rStyle w:val="Hyperlink"/>
                <w:noProof/>
              </w:rPr>
              <w:t>Definition of terms in Chapter 2, Part 3 of the IC General Rules</w:t>
            </w:r>
            <w:r>
              <w:rPr>
                <w:noProof/>
                <w:webHidden/>
              </w:rPr>
              <w:tab/>
            </w:r>
            <w:r>
              <w:rPr>
                <w:noProof/>
                <w:webHidden/>
              </w:rPr>
              <w:fldChar w:fldCharType="begin"/>
            </w:r>
            <w:r>
              <w:rPr>
                <w:noProof/>
                <w:webHidden/>
              </w:rPr>
              <w:instrText xml:space="preserve"> PAGEREF _Toc238816799 \h </w:instrText>
            </w:r>
            <w:r>
              <w:rPr>
                <w:noProof/>
                <w:webHidden/>
              </w:rPr>
            </w:r>
            <w:r>
              <w:rPr>
                <w:noProof/>
                <w:webHidden/>
              </w:rPr>
              <w:fldChar w:fldCharType="separate"/>
            </w:r>
            <w:r>
              <w:rPr>
                <w:noProof/>
                <w:webHidden/>
              </w:rPr>
              <w:t>17</w:t>
            </w:r>
            <w:r>
              <w:rPr>
                <w:noProof/>
                <w:webHidden/>
              </w:rPr>
              <w:fldChar w:fldCharType="end"/>
            </w:r>
          </w:hyperlink>
        </w:p>
        <w:p w14:paraId="0D07B6B0" w14:textId="6962CED3" w:rsidR="005D5C46" w:rsidRDefault="005D5C46">
          <w:pPr>
            <w:pStyle w:val="TOC2"/>
            <w:rPr>
              <w:rFonts w:asciiTheme="minorHAnsi" w:eastAsiaTheme="minorEastAsia" w:hAnsiTheme="minorHAnsi" w:cstheme="minorBidi"/>
              <w:noProof/>
              <w:kern w:val="2"/>
              <w:sz w:val="24"/>
              <w:lang w:eastAsia="en-AU"/>
              <w14:ligatures w14:val="standardContextual"/>
            </w:rPr>
          </w:pPr>
          <w:hyperlink w:anchor="_Toc238816800" w:history="1">
            <w:r w:rsidRPr="00C873D2">
              <w:rPr>
                <w:rStyle w:val="Hyperlink"/>
                <w:noProof/>
              </w:rPr>
              <w:t xml:space="preserve">4.1 </w:t>
            </w:r>
            <w:r>
              <w:rPr>
                <w:rFonts w:asciiTheme="minorHAnsi" w:eastAsiaTheme="minorEastAsia" w:hAnsiTheme="minorHAnsi" w:cstheme="minorBidi"/>
                <w:noProof/>
                <w:kern w:val="2"/>
                <w:sz w:val="24"/>
                <w:lang w:eastAsia="en-AU"/>
                <w14:ligatures w14:val="standardContextual"/>
              </w:rPr>
              <w:tab/>
            </w:r>
            <w:r w:rsidRPr="00C873D2">
              <w:rPr>
                <w:rStyle w:val="Hyperlink"/>
                <w:noProof/>
              </w:rPr>
              <w:t>Section 28 of the IC General Rules</w:t>
            </w:r>
            <w:r>
              <w:rPr>
                <w:noProof/>
                <w:webHidden/>
              </w:rPr>
              <w:tab/>
            </w:r>
            <w:r>
              <w:rPr>
                <w:noProof/>
                <w:webHidden/>
              </w:rPr>
              <w:fldChar w:fldCharType="begin"/>
            </w:r>
            <w:r>
              <w:rPr>
                <w:noProof/>
                <w:webHidden/>
              </w:rPr>
              <w:instrText xml:space="preserve"> PAGEREF _Toc238816800 \h </w:instrText>
            </w:r>
            <w:r>
              <w:rPr>
                <w:noProof/>
                <w:webHidden/>
              </w:rPr>
            </w:r>
            <w:r>
              <w:rPr>
                <w:noProof/>
                <w:webHidden/>
              </w:rPr>
              <w:fldChar w:fldCharType="separate"/>
            </w:r>
            <w:r>
              <w:rPr>
                <w:noProof/>
                <w:webHidden/>
              </w:rPr>
              <w:t>17</w:t>
            </w:r>
            <w:r>
              <w:rPr>
                <w:noProof/>
                <w:webHidden/>
              </w:rPr>
              <w:fldChar w:fldCharType="end"/>
            </w:r>
          </w:hyperlink>
        </w:p>
        <w:p w14:paraId="7BF83D8D" w14:textId="78E330DF" w:rsidR="005D5C46" w:rsidRDefault="005D5C46">
          <w:pPr>
            <w:pStyle w:val="TOC2"/>
            <w:rPr>
              <w:rFonts w:asciiTheme="minorHAnsi" w:eastAsiaTheme="minorEastAsia" w:hAnsiTheme="minorHAnsi" w:cstheme="minorBidi"/>
              <w:noProof/>
              <w:kern w:val="2"/>
              <w:sz w:val="24"/>
              <w:lang w:eastAsia="en-AU"/>
              <w14:ligatures w14:val="standardContextual"/>
            </w:rPr>
          </w:pPr>
          <w:hyperlink w:anchor="_Toc238816801" w:history="1">
            <w:r w:rsidRPr="00C873D2">
              <w:rPr>
                <w:rStyle w:val="Hyperlink"/>
                <w:noProof/>
              </w:rPr>
              <w:t>4.2</w:t>
            </w:r>
            <w:r>
              <w:rPr>
                <w:rFonts w:asciiTheme="minorHAnsi" w:eastAsiaTheme="minorEastAsia" w:hAnsiTheme="minorHAnsi" w:cstheme="minorBidi"/>
                <w:noProof/>
                <w:kern w:val="2"/>
                <w:sz w:val="24"/>
                <w:lang w:eastAsia="en-AU"/>
                <w14:ligatures w14:val="standardContextual"/>
              </w:rPr>
              <w:tab/>
            </w:r>
            <w:r w:rsidRPr="00C873D2">
              <w:rPr>
                <w:rStyle w:val="Hyperlink"/>
                <w:noProof/>
              </w:rPr>
              <w:t>Section 29 of the IC General Rules</w:t>
            </w:r>
            <w:r>
              <w:rPr>
                <w:noProof/>
                <w:webHidden/>
              </w:rPr>
              <w:tab/>
            </w:r>
            <w:r>
              <w:rPr>
                <w:noProof/>
                <w:webHidden/>
              </w:rPr>
              <w:fldChar w:fldCharType="begin"/>
            </w:r>
            <w:r>
              <w:rPr>
                <w:noProof/>
                <w:webHidden/>
              </w:rPr>
              <w:instrText xml:space="preserve"> PAGEREF _Toc238816801 \h </w:instrText>
            </w:r>
            <w:r>
              <w:rPr>
                <w:noProof/>
                <w:webHidden/>
              </w:rPr>
            </w:r>
            <w:r>
              <w:rPr>
                <w:noProof/>
                <w:webHidden/>
              </w:rPr>
              <w:fldChar w:fldCharType="separate"/>
            </w:r>
            <w:r>
              <w:rPr>
                <w:noProof/>
                <w:webHidden/>
              </w:rPr>
              <w:t>18</w:t>
            </w:r>
            <w:r>
              <w:rPr>
                <w:noProof/>
                <w:webHidden/>
              </w:rPr>
              <w:fldChar w:fldCharType="end"/>
            </w:r>
          </w:hyperlink>
        </w:p>
        <w:p w14:paraId="7D5E37BA" w14:textId="5137BAA9" w:rsidR="005D5C46" w:rsidRDefault="005D5C46">
          <w:pPr>
            <w:pStyle w:val="TOC1"/>
            <w:rPr>
              <w:rFonts w:asciiTheme="minorHAnsi" w:eastAsiaTheme="minorEastAsia" w:hAnsiTheme="minorHAnsi" w:cstheme="minorBidi"/>
              <w:b w:val="0"/>
              <w:noProof/>
              <w:kern w:val="2"/>
              <w:sz w:val="24"/>
              <w:lang w:eastAsia="en-AU"/>
              <w14:ligatures w14:val="standardContextual"/>
            </w:rPr>
          </w:pPr>
          <w:hyperlink w:anchor="_Toc238816802" w:history="1">
            <w:r w:rsidRPr="00C873D2">
              <w:rPr>
                <w:rStyle w:val="Hyperlink"/>
                <w:noProof/>
              </w:rPr>
              <w:t>5.</w:t>
            </w:r>
            <w:r>
              <w:rPr>
                <w:rFonts w:asciiTheme="minorHAnsi" w:eastAsiaTheme="minorEastAsia" w:hAnsiTheme="minorHAnsi" w:cstheme="minorBidi"/>
                <w:b w:val="0"/>
                <w:noProof/>
                <w:kern w:val="2"/>
                <w:sz w:val="24"/>
                <w:lang w:eastAsia="en-AU"/>
                <w14:ligatures w14:val="standardContextual"/>
              </w:rPr>
              <w:tab/>
            </w:r>
            <w:r w:rsidRPr="00C873D2">
              <w:rPr>
                <w:rStyle w:val="Hyperlink"/>
                <w:noProof/>
              </w:rPr>
              <w:t>Definitions of terms in Chapter 4, Part 4 of the IC General Rules</w:t>
            </w:r>
            <w:r>
              <w:rPr>
                <w:noProof/>
                <w:webHidden/>
              </w:rPr>
              <w:tab/>
            </w:r>
            <w:r>
              <w:rPr>
                <w:noProof/>
                <w:webHidden/>
              </w:rPr>
              <w:fldChar w:fldCharType="begin"/>
            </w:r>
            <w:r>
              <w:rPr>
                <w:noProof/>
                <w:webHidden/>
              </w:rPr>
              <w:instrText xml:space="preserve"> PAGEREF _Toc238816802 \h </w:instrText>
            </w:r>
            <w:r>
              <w:rPr>
                <w:noProof/>
                <w:webHidden/>
              </w:rPr>
            </w:r>
            <w:r>
              <w:rPr>
                <w:noProof/>
                <w:webHidden/>
              </w:rPr>
              <w:fldChar w:fldCharType="separate"/>
            </w:r>
            <w:r>
              <w:rPr>
                <w:noProof/>
                <w:webHidden/>
              </w:rPr>
              <w:t>19</w:t>
            </w:r>
            <w:r>
              <w:rPr>
                <w:noProof/>
                <w:webHidden/>
              </w:rPr>
              <w:fldChar w:fldCharType="end"/>
            </w:r>
          </w:hyperlink>
        </w:p>
        <w:p w14:paraId="228CD993" w14:textId="53DA39C4" w:rsidR="005D5C46" w:rsidRDefault="005D5C46">
          <w:pPr>
            <w:pStyle w:val="TOC2"/>
            <w:rPr>
              <w:rFonts w:asciiTheme="minorHAnsi" w:eastAsiaTheme="minorEastAsia" w:hAnsiTheme="minorHAnsi" w:cstheme="minorBidi"/>
              <w:noProof/>
              <w:kern w:val="2"/>
              <w:sz w:val="24"/>
              <w:lang w:eastAsia="en-AU"/>
              <w14:ligatures w14:val="standardContextual"/>
            </w:rPr>
          </w:pPr>
          <w:hyperlink w:anchor="_Toc238816803" w:history="1">
            <w:r w:rsidRPr="00C873D2">
              <w:rPr>
                <w:rStyle w:val="Hyperlink"/>
                <w:noProof/>
              </w:rPr>
              <w:t>5.1</w:t>
            </w:r>
            <w:r>
              <w:rPr>
                <w:rFonts w:asciiTheme="minorHAnsi" w:eastAsiaTheme="minorEastAsia" w:hAnsiTheme="minorHAnsi" w:cstheme="minorBidi"/>
                <w:noProof/>
                <w:kern w:val="2"/>
                <w:sz w:val="24"/>
                <w:lang w:eastAsia="en-AU"/>
                <w14:ligatures w14:val="standardContextual"/>
              </w:rPr>
              <w:tab/>
            </w:r>
            <w:r w:rsidRPr="00C873D2">
              <w:rPr>
                <w:rStyle w:val="Hyperlink"/>
                <w:noProof/>
              </w:rPr>
              <w:t>The potential for the industrial chemical to migrate to food</w:t>
            </w:r>
            <w:r>
              <w:rPr>
                <w:noProof/>
                <w:webHidden/>
              </w:rPr>
              <w:tab/>
            </w:r>
            <w:r>
              <w:rPr>
                <w:noProof/>
                <w:webHidden/>
              </w:rPr>
              <w:fldChar w:fldCharType="begin"/>
            </w:r>
            <w:r>
              <w:rPr>
                <w:noProof/>
                <w:webHidden/>
              </w:rPr>
              <w:instrText xml:space="preserve"> PAGEREF _Toc238816803 \h </w:instrText>
            </w:r>
            <w:r>
              <w:rPr>
                <w:noProof/>
                <w:webHidden/>
              </w:rPr>
            </w:r>
            <w:r>
              <w:rPr>
                <w:noProof/>
                <w:webHidden/>
              </w:rPr>
              <w:fldChar w:fldCharType="separate"/>
            </w:r>
            <w:r>
              <w:rPr>
                <w:noProof/>
                <w:webHidden/>
              </w:rPr>
              <w:t>19</w:t>
            </w:r>
            <w:r>
              <w:rPr>
                <w:noProof/>
                <w:webHidden/>
              </w:rPr>
              <w:fldChar w:fldCharType="end"/>
            </w:r>
          </w:hyperlink>
        </w:p>
        <w:p w14:paraId="1083B1C0" w14:textId="39FBAE80" w:rsidR="005D5C46" w:rsidRDefault="005D5C46">
          <w:pPr>
            <w:pStyle w:val="TOC2"/>
            <w:rPr>
              <w:rFonts w:asciiTheme="minorHAnsi" w:eastAsiaTheme="minorEastAsia" w:hAnsiTheme="minorHAnsi" w:cstheme="minorBidi"/>
              <w:noProof/>
              <w:kern w:val="2"/>
              <w:sz w:val="24"/>
              <w:lang w:eastAsia="en-AU"/>
              <w14:ligatures w14:val="standardContextual"/>
            </w:rPr>
          </w:pPr>
          <w:hyperlink w:anchor="_Toc238816804" w:history="1">
            <w:r w:rsidRPr="00C873D2">
              <w:rPr>
                <w:rStyle w:val="Hyperlink"/>
                <w:noProof/>
              </w:rPr>
              <w:t>5.2</w:t>
            </w:r>
            <w:r>
              <w:rPr>
                <w:rFonts w:asciiTheme="minorHAnsi" w:eastAsiaTheme="minorEastAsia" w:hAnsiTheme="minorHAnsi" w:cstheme="minorBidi"/>
                <w:noProof/>
                <w:kern w:val="2"/>
                <w:sz w:val="24"/>
                <w:lang w:eastAsia="en-AU"/>
                <w14:ligatures w14:val="standardContextual"/>
              </w:rPr>
              <w:tab/>
            </w:r>
            <w:r w:rsidRPr="00C873D2">
              <w:rPr>
                <w:rStyle w:val="Hyperlink"/>
                <w:noProof/>
              </w:rPr>
              <w:t>The potential for the industrial chemical to be released into the mouth during end use or mouthing</w:t>
            </w:r>
            <w:r>
              <w:rPr>
                <w:noProof/>
                <w:webHidden/>
              </w:rPr>
              <w:tab/>
            </w:r>
            <w:r>
              <w:rPr>
                <w:noProof/>
                <w:webHidden/>
              </w:rPr>
              <w:fldChar w:fldCharType="begin"/>
            </w:r>
            <w:r>
              <w:rPr>
                <w:noProof/>
                <w:webHidden/>
              </w:rPr>
              <w:instrText xml:space="preserve"> PAGEREF _Toc238816804 \h </w:instrText>
            </w:r>
            <w:r>
              <w:rPr>
                <w:noProof/>
                <w:webHidden/>
              </w:rPr>
            </w:r>
            <w:r>
              <w:rPr>
                <w:noProof/>
                <w:webHidden/>
              </w:rPr>
              <w:fldChar w:fldCharType="separate"/>
            </w:r>
            <w:r>
              <w:rPr>
                <w:noProof/>
                <w:webHidden/>
              </w:rPr>
              <w:t>20</w:t>
            </w:r>
            <w:r>
              <w:rPr>
                <w:noProof/>
                <w:webHidden/>
              </w:rPr>
              <w:fldChar w:fldCharType="end"/>
            </w:r>
          </w:hyperlink>
        </w:p>
        <w:p w14:paraId="2746C1F5" w14:textId="5F93DA8D" w:rsidR="005D5C46" w:rsidRDefault="005D5C46">
          <w:pPr>
            <w:pStyle w:val="TOC2"/>
            <w:rPr>
              <w:rFonts w:asciiTheme="minorHAnsi" w:eastAsiaTheme="minorEastAsia" w:hAnsiTheme="minorHAnsi" w:cstheme="minorBidi"/>
              <w:noProof/>
              <w:kern w:val="2"/>
              <w:sz w:val="24"/>
              <w:lang w:eastAsia="en-AU"/>
              <w14:ligatures w14:val="standardContextual"/>
            </w:rPr>
          </w:pPr>
          <w:hyperlink w:anchor="_Toc238816805" w:history="1">
            <w:r w:rsidRPr="00C873D2">
              <w:rPr>
                <w:rStyle w:val="Hyperlink"/>
                <w:noProof/>
              </w:rPr>
              <w:t>5.3</w:t>
            </w:r>
            <w:r>
              <w:rPr>
                <w:rFonts w:asciiTheme="minorHAnsi" w:eastAsiaTheme="minorEastAsia" w:hAnsiTheme="minorHAnsi" w:cstheme="minorBidi"/>
                <w:noProof/>
                <w:kern w:val="2"/>
                <w:sz w:val="24"/>
                <w:lang w:eastAsia="en-AU"/>
                <w14:ligatures w14:val="standardContextual"/>
              </w:rPr>
              <w:tab/>
            </w:r>
            <w:r w:rsidRPr="00C873D2">
              <w:rPr>
                <w:rStyle w:val="Hyperlink"/>
                <w:noProof/>
              </w:rPr>
              <w:t>Toxicokinetics information</w:t>
            </w:r>
            <w:r>
              <w:rPr>
                <w:noProof/>
                <w:webHidden/>
              </w:rPr>
              <w:tab/>
            </w:r>
            <w:r>
              <w:rPr>
                <w:noProof/>
                <w:webHidden/>
              </w:rPr>
              <w:fldChar w:fldCharType="begin"/>
            </w:r>
            <w:r>
              <w:rPr>
                <w:noProof/>
                <w:webHidden/>
              </w:rPr>
              <w:instrText xml:space="preserve"> PAGEREF _Toc238816805 \h </w:instrText>
            </w:r>
            <w:r>
              <w:rPr>
                <w:noProof/>
                <w:webHidden/>
              </w:rPr>
            </w:r>
            <w:r>
              <w:rPr>
                <w:noProof/>
                <w:webHidden/>
              </w:rPr>
              <w:fldChar w:fldCharType="separate"/>
            </w:r>
            <w:r>
              <w:rPr>
                <w:noProof/>
                <w:webHidden/>
              </w:rPr>
              <w:t>20</w:t>
            </w:r>
            <w:r>
              <w:rPr>
                <w:noProof/>
                <w:webHidden/>
              </w:rPr>
              <w:fldChar w:fldCharType="end"/>
            </w:r>
          </w:hyperlink>
        </w:p>
        <w:p w14:paraId="608B981D" w14:textId="5D01B5D7" w:rsidR="005D5C46" w:rsidRDefault="005D5C46">
          <w:pPr>
            <w:pStyle w:val="TOC2"/>
            <w:rPr>
              <w:rFonts w:asciiTheme="minorHAnsi" w:eastAsiaTheme="minorEastAsia" w:hAnsiTheme="minorHAnsi" w:cstheme="minorBidi"/>
              <w:noProof/>
              <w:kern w:val="2"/>
              <w:sz w:val="24"/>
              <w:lang w:eastAsia="en-AU"/>
              <w14:ligatures w14:val="standardContextual"/>
            </w:rPr>
          </w:pPr>
          <w:hyperlink w:anchor="_Toc238816806" w:history="1">
            <w:r w:rsidRPr="00C873D2">
              <w:rPr>
                <w:rStyle w:val="Hyperlink"/>
                <w:noProof/>
              </w:rPr>
              <w:t>5.4</w:t>
            </w:r>
            <w:r>
              <w:rPr>
                <w:rFonts w:asciiTheme="minorHAnsi" w:eastAsiaTheme="minorEastAsia" w:hAnsiTheme="minorHAnsi" w:cstheme="minorBidi"/>
                <w:noProof/>
                <w:kern w:val="2"/>
                <w:sz w:val="24"/>
                <w:lang w:eastAsia="en-AU"/>
                <w14:ligatures w14:val="standardContextual"/>
              </w:rPr>
              <w:tab/>
            </w:r>
            <w:r w:rsidRPr="00C873D2">
              <w:rPr>
                <w:rStyle w:val="Hyperlink"/>
                <w:noProof/>
              </w:rPr>
              <w:t>Photostability information</w:t>
            </w:r>
            <w:r>
              <w:rPr>
                <w:noProof/>
                <w:webHidden/>
              </w:rPr>
              <w:tab/>
            </w:r>
            <w:r>
              <w:rPr>
                <w:noProof/>
                <w:webHidden/>
              </w:rPr>
              <w:fldChar w:fldCharType="begin"/>
            </w:r>
            <w:r>
              <w:rPr>
                <w:noProof/>
                <w:webHidden/>
              </w:rPr>
              <w:instrText xml:space="preserve"> PAGEREF _Toc238816806 \h </w:instrText>
            </w:r>
            <w:r>
              <w:rPr>
                <w:noProof/>
                <w:webHidden/>
              </w:rPr>
            </w:r>
            <w:r>
              <w:rPr>
                <w:noProof/>
                <w:webHidden/>
              </w:rPr>
              <w:fldChar w:fldCharType="separate"/>
            </w:r>
            <w:r>
              <w:rPr>
                <w:noProof/>
                <w:webHidden/>
              </w:rPr>
              <w:t>20</w:t>
            </w:r>
            <w:r>
              <w:rPr>
                <w:noProof/>
                <w:webHidden/>
              </w:rPr>
              <w:fldChar w:fldCharType="end"/>
            </w:r>
          </w:hyperlink>
        </w:p>
        <w:p w14:paraId="66576EA5" w14:textId="03FF26B0" w:rsidR="005D5C46" w:rsidRDefault="005D5C46">
          <w:pPr>
            <w:pStyle w:val="TOC1"/>
            <w:rPr>
              <w:rFonts w:asciiTheme="minorHAnsi" w:eastAsiaTheme="minorEastAsia" w:hAnsiTheme="minorHAnsi" w:cstheme="minorBidi"/>
              <w:b w:val="0"/>
              <w:noProof/>
              <w:kern w:val="2"/>
              <w:sz w:val="24"/>
              <w:lang w:eastAsia="en-AU"/>
              <w14:ligatures w14:val="standardContextual"/>
            </w:rPr>
          </w:pPr>
          <w:hyperlink w:anchor="_Toc238816807" w:history="1">
            <w:r w:rsidRPr="00C873D2">
              <w:rPr>
                <w:rStyle w:val="Hyperlink"/>
                <w:noProof/>
              </w:rPr>
              <w:t>6.</w:t>
            </w:r>
            <w:r>
              <w:rPr>
                <w:rFonts w:asciiTheme="minorHAnsi" w:eastAsiaTheme="minorEastAsia" w:hAnsiTheme="minorHAnsi" w:cstheme="minorBidi"/>
                <w:b w:val="0"/>
                <w:noProof/>
                <w:kern w:val="2"/>
                <w:sz w:val="24"/>
                <w:lang w:eastAsia="en-AU"/>
                <w14:ligatures w14:val="standardContextual"/>
              </w:rPr>
              <w:tab/>
            </w:r>
            <w:r w:rsidRPr="00C873D2">
              <w:rPr>
                <w:rStyle w:val="Hyperlink"/>
                <w:noProof/>
              </w:rPr>
              <w:t>Definitions of terms and concepts relating to Schedule 1 to the IC General Rules</w:t>
            </w:r>
            <w:r>
              <w:rPr>
                <w:noProof/>
                <w:webHidden/>
              </w:rPr>
              <w:tab/>
            </w:r>
            <w:r>
              <w:rPr>
                <w:noProof/>
                <w:webHidden/>
              </w:rPr>
              <w:fldChar w:fldCharType="begin"/>
            </w:r>
            <w:r>
              <w:rPr>
                <w:noProof/>
                <w:webHidden/>
              </w:rPr>
              <w:instrText xml:space="preserve"> PAGEREF _Toc238816807 \h </w:instrText>
            </w:r>
            <w:r>
              <w:rPr>
                <w:noProof/>
                <w:webHidden/>
              </w:rPr>
            </w:r>
            <w:r>
              <w:rPr>
                <w:noProof/>
                <w:webHidden/>
              </w:rPr>
              <w:fldChar w:fldCharType="separate"/>
            </w:r>
            <w:r>
              <w:rPr>
                <w:noProof/>
                <w:webHidden/>
              </w:rPr>
              <w:t>21</w:t>
            </w:r>
            <w:r>
              <w:rPr>
                <w:noProof/>
                <w:webHidden/>
              </w:rPr>
              <w:fldChar w:fldCharType="end"/>
            </w:r>
          </w:hyperlink>
        </w:p>
        <w:p w14:paraId="433C8F2D" w14:textId="1FEB438C" w:rsidR="005D5C46" w:rsidRDefault="005D5C46">
          <w:pPr>
            <w:pStyle w:val="TOC2"/>
            <w:rPr>
              <w:rFonts w:asciiTheme="minorHAnsi" w:eastAsiaTheme="minorEastAsia" w:hAnsiTheme="minorHAnsi" w:cstheme="minorBidi"/>
              <w:noProof/>
              <w:kern w:val="2"/>
              <w:sz w:val="24"/>
              <w:lang w:eastAsia="en-AU"/>
              <w14:ligatures w14:val="standardContextual"/>
            </w:rPr>
          </w:pPr>
          <w:hyperlink w:anchor="_Toc238816808" w:history="1">
            <w:r w:rsidRPr="00C873D2">
              <w:rPr>
                <w:rStyle w:val="Hyperlink"/>
                <w:noProof/>
              </w:rPr>
              <w:t>6.1</w:t>
            </w:r>
            <w:r>
              <w:rPr>
                <w:rFonts w:asciiTheme="minorHAnsi" w:eastAsiaTheme="minorEastAsia" w:hAnsiTheme="minorHAnsi" w:cstheme="minorBidi"/>
                <w:noProof/>
                <w:kern w:val="2"/>
                <w:sz w:val="24"/>
                <w:lang w:eastAsia="en-AU"/>
                <w14:ligatures w14:val="standardContextual"/>
              </w:rPr>
              <w:tab/>
            </w:r>
            <w:r w:rsidRPr="00C873D2">
              <w:rPr>
                <w:rStyle w:val="Hyperlink"/>
                <w:noProof/>
              </w:rPr>
              <w:t>Definitions of additional terms used within this Part of the Guidelines</w:t>
            </w:r>
            <w:r>
              <w:rPr>
                <w:noProof/>
                <w:webHidden/>
              </w:rPr>
              <w:tab/>
            </w:r>
            <w:r>
              <w:rPr>
                <w:noProof/>
                <w:webHidden/>
              </w:rPr>
              <w:fldChar w:fldCharType="begin"/>
            </w:r>
            <w:r>
              <w:rPr>
                <w:noProof/>
                <w:webHidden/>
              </w:rPr>
              <w:instrText xml:space="preserve"> PAGEREF _Toc238816808 \h </w:instrText>
            </w:r>
            <w:r>
              <w:rPr>
                <w:noProof/>
                <w:webHidden/>
              </w:rPr>
            </w:r>
            <w:r>
              <w:rPr>
                <w:noProof/>
                <w:webHidden/>
              </w:rPr>
              <w:fldChar w:fldCharType="separate"/>
            </w:r>
            <w:r>
              <w:rPr>
                <w:noProof/>
                <w:webHidden/>
              </w:rPr>
              <w:t>21</w:t>
            </w:r>
            <w:r>
              <w:rPr>
                <w:noProof/>
                <w:webHidden/>
              </w:rPr>
              <w:fldChar w:fldCharType="end"/>
            </w:r>
          </w:hyperlink>
        </w:p>
        <w:p w14:paraId="054D8605" w14:textId="34BCF5E1" w:rsidR="005D5C46" w:rsidRDefault="005D5C46">
          <w:pPr>
            <w:pStyle w:val="TOC2"/>
            <w:rPr>
              <w:rFonts w:asciiTheme="minorHAnsi" w:eastAsiaTheme="minorEastAsia" w:hAnsiTheme="minorHAnsi" w:cstheme="minorBidi"/>
              <w:noProof/>
              <w:kern w:val="2"/>
              <w:sz w:val="24"/>
              <w:lang w:eastAsia="en-AU"/>
              <w14:ligatures w14:val="standardContextual"/>
            </w:rPr>
          </w:pPr>
          <w:hyperlink w:anchor="_Toc238816809" w:history="1">
            <w:r w:rsidRPr="00C873D2">
              <w:rPr>
                <w:rStyle w:val="Hyperlink"/>
                <w:noProof/>
              </w:rPr>
              <w:t>6.2</w:t>
            </w:r>
            <w:r>
              <w:rPr>
                <w:rFonts w:asciiTheme="minorHAnsi" w:eastAsiaTheme="minorEastAsia" w:hAnsiTheme="minorHAnsi" w:cstheme="minorBidi"/>
                <w:noProof/>
                <w:kern w:val="2"/>
                <w:sz w:val="24"/>
                <w:lang w:eastAsia="en-AU"/>
                <w14:ligatures w14:val="standardContextual"/>
              </w:rPr>
              <w:tab/>
            </w:r>
            <w:r w:rsidRPr="00C873D2">
              <w:rPr>
                <w:rStyle w:val="Hyperlink"/>
                <w:noProof/>
              </w:rPr>
              <w:t>Use of animal test data for demonstrating the absence of hazard characteristics</w:t>
            </w:r>
            <w:r>
              <w:rPr>
                <w:noProof/>
                <w:webHidden/>
              </w:rPr>
              <w:tab/>
            </w:r>
            <w:r>
              <w:rPr>
                <w:noProof/>
                <w:webHidden/>
              </w:rPr>
              <w:fldChar w:fldCharType="begin"/>
            </w:r>
            <w:r>
              <w:rPr>
                <w:noProof/>
                <w:webHidden/>
              </w:rPr>
              <w:instrText xml:space="preserve"> PAGEREF _Toc238816809 \h </w:instrText>
            </w:r>
            <w:r>
              <w:rPr>
                <w:noProof/>
                <w:webHidden/>
              </w:rPr>
            </w:r>
            <w:r>
              <w:rPr>
                <w:noProof/>
                <w:webHidden/>
              </w:rPr>
              <w:fldChar w:fldCharType="separate"/>
            </w:r>
            <w:r>
              <w:rPr>
                <w:noProof/>
                <w:webHidden/>
              </w:rPr>
              <w:t>22</w:t>
            </w:r>
            <w:r>
              <w:rPr>
                <w:noProof/>
                <w:webHidden/>
              </w:rPr>
              <w:fldChar w:fldCharType="end"/>
            </w:r>
          </w:hyperlink>
        </w:p>
        <w:p w14:paraId="0A1B2B09" w14:textId="16E85F6D" w:rsidR="005D5C46" w:rsidRDefault="005D5C46">
          <w:pPr>
            <w:pStyle w:val="TOC2"/>
            <w:rPr>
              <w:rFonts w:asciiTheme="minorHAnsi" w:eastAsiaTheme="minorEastAsia" w:hAnsiTheme="minorHAnsi" w:cstheme="minorBidi"/>
              <w:noProof/>
              <w:kern w:val="2"/>
              <w:sz w:val="24"/>
              <w:lang w:eastAsia="en-AU"/>
              <w14:ligatures w14:val="standardContextual"/>
            </w:rPr>
          </w:pPr>
          <w:hyperlink w:anchor="_Toc238816810" w:history="1">
            <w:r w:rsidRPr="00C873D2">
              <w:rPr>
                <w:rStyle w:val="Hyperlink"/>
                <w:noProof/>
              </w:rPr>
              <w:t>6.3</w:t>
            </w:r>
            <w:r>
              <w:rPr>
                <w:rFonts w:asciiTheme="minorHAnsi" w:eastAsiaTheme="minorEastAsia" w:hAnsiTheme="minorHAnsi" w:cstheme="minorBidi"/>
                <w:noProof/>
                <w:kern w:val="2"/>
                <w:sz w:val="24"/>
                <w:lang w:eastAsia="en-AU"/>
                <w14:ligatures w14:val="standardContextual"/>
              </w:rPr>
              <w:tab/>
            </w:r>
            <w:r w:rsidRPr="00C873D2">
              <w:rPr>
                <w:rStyle w:val="Hyperlink"/>
                <w:noProof/>
              </w:rPr>
              <w:t>Carcinogenicity – Human health hazard band C</w:t>
            </w:r>
            <w:r>
              <w:rPr>
                <w:noProof/>
                <w:webHidden/>
              </w:rPr>
              <w:tab/>
            </w:r>
            <w:r>
              <w:rPr>
                <w:noProof/>
                <w:webHidden/>
              </w:rPr>
              <w:fldChar w:fldCharType="begin"/>
            </w:r>
            <w:r>
              <w:rPr>
                <w:noProof/>
                <w:webHidden/>
              </w:rPr>
              <w:instrText xml:space="preserve"> PAGEREF _Toc238816810 \h </w:instrText>
            </w:r>
            <w:r>
              <w:rPr>
                <w:noProof/>
                <w:webHidden/>
              </w:rPr>
            </w:r>
            <w:r>
              <w:rPr>
                <w:noProof/>
                <w:webHidden/>
              </w:rPr>
              <w:fldChar w:fldCharType="separate"/>
            </w:r>
            <w:r>
              <w:rPr>
                <w:noProof/>
                <w:webHidden/>
              </w:rPr>
              <w:t>22</w:t>
            </w:r>
            <w:r>
              <w:rPr>
                <w:noProof/>
                <w:webHidden/>
              </w:rPr>
              <w:fldChar w:fldCharType="end"/>
            </w:r>
          </w:hyperlink>
        </w:p>
        <w:p w14:paraId="4F4EBB1B" w14:textId="30F77606" w:rsidR="005D5C46" w:rsidRDefault="005D5C46">
          <w:pPr>
            <w:pStyle w:val="TOC2"/>
            <w:rPr>
              <w:rFonts w:asciiTheme="minorHAnsi" w:eastAsiaTheme="minorEastAsia" w:hAnsiTheme="minorHAnsi" w:cstheme="minorBidi"/>
              <w:noProof/>
              <w:kern w:val="2"/>
              <w:sz w:val="24"/>
              <w:lang w:eastAsia="en-AU"/>
              <w14:ligatures w14:val="standardContextual"/>
            </w:rPr>
          </w:pPr>
          <w:hyperlink w:anchor="_Toc238816811" w:history="1">
            <w:r w:rsidRPr="00C873D2">
              <w:rPr>
                <w:rStyle w:val="Hyperlink"/>
                <w:noProof/>
              </w:rPr>
              <w:t>6.4</w:t>
            </w:r>
            <w:r>
              <w:rPr>
                <w:rFonts w:asciiTheme="minorHAnsi" w:eastAsiaTheme="minorEastAsia" w:hAnsiTheme="minorHAnsi" w:cstheme="minorBidi"/>
                <w:noProof/>
                <w:kern w:val="2"/>
                <w:sz w:val="24"/>
                <w:lang w:eastAsia="en-AU"/>
                <w14:ligatures w14:val="standardContextual"/>
              </w:rPr>
              <w:tab/>
            </w:r>
            <w:r w:rsidRPr="00C873D2">
              <w:rPr>
                <w:rStyle w:val="Hyperlink"/>
                <w:noProof/>
              </w:rPr>
              <w:t>Reproductive toxicity – Human health hazard band C</w:t>
            </w:r>
            <w:r>
              <w:rPr>
                <w:noProof/>
                <w:webHidden/>
              </w:rPr>
              <w:tab/>
            </w:r>
            <w:r>
              <w:rPr>
                <w:noProof/>
                <w:webHidden/>
              </w:rPr>
              <w:fldChar w:fldCharType="begin"/>
            </w:r>
            <w:r>
              <w:rPr>
                <w:noProof/>
                <w:webHidden/>
              </w:rPr>
              <w:instrText xml:space="preserve"> PAGEREF _Toc238816811 \h </w:instrText>
            </w:r>
            <w:r>
              <w:rPr>
                <w:noProof/>
                <w:webHidden/>
              </w:rPr>
            </w:r>
            <w:r>
              <w:rPr>
                <w:noProof/>
                <w:webHidden/>
              </w:rPr>
              <w:fldChar w:fldCharType="separate"/>
            </w:r>
            <w:r>
              <w:rPr>
                <w:noProof/>
                <w:webHidden/>
              </w:rPr>
              <w:t>23</w:t>
            </w:r>
            <w:r>
              <w:rPr>
                <w:noProof/>
                <w:webHidden/>
              </w:rPr>
              <w:fldChar w:fldCharType="end"/>
            </w:r>
          </w:hyperlink>
        </w:p>
        <w:p w14:paraId="1A6CD58D" w14:textId="239AA9AB" w:rsidR="005D5C46" w:rsidRDefault="005D5C46">
          <w:pPr>
            <w:pStyle w:val="TOC2"/>
            <w:rPr>
              <w:rFonts w:asciiTheme="minorHAnsi" w:eastAsiaTheme="minorEastAsia" w:hAnsiTheme="minorHAnsi" w:cstheme="minorBidi"/>
              <w:noProof/>
              <w:kern w:val="2"/>
              <w:sz w:val="24"/>
              <w:lang w:eastAsia="en-AU"/>
              <w14:ligatures w14:val="standardContextual"/>
            </w:rPr>
          </w:pPr>
          <w:hyperlink w:anchor="_Toc238816812" w:history="1">
            <w:r w:rsidRPr="00C873D2">
              <w:rPr>
                <w:rStyle w:val="Hyperlink"/>
                <w:noProof/>
              </w:rPr>
              <w:t>6.5</w:t>
            </w:r>
            <w:r>
              <w:rPr>
                <w:rFonts w:asciiTheme="minorHAnsi" w:eastAsiaTheme="minorEastAsia" w:hAnsiTheme="minorHAnsi" w:cstheme="minorBidi"/>
                <w:noProof/>
                <w:kern w:val="2"/>
                <w:sz w:val="24"/>
                <w:lang w:eastAsia="en-AU"/>
                <w14:ligatures w14:val="standardContextual"/>
              </w:rPr>
              <w:tab/>
            </w:r>
            <w:r w:rsidRPr="00C873D2">
              <w:rPr>
                <w:rStyle w:val="Hyperlink"/>
                <w:noProof/>
              </w:rPr>
              <w:t>Developmental toxicity – Human health hazard band C</w:t>
            </w:r>
            <w:r>
              <w:rPr>
                <w:noProof/>
                <w:webHidden/>
              </w:rPr>
              <w:tab/>
            </w:r>
            <w:r>
              <w:rPr>
                <w:noProof/>
                <w:webHidden/>
              </w:rPr>
              <w:fldChar w:fldCharType="begin"/>
            </w:r>
            <w:r>
              <w:rPr>
                <w:noProof/>
                <w:webHidden/>
              </w:rPr>
              <w:instrText xml:space="preserve"> PAGEREF _Toc238816812 \h </w:instrText>
            </w:r>
            <w:r>
              <w:rPr>
                <w:noProof/>
                <w:webHidden/>
              </w:rPr>
            </w:r>
            <w:r>
              <w:rPr>
                <w:noProof/>
                <w:webHidden/>
              </w:rPr>
              <w:fldChar w:fldCharType="separate"/>
            </w:r>
            <w:r>
              <w:rPr>
                <w:noProof/>
                <w:webHidden/>
              </w:rPr>
              <w:t>26</w:t>
            </w:r>
            <w:r>
              <w:rPr>
                <w:noProof/>
                <w:webHidden/>
              </w:rPr>
              <w:fldChar w:fldCharType="end"/>
            </w:r>
          </w:hyperlink>
        </w:p>
        <w:p w14:paraId="5C49346C" w14:textId="666CAB06" w:rsidR="005D5C46" w:rsidRDefault="005D5C46">
          <w:pPr>
            <w:pStyle w:val="TOC2"/>
            <w:rPr>
              <w:rFonts w:asciiTheme="minorHAnsi" w:eastAsiaTheme="minorEastAsia" w:hAnsiTheme="minorHAnsi" w:cstheme="minorBidi"/>
              <w:noProof/>
              <w:kern w:val="2"/>
              <w:sz w:val="24"/>
              <w:lang w:eastAsia="en-AU"/>
              <w14:ligatures w14:val="standardContextual"/>
            </w:rPr>
          </w:pPr>
          <w:hyperlink w:anchor="_Toc238816813" w:history="1">
            <w:r w:rsidRPr="00C873D2">
              <w:rPr>
                <w:rStyle w:val="Hyperlink"/>
                <w:noProof/>
              </w:rPr>
              <w:t xml:space="preserve">6.6 </w:t>
            </w:r>
            <w:r>
              <w:rPr>
                <w:rFonts w:asciiTheme="minorHAnsi" w:eastAsiaTheme="minorEastAsia" w:hAnsiTheme="minorHAnsi" w:cstheme="minorBidi"/>
                <w:noProof/>
                <w:kern w:val="2"/>
                <w:sz w:val="24"/>
                <w:lang w:eastAsia="en-AU"/>
                <w14:ligatures w14:val="standardContextual"/>
              </w:rPr>
              <w:tab/>
            </w:r>
            <w:r w:rsidRPr="00C873D2">
              <w:rPr>
                <w:rStyle w:val="Hyperlink"/>
                <w:noProof/>
              </w:rPr>
              <w:t>Adverse effects mediated by an endocrine mode of action – Human health hazard band C</w:t>
            </w:r>
            <w:r>
              <w:rPr>
                <w:noProof/>
                <w:webHidden/>
              </w:rPr>
              <w:tab/>
            </w:r>
            <w:r>
              <w:rPr>
                <w:noProof/>
                <w:webHidden/>
              </w:rPr>
              <w:fldChar w:fldCharType="begin"/>
            </w:r>
            <w:r>
              <w:rPr>
                <w:noProof/>
                <w:webHidden/>
              </w:rPr>
              <w:instrText xml:space="preserve"> PAGEREF _Toc238816813 \h </w:instrText>
            </w:r>
            <w:r>
              <w:rPr>
                <w:noProof/>
                <w:webHidden/>
              </w:rPr>
            </w:r>
            <w:r>
              <w:rPr>
                <w:noProof/>
                <w:webHidden/>
              </w:rPr>
              <w:fldChar w:fldCharType="separate"/>
            </w:r>
            <w:r>
              <w:rPr>
                <w:noProof/>
                <w:webHidden/>
              </w:rPr>
              <w:t>29</w:t>
            </w:r>
            <w:r>
              <w:rPr>
                <w:noProof/>
                <w:webHidden/>
              </w:rPr>
              <w:fldChar w:fldCharType="end"/>
            </w:r>
          </w:hyperlink>
        </w:p>
        <w:p w14:paraId="7F6D07E5" w14:textId="358D83EF" w:rsidR="005D5C46" w:rsidRDefault="005D5C46">
          <w:pPr>
            <w:pStyle w:val="TOC2"/>
            <w:rPr>
              <w:rFonts w:asciiTheme="minorHAnsi" w:eastAsiaTheme="minorEastAsia" w:hAnsiTheme="minorHAnsi" w:cstheme="minorBidi"/>
              <w:noProof/>
              <w:kern w:val="2"/>
              <w:sz w:val="24"/>
              <w:lang w:eastAsia="en-AU"/>
              <w14:ligatures w14:val="standardContextual"/>
            </w:rPr>
          </w:pPr>
          <w:hyperlink w:anchor="_Toc238816814" w:history="1">
            <w:r w:rsidRPr="00C873D2">
              <w:rPr>
                <w:rStyle w:val="Hyperlink"/>
                <w:noProof/>
              </w:rPr>
              <w:t xml:space="preserve">6.7 </w:t>
            </w:r>
            <w:r>
              <w:rPr>
                <w:rFonts w:asciiTheme="minorHAnsi" w:eastAsiaTheme="minorEastAsia" w:hAnsiTheme="minorHAnsi" w:cstheme="minorBidi"/>
                <w:noProof/>
                <w:kern w:val="2"/>
                <w:sz w:val="24"/>
                <w:lang w:eastAsia="en-AU"/>
                <w14:ligatures w14:val="standardContextual"/>
              </w:rPr>
              <w:tab/>
            </w:r>
            <w:r w:rsidRPr="00C873D2">
              <w:rPr>
                <w:rStyle w:val="Hyperlink"/>
                <w:noProof/>
              </w:rPr>
              <w:t>Genetic toxicity – Human health hazard band C</w:t>
            </w:r>
            <w:r>
              <w:rPr>
                <w:noProof/>
                <w:webHidden/>
              </w:rPr>
              <w:tab/>
            </w:r>
            <w:r>
              <w:rPr>
                <w:noProof/>
                <w:webHidden/>
              </w:rPr>
              <w:fldChar w:fldCharType="begin"/>
            </w:r>
            <w:r>
              <w:rPr>
                <w:noProof/>
                <w:webHidden/>
              </w:rPr>
              <w:instrText xml:space="preserve"> PAGEREF _Toc238816814 \h </w:instrText>
            </w:r>
            <w:r>
              <w:rPr>
                <w:noProof/>
                <w:webHidden/>
              </w:rPr>
            </w:r>
            <w:r>
              <w:rPr>
                <w:noProof/>
                <w:webHidden/>
              </w:rPr>
              <w:fldChar w:fldCharType="separate"/>
            </w:r>
            <w:r>
              <w:rPr>
                <w:noProof/>
                <w:webHidden/>
              </w:rPr>
              <w:t>31</w:t>
            </w:r>
            <w:r>
              <w:rPr>
                <w:noProof/>
                <w:webHidden/>
              </w:rPr>
              <w:fldChar w:fldCharType="end"/>
            </w:r>
          </w:hyperlink>
        </w:p>
        <w:p w14:paraId="14D4D547" w14:textId="79475864" w:rsidR="005D5C46" w:rsidRDefault="005D5C46">
          <w:pPr>
            <w:pStyle w:val="TOC2"/>
            <w:rPr>
              <w:rFonts w:asciiTheme="minorHAnsi" w:eastAsiaTheme="minorEastAsia" w:hAnsiTheme="minorHAnsi" w:cstheme="minorBidi"/>
              <w:noProof/>
              <w:kern w:val="2"/>
              <w:sz w:val="24"/>
              <w:lang w:eastAsia="en-AU"/>
              <w14:ligatures w14:val="standardContextual"/>
            </w:rPr>
          </w:pPr>
          <w:hyperlink w:anchor="_Toc238816815" w:history="1">
            <w:r w:rsidRPr="00C873D2">
              <w:rPr>
                <w:rStyle w:val="Hyperlink"/>
                <w:noProof/>
              </w:rPr>
              <w:t xml:space="preserve">6.8 </w:t>
            </w:r>
            <w:r>
              <w:rPr>
                <w:rFonts w:asciiTheme="minorHAnsi" w:eastAsiaTheme="minorEastAsia" w:hAnsiTheme="minorHAnsi" w:cstheme="minorBidi"/>
                <w:noProof/>
                <w:kern w:val="2"/>
                <w:sz w:val="24"/>
                <w:lang w:eastAsia="en-AU"/>
                <w14:ligatures w14:val="standardContextual"/>
              </w:rPr>
              <w:tab/>
            </w:r>
            <w:r w:rsidRPr="00C873D2">
              <w:rPr>
                <w:rStyle w:val="Hyperlink"/>
                <w:noProof/>
              </w:rPr>
              <w:t>High molecular weight polymer that is water absorbing – Human health hazard band B</w:t>
            </w:r>
            <w:r>
              <w:rPr>
                <w:noProof/>
                <w:webHidden/>
              </w:rPr>
              <w:tab/>
            </w:r>
            <w:r>
              <w:rPr>
                <w:noProof/>
                <w:webHidden/>
              </w:rPr>
              <w:fldChar w:fldCharType="begin"/>
            </w:r>
            <w:r>
              <w:rPr>
                <w:noProof/>
                <w:webHidden/>
              </w:rPr>
              <w:instrText xml:space="preserve"> PAGEREF _Toc238816815 \h </w:instrText>
            </w:r>
            <w:r>
              <w:rPr>
                <w:noProof/>
                <w:webHidden/>
              </w:rPr>
            </w:r>
            <w:r>
              <w:rPr>
                <w:noProof/>
                <w:webHidden/>
              </w:rPr>
              <w:fldChar w:fldCharType="separate"/>
            </w:r>
            <w:r>
              <w:rPr>
                <w:noProof/>
                <w:webHidden/>
              </w:rPr>
              <w:t>33</w:t>
            </w:r>
            <w:r>
              <w:rPr>
                <w:noProof/>
                <w:webHidden/>
              </w:rPr>
              <w:fldChar w:fldCharType="end"/>
            </w:r>
          </w:hyperlink>
        </w:p>
        <w:p w14:paraId="4406CCA6" w14:textId="26C72D24" w:rsidR="005D5C46" w:rsidRDefault="005D5C46">
          <w:pPr>
            <w:pStyle w:val="TOC2"/>
            <w:rPr>
              <w:rFonts w:asciiTheme="minorHAnsi" w:eastAsiaTheme="minorEastAsia" w:hAnsiTheme="minorHAnsi" w:cstheme="minorBidi"/>
              <w:noProof/>
              <w:kern w:val="2"/>
              <w:sz w:val="24"/>
              <w:lang w:eastAsia="en-AU"/>
              <w14:ligatures w14:val="standardContextual"/>
            </w:rPr>
          </w:pPr>
          <w:hyperlink w:anchor="_Toc238816816" w:history="1">
            <w:r w:rsidRPr="00C873D2">
              <w:rPr>
                <w:rStyle w:val="Hyperlink"/>
                <w:noProof/>
              </w:rPr>
              <w:t xml:space="preserve">6.9 </w:t>
            </w:r>
            <w:r>
              <w:rPr>
                <w:rFonts w:asciiTheme="minorHAnsi" w:eastAsiaTheme="minorEastAsia" w:hAnsiTheme="minorHAnsi" w:cstheme="minorBidi"/>
                <w:noProof/>
                <w:kern w:val="2"/>
                <w:sz w:val="24"/>
                <w:lang w:eastAsia="en-AU"/>
                <w14:ligatures w14:val="standardContextual"/>
              </w:rPr>
              <w:tab/>
            </w:r>
            <w:r w:rsidRPr="00C873D2">
              <w:rPr>
                <w:rStyle w:val="Hyperlink"/>
                <w:noProof/>
              </w:rPr>
              <w:t>Respiratory sensitisation – Human health hazard band B</w:t>
            </w:r>
            <w:r>
              <w:rPr>
                <w:noProof/>
                <w:webHidden/>
              </w:rPr>
              <w:tab/>
            </w:r>
            <w:r>
              <w:rPr>
                <w:noProof/>
                <w:webHidden/>
              </w:rPr>
              <w:fldChar w:fldCharType="begin"/>
            </w:r>
            <w:r>
              <w:rPr>
                <w:noProof/>
                <w:webHidden/>
              </w:rPr>
              <w:instrText xml:space="preserve"> PAGEREF _Toc238816816 \h </w:instrText>
            </w:r>
            <w:r>
              <w:rPr>
                <w:noProof/>
                <w:webHidden/>
              </w:rPr>
            </w:r>
            <w:r>
              <w:rPr>
                <w:noProof/>
                <w:webHidden/>
              </w:rPr>
              <w:fldChar w:fldCharType="separate"/>
            </w:r>
            <w:r>
              <w:rPr>
                <w:noProof/>
                <w:webHidden/>
              </w:rPr>
              <w:t>34</w:t>
            </w:r>
            <w:r>
              <w:rPr>
                <w:noProof/>
                <w:webHidden/>
              </w:rPr>
              <w:fldChar w:fldCharType="end"/>
            </w:r>
          </w:hyperlink>
        </w:p>
        <w:p w14:paraId="53E5DD90" w14:textId="345B69AE" w:rsidR="005D5C46" w:rsidRDefault="005D5C46">
          <w:pPr>
            <w:pStyle w:val="TOC2"/>
            <w:rPr>
              <w:rFonts w:asciiTheme="minorHAnsi" w:eastAsiaTheme="minorEastAsia" w:hAnsiTheme="minorHAnsi" w:cstheme="minorBidi"/>
              <w:noProof/>
              <w:kern w:val="2"/>
              <w:sz w:val="24"/>
              <w:lang w:eastAsia="en-AU"/>
              <w14:ligatures w14:val="standardContextual"/>
            </w:rPr>
          </w:pPr>
          <w:hyperlink w:anchor="_Toc238816817" w:history="1">
            <w:r w:rsidRPr="00C873D2">
              <w:rPr>
                <w:rStyle w:val="Hyperlink"/>
                <w:noProof/>
              </w:rPr>
              <w:t xml:space="preserve">6.10 </w:t>
            </w:r>
            <w:r>
              <w:rPr>
                <w:rFonts w:asciiTheme="minorHAnsi" w:eastAsiaTheme="minorEastAsia" w:hAnsiTheme="minorHAnsi" w:cstheme="minorBidi"/>
                <w:noProof/>
                <w:kern w:val="2"/>
                <w:sz w:val="24"/>
                <w:lang w:eastAsia="en-AU"/>
                <w14:ligatures w14:val="standardContextual"/>
              </w:rPr>
              <w:tab/>
            </w:r>
            <w:r w:rsidRPr="00C873D2">
              <w:rPr>
                <w:rStyle w:val="Hyperlink"/>
                <w:noProof/>
              </w:rPr>
              <w:t>Corrosive to the respiratory tract – Human health hazard band B</w:t>
            </w:r>
            <w:r>
              <w:rPr>
                <w:noProof/>
                <w:webHidden/>
              </w:rPr>
              <w:tab/>
            </w:r>
            <w:r>
              <w:rPr>
                <w:noProof/>
                <w:webHidden/>
              </w:rPr>
              <w:fldChar w:fldCharType="begin"/>
            </w:r>
            <w:r>
              <w:rPr>
                <w:noProof/>
                <w:webHidden/>
              </w:rPr>
              <w:instrText xml:space="preserve"> PAGEREF _Toc238816817 \h </w:instrText>
            </w:r>
            <w:r>
              <w:rPr>
                <w:noProof/>
                <w:webHidden/>
              </w:rPr>
            </w:r>
            <w:r>
              <w:rPr>
                <w:noProof/>
                <w:webHidden/>
              </w:rPr>
              <w:fldChar w:fldCharType="separate"/>
            </w:r>
            <w:r>
              <w:rPr>
                <w:noProof/>
                <w:webHidden/>
              </w:rPr>
              <w:t>35</w:t>
            </w:r>
            <w:r>
              <w:rPr>
                <w:noProof/>
                <w:webHidden/>
              </w:rPr>
              <w:fldChar w:fldCharType="end"/>
            </w:r>
          </w:hyperlink>
        </w:p>
        <w:p w14:paraId="3471AE50" w14:textId="2A58A030" w:rsidR="005D5C46" w:rsidRDefault="005D5C46">
          <w:pPr>
            <w:pStyle w:val="TOC2"/>
            <w:rPr>
              <w:rFonts w:asciiTheme="minorHAnsi" w:eastAsiaTheme="minorEastAsia" w:hAnsiTheme="minorHAnsi" w:cstheme="minorBidi"/>
              <w:noProof/>
              <w:kern w:val="2"/>
              <w:sz w:val="24"/>
              <w:lang w:eastAsia="en-AU"/>
              <w14:ligatures w14:val="standardContextual"/>
            </w:rPr>
          </w:pPr>
          <w:hyperlink w:anchor="_Toc238816818" w:history="1">
            <w:r w:rsidRPr="00C873D2">
              <w:rPr>
                <w:rStyle w:val="Hyperlink"/>
                <w:noProof/>
              </w:rPr>
              <w:t>6.11 Specific target organ toxicity after a single exposure (significant toxicity) – Human health hazard band B</w:t>
            </w:r>
            <w:r>
              <w:rPr>
                <w:noProof/>
                <w:webHidden/>
              </w:rPr>
              <w:tab/>
            </w:r>
            <w:r>
              <w:rPr>
                <w:noProof/>
                <w:webHidden/>
              </w:rPr>
              <w:fldChar w:fldCharType="begin"/>
            </w:r>
            <w:r>
              <w:rPr>
                <w:noProof/>
                <w:webHidden/>
              </w:rPr>
              <w:instrText xml:space="preserve"> PAGEREF _Toc238816818 \h </w:instrText>
            </w:r>
            <w:r>
              <w:rPr>
                <w:noProof/>
                <w:webHidden/>
              </w:rPr>
            </w:r>
            <w:r>
              <w:rPr>
                <w:noProof/>
                <w:webHidden/>
              </w:rPr>
              <w:fldChar w:fldCharType="separate"/>
            </w:r>
            <w:r>
              <w:rPr>
                <w:noProof/>
                <w:webHidden/>
              </w:rPr>
              <w:t>35</w:t>
            </w:r>
            <w:r>
              <w:rPr>
                <w:noProof/>
                <w:webHidden/>
              </w:rPr>
              <w:fldChar w:fldCharType="end"/>
            </w:r>
          </w:hyperlink>
        </w:p>
        <w:p w14:paraId="0838F41B" w14:textId="74F41FC9" w:rsidR="005D5C46" w:rsidRDefault="005D5C46">
          <w:pPr>
            <w:pStyle w:val="TOC2"/>
            <w:rPr>
              <w:rFonts w:asciiTheme="minorHAnsi" w:eastAsiaTheme="minorEastAsia" w:hAnsiTheme="minorHAnsi" w:cstheme="minorBidi"/>
              <w:noProof/>
              <w:kern w:val="2"/>
              <w:sz w:val="24"/>
              <w:lang w:eastAsia="en-AU"/>
              <w14:ligatures w14:val="standardContextual"/>
            </w:rPr>
          </w:pPr>
          <w:hyperlink w:anchor="_Toc238816819" w:history="1">
            <w:r w:rsidRPr="00C873D2">
              <w:rPr>
                <w:rStyle w:val="Hyperlink"/>
                <w:noProof/>
              </w:rPr>
              <w:t>6.12</w:t>
            </w:r>
            <w:r>
              <w:rPr>
                <w:rFonts w:asciiTheme="minorHAnsi" w:eastAsiaTheme="minorEastAsia" w:hAnsiTheme="minorHAnsi" w:cstheme="minorBidi"/>
                <w:noProof/>
                <w:kern w:val="2"/>
                <w:sz w:val="24"/>
                <w:lang w:eastAsia="en-AU"/>
                <w14:ligatures w14:val="standardContextual"/>
              </w:rPr>
              <w:tab/>
            </w:r>
            <w:r w:rsidRPr="00C873D2">
              <w:rPr>
                <w:rStyle w:val="Hyperlink"/>
                <w:noProof/>
              </w:rPr>
              <w:t>Skin corrosion – Human health hazard band B</w:t>
            </w:r>
            <w:r>
              <w:rPr>
                <w:noProof/>
                <w:webHidden/>
              </w:rPr>
              <w:tab/>
            </w:r>
            <w:r>
              <w:rPr>
                <w:noProof/>
                <w:webHidden/>
              </w:rPr>
              <w:fldChar w:fldCharType="begin"/>
            </w:r>
            <w:r>
              <w:rPr>
                <w:noProof/>
                <w:webHidden/>
              </w:rPr>
              <w:instrText xml:space="preserve"> PAGEREF _Toc238816819 \h </w:instrText>
            </w:r>
            <w:r>
              <w:rPr>
                <w:noProof/>
                <w:webHidden/>
              </w:rPr>
            </w:r>
            <w:r>
              <w:rPr>
                <w:noProof/>
                <w:webHidden/>
              </w:rPr>
              <w:fldChar w:fldCharType="separate"/>
            </w:r>
            <w:r>
              <w:rPr>
                <w:noProof/>
                <w:webHidden/>
              </w:rPr>
              <w:t>36</w:t>
            </w:r>
            <w:r>
              <w:rPr>
                <w:noProof/>
                <w:webHidden/>
              </w:rPr>
              <w:fldChar w:fldCharType="end"/>
            </w:r>
          </w:hyperlink>
        </w:p>
        <w:p w14:paraId="0BF95666" w14:textId="0FC39837" w:rsidR="005D5C46" w:rsidRDefault="005D5C46">
          <w:pPr>
            <w:pStyle w:val="TOC2"/>
            <w:rPr>
              <w:rFonts w:asciiTheme="minorHAnsi" w:eastAsiaTheme="minorEastAsia" w:hAnsiTheme="minorHAnsi" w:cstheme="minorBidi"/>
              <w:noProof/>
              <w:kern w:val="2"/>
              <w:sz w:val="24"/>
              <w:lang w:eastAsia="en-AU"/>
              <w14:ligatures w14:val="standardContextual"/>
            </w:rPr>
          </w:pPr>
          <w:hyperlink w:anchor="_Toc238816820" w:history="1">
            <w:r w:rsidRPr="00C873D2">
              <w:rPr>
                <w:rStyle w:val="Hyperlink"/>
                <w:noProof/>
              </w:rPr>
              <w:t>6.13</w:t>
            </w:r>
            <w:r>
              <w:rPr>
                <w:rFonts w:asciiTheme="minorHAnsi" w:eastAsiaTheme="minorEastAsia" w:hAnsiTheme="minorHAnsi" w:cstheme="minorBidi"/>
                <w:noProof/>
                <w:kern w:val="2"/>
                <w:sz w:val="24"/>
                <w:lang w:eastAsia="en-AU"/>
                <w14:ligatures w14:val="standardContextual"/>
              </w:rPr>
              <w:tab/>
            </w:r>
            <w:r w:rsidRPr="00C873D2">
              <w:rPr>
                <w:rStyle w:val="Hyperlink"/>
                <w:noProof/>
              </w:rPr>
              <w:t>Eye damage – Human health hazard band B</w:t>
            </w:r>
            <w:r>
              <w:rPr>
                <w:noProof/>
                <w:webHidden/>
              </w:rPr>
              <w:tab/>
            </w:r>
            <w:r>
              <w:rPr>
                <w:noProof/>
                <w:webHidden/>
              </w:rPr>
              <w:fldChar w:fldCharType="begin"/>
            </w:r>
            <w:r>
              <w:rPr>
                <w:noProof/>
                <w:webHidden/>
              </w:rPr>
              <w:instrText xml:space="preserve"> PAGEREF _Toc238816820 \h </w:instrText>
            </w:r>
            <w:r>
              <w:rPr>
                <w:noProof/>
                <w:webHidden/>
              </w:rPr>
            </w:r>
            <w:r>
              <w:rPr>
                <w:noProof/>
                <w:webHidden/>
              </w:rPr>
              <w:fldChar w:fldCharType="separate"/>
            </w:r>
            <w:r>
              <w:rPr>
                <w:noProof/>
                <w:webHidden/>
              </w:rPr>
              <w:t>37</w:t>
            </w:r>
            <w:r>
              <w:rPr>
                <w:noProof/>
                <w:webHidden/>
              </w:rPr>
              <w:fldChar w:fldCharType="end"/>
            </w:r>
          </w:hyperlink>
        </w:p>
        <w:p w14:paraId="77744F6F" w14:textId="3BD76FDC" w:rsidR="005D5C46" w:rsidRDefault="005D5C46">
          <w:pPr>
            <w:pStyle w:val="TOC2"/>
            <w:rPr>
              <w:rFonts w:asciiTheme="minorHAnsi" w:eastAsiaTheme="minorEastAsia" w:hAnsiTheme="minorHAnsi" w:cstheme="minorBidi"/>
              <w:noProof/>
              <w:kern w:val="2"/>
              <w:sz w:val="24"/>
              <w:lang w:eastAsia="en-AU"/>
              <w14:ligatures w14:val="standardContextual"/>
            </w:rPr>
          </w:pPr>
          <w:hyperlink w:anchor="_Toc238816821" w:history="1">
            <w:r w:rsidRPr="00C873D2">
              <w:rPr>
                <w:rStyle w:val="Hyperlink"/>
                <w:noProof/>
              </w:rPr>
              <w:t>6.14 Skin sensitisation – Human health hazard band B</w:t>
            </w:r>
            <w:r>
              <w:rPr>
                <w:noProof/>
                <w:webHidden/>
              </w:rPr>
              <w:tab/>
            </w:r>
            <w:r>
              <w:rPr>
                <w:noProof/>
                <w:webHidden/>
              </w:rPr>
              <w:fldChar w:fldCharType="begin"/>
            </w:r>
            <w:r>
              <w:rPr>
                <w:noProof/>
                <w:webHidden/>
              </w:rPr>
              <w:instrText xml:space="preserve"> PAGEREF _Toc238816821 \h </w:instrText>
            </w:r>
            <w:r>
              <w:rPr>
                <w:noProof/>
                <w:webHidden/>
              </w:rPr>
            </w:r>
            <w:r>
              <w:rPr>
                <w:noProof/>
                <w:webHidden/>
              </w:rPr>
              <w:fldChar w:fldCharType="separate"/>
            </w:r>
            <w:r>
              <w:rPr>
                <w:noProof/>
                <w:webHidden/>
              </w:rPr>
              <w:t>38</w:t>
            </w:r>
            <w:r>
              <w:rPr>
                <w:noProof/>
                <w:webHidden/>
              </w:rPr>
              <w:fldChar w:fldCharType="end"/>
            </w:r>
          </w:hyperlink>
        </w:p>
        <w:p w14:paraId="441840FF" w14:textId="210B08BB" w:rsidR="005D5C46" w:rsidRDefault="005D5C46">
          <w:pPr>
            <w:pStyle w:val="TOC2"/>
            <w:rPr>
              <w:rFonts w:asciiTheme="minorHAnsi" w:eastAsiaTheme="minorEastAsia" w:hAnsiTheme="minorHAnsi" w:cstheme="minorBidi"/>
              <w:noProof/>
              <w:kern w:val="2"/>
              <w:sz w:val="24"/>
              <w:lang w:eastAsia="en-AU"/>
              <w14:ligatures w14:val="standardContextual"/>
            </w:rPr>
          </w:pPr>
          <w:hyperlink w:anchor="_Toc238816822" w:history="1">
            <w:r w:rsidRPr="00C873D2">
              <w:rPr>
                <w:rStyle w:val="Hyperlink"/>
                <w:noProof/>
              </w:rPr>
              <w:t>6.15 Acute toxicity (fatal or toxic) – Human health hazard band B</w:t>
            </w:r>
            <w:r>
              <w:rPr>
                <w:noProof/>
                <w:webHidden/>
              </w:rPr>
              <w:tab/>
            </w:r>
            <w:r>
              <w:rPr>
                <w:noProof/>
                <w:webHidden/>
              </w:rPr>
              <w:fldChar w:fldCharType="begin"/>
            </w:r>
            <w:r>
              <w:rPr>
                <w:noProof/>
                <w:webHidden/>
              </w:rPr>
              <w:instrText xml:space="preserve"> PAGEREF _Toc238816822 \h </w:instrText>
            </w:r>
            <w:r>
              <w:rPr>
                <w:noProof/>
                <w:webHidden/>
              </w:rPr>
            </w:r>
            <w:r>
              <w:rPr>
                <w:noProof/>
                <w:webHidden/>
              </w:rPr>
              <w:fldChar w:fldCharType="separate"/>
            </w:r>
            <w:r>
              <w:rPr>
                <w:noProof/>
                <w:webHidden/>
              </w:rPr>
              <w:t>40</w:t>
            </w:r>
            <w:r>
              <w:rPr>
                <w:noProof/>
                <w:webHidden/>
              </w:rPr>
              <w:fldChar w:fldCharType="end"/>
            </w:r>
          </w:hyperlink>
        </w:p>
        <w:p w14:paraId="71825139" w14:textId="15A98B65" w:rsidR="005D5C46" w:rsidRDefault="005D5C46">
          <w:pPr>
            <w:pStyle w:val="TOC2"/>
            <w:rPr>
              <w:rFonts w:asciiTheme="minorHAnsi" w:eastAsiaTheme="minorEastAsia" w:hAnsiTheme="minorHAnsi" w:cstheme="minorBidi"/>
              <w:noProof/>
              <w:kern w:val="2"/>
              <w:sz w:val="24"/>
              <w:lang w:eastAsia="en-AU"/>
              <w14:ligatures w14:val="standardContextual"/>
            </w:rPr>
          </w:pPr>
          <w:hyperlink w:anchor="_Toc238816823" w:history="1">
            <w:r w:rsidRPr="00C873D2">
              <w:rPr>
                <w:rStyle w:val="Hyperlink"/>
                <w:noProof/>
              </w:rPr>
              <w:t>6.16</w:t>
            </w:r>
            <w:r>
              <w:rPr>
                <w:rFonts w:asciiTheme="minorHAnsi" w:eastAsiaTheme="minorEastAsia" w:hAnsiTheme="minorHAnsi" w:cstheme="minorBidi"/>
                <w:noProof/>
                <w:kern w:val="2"/>
                <w:sz w:val="24"/>
                <w:lang w:eastAsia="en-AU"/>
                <w14:ligatures w14:val="standardContextual"/>
              </w:rPr>
              <w:tab/>
            </w:r>
            <w:r w:rsidRPr="00C873D2">
              <w:rPr>
                <w:rStyle w:val="Hyperlink"/>
                <w:noProof/>
              </w:rPr>
              <w:t>Specific target organ toxicity after repeated exposure – Human health hazard band B</w:t>
            </w:r>
            <w:r>
              <w:rPr>
                <w:noProof/>
                <w:webHidden/>
              </w:rPr>
              <w:tab/>
            </w:r>
            <w:r>
              <w:rPr>
                <w:noProof/>
                <w:webHidden/>
              </w:rPr>
              <w:fldChar w:fldCharType="begin"/>
            </w:r>
            <w:r>
              <w:rPr>
                <w:noProof/>
                <w:webHidden/>
              </w:rPr>
              <w:instrText xml:space="preserve"> PAGEREF _Toc238816823 \h </w:instrText>
            </w:r>
            <w:r>
              <w:rPr>
                <w:noProof/>
                <w:webHidden/>
              </w:rPr>
            </w:r>
            <w:r>
              <w:rPr>
                <w:noProof/>
                <w:webHidden/>
              </w:rPr>
              <w:fldChar w:fldCharType="separate"/>
            </w:r>
            <w:r>
              <w:rPr>
                <w:noProof/>
                <w:webHidden/>
              </w:rPr>
              <w:t>42</w:t>
            </w:r>
            <w:r>
              <w:rPr>
                <w:noProof/>
                <w:webHidden/>
              </w:rPr>
              <w:fldChar w:fldCharType="end"/>
            </w:r>
          </w:hyperlink>
        </w:p>
        <w:p w14:paraId="2F72E8B3" w14:textId="78078BEC" w:rsidR="005D5C46" w:rsidRDefault="005D5C46">
          <w:pPr>
            <w:pStyle w:val="TOC2"/>
            <w:rPr>
              <w:rFonts w:asciiTheme="minorHAnsi" w:eastAsiaTheme="minorEastAsia" w:hAnsiTheme="minorHAnsi" w:cstheme="minorBidi"/>
              <w:noProof/>
              <w:kern w:val="2"/>
              <w:sz w:val="24"/>
              <w:lang w:eastAsia="en-AU"/>
              <w14:ligatures w14:val="standardContextual"/>
            </w:rPr>
          </w:pPr>
          <w:hyperlink w:anchor="_Toc238816824" w:history="1">
            <w:r w:rsidRPr="00C873D2">
              <w:rPr>
                <w:rStyle w:val="Hyperlink"/>
                <w:noProof/>
              </w:rPr>
              <w:t>6.17</w:t>
            </w:r>
            <w:r>
              <w:rPr>
                <w:rFonts w:asciiTheme="minorHAnsi" w:eastAsiaTheme="minorEastAsia" w:hAnsiTheme="minorHAnsi" w:cstheme="minorBidi"/>
                <w:noProof/>
                <w:kern w:val="2"/>
                <w:sz w:val="24"/>
                <w:lang w:eastAsia="en-AU"/>
                <w14:ligatures w14:val="standardContextual"/>
              </w:rPr>
              <w:tab/>
            </w:r>
            <w:r w:rsidRPr="00C873D2">
              <w:rPr>
                <w:rStyle w:val="Hyperlink"/>
                <w:noProof/>
              </w:rPr>
              <w:t>High molecular weight polymer that has lung overloading potential – Human health hazard band A</w:t>
            </w:r>
            <w:r>
              <w:rPr>
                <w:noProof/>
                <w:webHidden/>
              </w:rPr>
              <w:tab/>
            </w:r>
            <w:r>
              <w:rPr>
                <w:noProof/>
                <w:webHidden/>
              </w:rPr>
              <w:fldChar w:fldCharType="begin"/>
            </w:r>
            <w:r>
              <w:rPr>
                <w:noProof/>
                <w:webHidden/>
              </w:rPr>
              <w:instrText xml:space="preserve"> PAGEREF _Toc238816824 \h </w:instrText>
            </w:r>
            <w:r>
              <w:rPr>
                <w:noProof/>
                <w:webHidden/>
              </w:rPr>
            </w:r>
            <w:r>
              <w:rPr>
                <w:noProof/>
                <w:webHidden/>
              </w:rPr>
              <w:fldChar w:fldCharType="separate"/>
            </w:r>
            <w:r>
              <w:rPr>
                <w:noProof/>
                <w:webHidden/>
              </w:rPr>
              <w:t>44</w:t>
            </w:r>
            <w:r>
              <w:rPr>
                <w:noProof/>
                <w:webHidden/>
              </w:rPr>
              <w:fldChar w:fldCharType="end"/>
            </w:r>
          </w:hyperlink>
        </w:p>
        <w:p w14:paraId="6655F191" w14:textId="2A3C01A1" w:rsidR="005D5C46" w:rsidRDefault="005D5C46">
          <w:pPr>
            <w:pStyle w:val="TOC2"/>
            <w:rPr>
              <w:rFonts w:asciiTheme="minorHAnsi" w:eastAsiaTheme="minorEastAsia" w:hAnsiTheme="minorHAnsi" w:cstheme="minorBidi"/>
              <w:noProof/>
              <w:kern w:val="2"/>
              <w:sz w:val="24"/>
              <w:lang w:eastAsia="en-AU"/>
              <w14:ligatures w14:val="standardContextual"/>
            </w:rPr>
          </w:pPr>
          <w:hyperlink w:anchor="_Toc238816825" w:history="1">
            <w:r w:rsidRPr="00C873D2">
              <w:rPr>
                <w:rStyle w:val="Hyperlink"/>
                <w:noProof/>
              </w:rPr>
              <w:t>6.18</w:t>
            </w:r>
            <w:r>
              <w:rPr>
                <w:rFonts w:asciiTheme="minorHAnsi" w:eastAsiaTheme="minorEastAsia" w:hAnsiTheme="minorHAnsi" w:cstheme="minorBidi"/>
                <w:noProof/>
                <w:kern w:val="2"/>
                <w:sz w:val="24"/>
                <w:lang w:eastAsia="en-AU"/>
                <w14:ligatures w14:val="standardContextual"/>
              </w:rPr>
              <w:tab/>
            </w:r>
            <w:r w:rsidRPr="00C873D2">
              <w:rPr>
                <w:rStyle w:val="Hyperlink"/>
                <w:noProof/>
              </w:rPr>
              <w:t>Aspiration hazard – Human health hazard band A</w:t>
            </w:r>
            <w:r>
              <w:rPr>
                <w:noProof/>
                <w:webHidden/>
              </w:rPr>
              <w:tab/>
            </w:r>
            <w:r>
              <w:rPr>
                <w:noProof/>
                <w:webHidden/>
              </w:rPr>
              <w:fldChar w:fldCharType="begin"/>
            </w:r>
            <w:r>
              <w:rPr>
                <w:noProof/>
                <w:webHidden/>
              </w:rPr>
              <w:instrText xml:space="preserve"> PAGEREF _Toc238816825 \h </w:instrText>
            </w:r>
            <w:r>
              <w:rPr>
                <w:noProof/>
                <w:webHidden/>
              </w:rPr>
            </w:r>
            <w:r>
              <w:rPr>
                <w:noProof/>
                <w:webHidden/>
              </w:rPr>
              <w:fldChar w:fldCharType="separate"/>
            </w:r>
            <w:r>
              <w:rPr>
                <w:noProof/>
                <w:webHidden/>
              </w:rPr>
              <w:t>45</w:t>
            </w:r>
            <w:r>
              <w:rPr>
                <w:noProof/>
                <w:webHidden/>
              </w:rPr>
              <w:fldChar w:fldCharType="end"/>
            </w:r>
          </w:hyperlink>
        </w:p>
        <w:p w14:paraId="0A214004" w14:textId="261CCA1E" w:rsidR="005D5C46" w:rsidRDefault="005D5C46">
          <w:pPr>
            <w:pStyle w:val="TOC2"/>
            <w:rPr>
              <w:rFonts w:asciiTheme="minorHAnsi" w:eastAsiaTheme="minorEastAsia" w:hAnsiTheme="minorHAnsi" w:cstheme="minorBidi"/>
              <w:noProof/>
              <w:kern w:val="2"/>
              <w:sz w:val="24"/>
              <w:lang w:eastAsia="en-AU"/>
              <w14:ligatures w14:val="standardContextual"/>
            </w:rPr>
          </w:pPr>
          <w:hyperlink w:anchor="_Toc238816826" w:history="1">
            <w:r w:rsidRPr="00C873D2">
              <w:rPr>
                <w:rStyle w:val="Hyperlink"/>
                <w:noProof/>
              </w:rPr>
              <w:t>6.19</w:t>
            </w:r>
            <w:r>
              <w:rPr>
                <w:rFonts w:asciiTheme="minorHAnsi" w:eastAsiaTheme="minorEastAsia" w:hAnsiTheme="minorHAnsi" w:cstheme="minorBidi"/>
                <w:noProof/>
                <w:kern w:val="2"/>
                <w:sz w:val="24"/>
                <w:lang w:eastAsia="en-AU"/>
                <w14:ligatures w14:val="standardContextual"/>
              </w:rPr>
              <w:tab/>
            </w:r>
            <w:r w:rsidRPr="00C873D2">
              <w:rPr>
                <w:rStyle w:val="Hyperlink"/>
                <w:noProof/>
              </w:rPr>
              <w:t>Specific target organ toxicity after a single exposure (harmful or transient effects) – Human health hazard band A</w:t>
            </w:r>
            <w:r>
              <w:rPr>
                <w:noProof/>
                <w:webHidden/>
              </w:rPr>
              <w:tab/>
            </w:r>
            <w:r>
              <w:rPr>
                <w:noProof/>
                <w:webHidden/>
              </w:rPr>
              <w:fldChar w:fldCharType="begin"/>
            </w:r>
            <w:r>
              <w:rPr>
                <w:noProof/>
                <w:webHidden/>
              </w:rPr>
              <w:instrText xml:space="preserve"> PAGEREF _Toc238816826 \h </w:instrText>
            </w:r>
            <w:r>
              <w:rPr>
                <w:noProof/>
                <w:webHidden/>
              </w:rPr>
            </w:r>
            <w:r>
              <w:rPr>
                <w:noProof/>
                <w:webHidden/>
              </w:rPr>
              <w:fldChar w:fldCharType="separate"/>
            </w:r>
            <w:r>
              <w:rPr>
                <w:noProof/>
                <w:webHidden/>
              </w:rPr>
              <w:t>45</w:t>
            </w:r>
            <w:r>
              <w:rPr>
                <w:noProof/>
                <w:webHidden/>
              </w:rPr>
              <w:fldChar w:fldCharType="end"/>
            </w:r>
          </w:hyperlink>
        </w:p>
        <w:p w14:paraId="38A181FD" w14:textId="635D4335" w:rsidR="005D5C46" w:rsidRDefault="005D5C46">
          <w:pPr>
            <w:pStyle w:val="TOC2"/>
            <w:rPr>
              <w:rFonts w:asciiTheme="minorHAnsi" w:eastAsiaTheme="minorEastAsia" w:hAnsiTheme="minorHAnsi" w:cstheme="minorBidi"/>
              <w:noProof/>
              <w:kern w:val="2"/>
              <w:sz w:val="24"/>
              <w:lang w:eastAsia="en-AU"/>
              <w14:ligatures w14:val="standardContextual"/>
            </w:rPr>
          </w:pPr>
          <w:hyperlink w:anchor="_Toc238816827" w:history="1">
            <w:r w:rsidRPr="00C873D2">
              <w:rPr>
                <w:rStyle w:val="Hyperlink"/>
                <w:noProof/>
              </w:rPr>
              <w:t>6.20</w:t>
            </w:r>
            <w:r>
              <w:rPr>
                <w:rFonts w:asciiTheme="minorHAnsi" w:eastAsiaTheme="minorEastAsia" w:hAnsiTheme="minorHAnsi" w:cstheme="minorBidi"/>
                <w:noProof/>
                <w:kern w:val="2"/>
                <w:sz w:val="24"/>
                <w:lang w:eastAsia="en-AU"/>
                <w14:ligatures w14:val="standardContextual"/>
              </w:rPr>
              <w:tab/>
            </w:r>
            <w:r w:rsidRPr="00C873D2">
              <w:rPr>
                <w:rStyle w:val="Hyperlink"/>
                <w:noProof/>
              </w:rPr>
              <w:t>Skin irritation – Human health hazard band A</w:t>
            </w:r>
            <w:r>
              <w:rPr>
                <w:noProof/>
                <w:webHidden/>
              </w:rPr>
              <w:tab/>
            </w:r>
            <w:r>
              <w:rPr>
                <w:noProof/>
                <w:webHidden/>
              </w:rPr>
              <w:fldChar w:fldCharType="begin"/>
            </w:r>
            <w:r>
              <w:rPr>
                <w:noProof/>
                <w:webHidden/>
              </w:rPr>
              <w:instrText xml:space="preserve"> PAGEREF _Toc238816827 \h </w:instrText>
            </w:r>
            <w:r>
              <w:rPr>
                <w:noProof/>
                <w:webHidden/>
              </w:rPr>
            </w:r>
            <w:r>
              <w:rPr>
                <w:noProof/>
                <w:webHidden/>
              </w:rPr>
              <w:fldChar w:fldCharType="separate"/>
            </w:r>
            <w:r>
              <w:rPr>
                <w:noProof/>
                <w:webHidden/>
              </w:rPr>
              <w:t>46</w:t>
            </w:r>
            <w:r>
              <w:rPr>
                <w:noProof/>
                <w:webHidden/>
              </w:rPr>
              <w:fldChar w:fldCharType="end"/>
            </w:r>
          </w:hyperlink>
        </w:p>
        <w:p w14:paraId="2704AB04" w14:textId="64F4D2EE" w:rsidR="005D5C46" w:rsidRDefault="005D5C46">
          <w:pPr>
            <w:pStyle w:val="TOC2"/>
            <w:rPr>
              <w:rFonts w:asciiTheme="minorHAnsi" w:eastAsiaTheme="minorEastAsia" w:hAnsiTheme="minorHAnsi" w:cstheme="minorBidi"/>
              <w:noProof/>
              <w:kern w:val="2"/>
              <w:sz w:val="24"/>
              <w:lang w:eastAsia="en-AU"/>
              <w14:ligatures w14:val="standardContextual"/>
            </w:rPr>
          </w:pPr>
          <w:hyperlink w:anchor="_Toc238816828" w:history="1">
            <w:r w:rsidRPr="00C873D2">
              <w:rPr>
                <w:rStyle w:val="Hyperlink"/>
                <w:noProof/>
              </w:rPr>
              <w:t>6.21 Eye irritation – Human health hazard band A</w:t>
            </w:r>
            <w:r>
              <w:rPr>
                <w:noProof/>
                <w:webHidden/>
              </w:rPr>
              <w:tab/>
            </w:r>
            <w:r>
              <w:rPr>
                <w:noProof/>
                <w:webHidden/>
              </w:rPr>
              <w:fldChar w:fldCharType="begin"/>
            </w:r>
            <w:r>
              <w:rPr>
                <w:noProof/>
                <w:webHidden/>
              </w:rPr>
              <w:instrText xml:space="preserve"> PAGEREF _Toc238816828 \h </w:instrText>
            </w:r>
            <w:r>
              <w:rPr>
                <w:noProof/>
                <w:webHidden/>
              </w:rPr>
            </w:r>
            <w:r>
              <w:rPr>
                <w:noProof/>
                <w:webHidden/>
              </w:rPr>
              <w:fldChar w:fldCharType="separate"/>
            </w:r>
            <w:r>
              <w:rPr>
                <w:noProof/>
                <w:webHidden/>
              </w:rPr>
              <w:t>47</w:t>
            </w:r>
            <w:r>
              <w:rPr>
                <w:noProof/>
                <w:webHidden/>
              </w:rPr>
              <w:fldChar w:fldCharType="end"/>
            </w:r>
          </w:hyperlink>
        </w:p>
        <w:p w14:paraId="792185B3" w14:textId="635EF171" w:rsidR="005D5C46" w:rsidRDefault="005D5C46">
          <w:pPr>
            <w:pStyle w:val="TOC2"/>
            <w:rPr>
              <w:rFonts w:asciiTheme="minorHAnsi" w:eastAsiaTheme="minorEastAsia" w:hAnsiTheme="minorHAnsi" w:cstheme="minorBidi"/>
              <w:noProof/>
              <w:kern w:val="2"/>
              <w:sz w:val="24"/>
              <w:lang w:eastAsia="en-AU"/>
              <w14:ligatures w14:val="standardContextual"/>
            </w:rPr>
          </w:pPr>
          <w:hyperlink w:anchor="_Toc238816829" w:history="1">
            <w:r w:rsidRPr="00C873D2">
              <w:rPr>
                <w:rStyle w:val="Hyperlink"/>
                <w:noProof/>
              </w:rPr>
              <w:t>6.22 Acute toxicity (harmful) – Human health hazard band A</w:t>
            </w:r>
            <w:r>
              <w:rPr>
                <w:noProof/>
                <w:webHidden/>
              </w:rPr>
              <w:tab/>
            </w:r>
            <w:r>
              <w:rPr>
                <w:noProof/>
                <w:webHidden/>
              </w:rPr>
              <w:fldChar w:fldCharType="begin"/>
            </w:r>
            <w:r>
              <w:rPr>
                <w:noProof/>
                <w:webHidden/>
              </w:rPr>
              <w:instrText xml:space="preserve"> PAGEREF _Toc238816829 \h </w:instrText>
            </w:r>
            <w:r>
              <w:rPr>
                <w:noProof/>
                <w:webHidden/>
              </w:rPr>
            </w:r>
            <w:r>
              <w:rPr>
                <w:noProof/>
                <w:webHidden/>
              </w:rPr>
              <w:fldChar w:fldCharType="separate"/>
            </w:r>
            <w:r>
              <w:rPr>
                <w:noProof/>
                <w:webHidden/>
              </w:rPr>
              <w:t>48</w:t>
            </w:r>
            <w:r>
              <w:rPr>
                <w:noProof/>
                <w:webHidden/>
              </w:rPr>
              <w:fldChar w:fldCharType="end"/>
            </w:r>
          </w:hyperlink>
        </w:p>
        <w:p w14:paraId="16132EA6" w14:textId="4E8A6D98" w:rsidR="005D5C46" w:rsidRDefault="005D5C46">
          <w:pPr>
            <w:pStyle w:val="TOC2"/>
            <w:rPr>
              <w:rFonts w:asciiTheme="minorHAnsi" w:eastAsiaTheme="minorEastAsia" w:hAnsiTheme="minorHAnsi" w:cstheme="minorBidi"/>
              <w:noProof/>
              <w:kern w:val="2"/>
              <w:sz w:val="24"/>
              <w:lang w:eastAsia="en-AU"/>
              <w14:ligatures w14:val="standardContextual"/>
            </w:rPr>
          </w:pPr>
          <w:hyperlink w:anchor="_Toc238816830" w:history="1">
            <w:r w:rsidRPr="00C873D2">
              <w:rPr>
                <w:rStyle w:val="Hyperlink"/>
                <w:noProof/>
              </w:rPr>
              <w:t>6.23</w:t>
            </w:r>
            <w:r>
              <w:rPr>
                <w:rFonts w:asciiTheme="minorHAnsi" w:eastAsiaTheme="minorEastAsia" w:hAnsiTheme="minorHAnsi" w:cstheme="minorBidi"/>
                <w:noProof/>
                <w:kern w:val="2"/>
                <w:sz w:val="24"/>
                <w:lang w:eastAsia="en-AU"/>
                <w14:ligatures w14:val="standardContextual"/>
              </w:rPr>
              <w:tab/>
            </w:r>
            <w:r w:rsidRPr="00C873D2">
              <w:rPr>
                <w:rStyle w:val="Hyperlink"/>
                <w:noProof/>
              </w:rPr>
              <w:t>Ozone depleting chemical – Environment hazard band D</w:t>
            </w:r>
            <w:r>
              <w:rPr>
                <w:noProof/>
                <w:webHidden/>
              </w:rPr>
              <w:tab/>
            </w:r>
            <w:r>
              <w:rPr>
                <w:noProof/>
                <w:webHidden/>
              </w:rPr>
              <w:fldChar w:fldCharType="begin"/>
            </w:r>
            <w:r>
              <w:rPr>
                <w:noProof/>
                <w:webHidden/>
              </w:rPr>
              <w:instrText xml:space="preserve"> PAGEREF _Toc238816830 \h </w:instrText>
            </w:r>
            <w:r>
              <w:rPr>
                <w:noProof/>
                <w:webHidden/>
              </w:rPr>
            </w:r>
            <w:r>
              <w:rPr>
                <w:noProof/>
                <w:webHidden/>
              </w:rPr>
              <w:fldChar w:fldCharType="separate"/>
            </w:r>
            <w:r>
              <w:rPr>
                <w:noProof/>
                <w:webHidden/>
              </w:rPr>
              <w:t>49</w:t>
            </w:r>
            <w:r>
              <w:rPr>
                <w:noProof/>
                <w:webHidden/>
              </w:rPr>
              <w:fldChar w:fldCharType="end"/>
            </w:r>
          </w:hyperlink>
        </w:p>
        <w:p w14:paraId="78F14B47" w14:textId="6FC491FE" w:rsidR="005D5C46" w:rsidRDefault="005D5C46">
          <w:pPr>
            <w:pStyle w:val="TOC2"/>
            <w:rPr>
              <w:rFonts w:asciiTheme="minorHAnsi" w:eastAsiaTheme="minorEastAsia" w:hAnsiTheme="minorHAnsi" w:cstheme="minorBidi"/>
              <w:noProof/>
              <w:kern w:val="2"/>
              <w:sz w:val="24"/>
              <w:lang w:eastAsia="en-AU"/>
              <w14:ligatures w14:val="standardContextual"/>
            </w:rPr>
          </w:pPr>
          <w:hyperlink w:anchor="_Toc238816831" w:history="1">
            <w:r w:rsidRPr="00C873D2">
              <w:rPr>
                <w:rStyle w:val="Hyperlink"/>
                <w:noProof/>
              </w:rPr>
              <w:t>6.24</w:t>
            </w:r>
            <w:r>
              <w:rPr>
                <w:rFonts w:asciiTheme="minorHAnsi" w:eastAsiaTheme="minorEastAsia" w:hAnsiTheme="minorHAnsi" w:cstheme="minorBidi"/>
                <w:noProof/>
                <w:kern w:val="2"/>
                <w:sz w:val="24"/>
                <w:lang w:eastAsia="en-AU"/>
                <w14:ligatures w14:val="standardContextual"/>
              </w:rPr>
              <w:tab/>
            </w:r>
            <w:r w:rsidRPr="00C873D2">
              <w:rPr>
                <w:rStyle w:val="Hyperlink"/>
                <w:noProof/>
              </w:rPr>
              <w:t>Synthetic greenhouse gas – Environment hazard band D</w:t>
            </w:r>
            <w:r>
              <w:rPr>
                <w:noProof/>
                <w:webHidden/>
              </w:rPr>
              <w:tab/>
            </w:r>
            <w:r>
              <w:rPr>
                <w:noProof/>
                <w:webHidden/>
              </w:rPr>
              <w:fldChar w:fldCharType="begin"/>
            </w:r>
            <w:r>
              <w:rPr>
                <w:noProof/>
                <w:webHidden/>
              </w:rPr>
              <w:instrText xml:space="preserve"> PAGEREF _Toc238816831 \h </w:instrText>
            </w:r>
            <w:r>
              <w:rPr>
                <w:noProof/>
                <w:webHidden/>
              </w:rPr>
            </w:r>
            <w:r>
              <w:rPr>
                <w:noProof/>
                <w:webHidden/>
              </w:rPr>
              <w:fldChar w:fldCharType="separate"/>
            </w:r>
            <w:r>
              <w:rPr>
                <w:noProof/>
                <w:webHidden/>
              </w:rPr>
              <w:t>50</w:t>
            </w:r>
            <w:r>
              <w:rPr>
                <w:noProof/>
                <w:webHidden/>
              </w:rPr>
              <w:fldChar w:fldCharType="end"/>
            </w:r>
          </w:hyperlink>
        </w:p>
        <w:p w14:paraId="5BE1CCBD" w14:textId="1CA60EBA" w:rsidR="005D5C46" w:rsidRDefault="005D5C46">
          <w:pPr>
            <w:pStyle w:val="TOC2"/>
            <w:rPr>
              <w:rFonts w:asciiTheme="minorHAnsi" w:eastAsiaTheme="minorEastAsia" w:hAnsiTheme="minorHAnsi" w:cstheme="minorBidi"/>
              <w:noProof/>
              <w:kern w:val="2"/>
              <w:sz w:val="24"/>
              <w:lang w:eastAsia="en-AU"/>
              <w14:ligatures w14:val="standardContextual"/>
            </w:rPr>
          </w:pPr>
          <w:hyperlink w:anchor="_Toc238816832" w:history="1">
            <w:r w:rsidRPr="00C873D2">
              <w:rPr>
                <w:rStyle w:val="Hyperlink"/>
                <w:noProof/>
              </w:rPr>
              <w:t>6.25</w:t>
            </w:r>
            <w:r>
              <w:rPr>
                <w:rFonts w:asciiTheme="minorHAnsi" w:eastAsiaTheme="minorEastAsia" w:hAnsiTheme="minorHAnsi" w:cstheme="minorBidi"/>
                <w:noProof/>
                <w:kern w:val="2"/>
                <w:sz w:val="24"/>
                <w:lang w:eastAsia="en-AU"/>
                <w14:ligatures w14:val="standardContextual"/>
              </w:rPr>
              <w:tab/>
            </w:r>
            <w:r w:rsidRPr="00C873D2">
              <w:rPr>
                <w:rStyle w:val="Hyperlink"/>
                <w:noProof/>
              </w:rPr>
              <w:t>Adverse effects mediated by an endocrine mode of action – Environment hazard band D</w:t>
            </w:r>
            <w:r>
              <w:rPr>
                <w:noProof/>
                <w:webHidden/>
              </w:rPr>
              <w:tab/>
            </w:r>
            <w:r>
              <w:rPr>
                <w:noProof/>
                <w:webHidden/>
              </w:rPr>
              <w:fldChar w:fldCharType="begin"/>
            </w:r>
            <w:r>
              <w:rPr>
                <w:noProof/>
                <w:webHidden/>
              </w:rPr>
              <w:instrText xml:space="preserve"> PAGEREF _Toc238816832 \h </w:instrText>
            </w:r>
            <w:r>
              <w:rPr>
                <w:noProof/>
                <w:webHidden/>
              </w:rPr>
            </w:r>
            <w:r>
              <w:rPr>
                <w:noProof/>
                <w:webHidden/>
              </w:rPr>
              <w:fldChar w:fldCharType="separate"/>
            </w:r>
            <w:r>
              <w:rPr>
                <w:noProof/>
                <w:webHidden/>
              </w:rPr>
              <w:t>50</w:t>
            </w:r>
            <w:r>
              <w:rPr>
                <w:noProof/>
                <w:webHidden/>
              </w:rPr>
              <w:fldChar w:fldCharType="end"/>
            </w:r>
          </w:hyperlink>
        </w:p>
        <w:p w14:paraId="007868DF" w14:textId="0A827E70" w:rsidR="005D5C46" w:rsidRDefault="005D5C46">
          <w:pPr>
            <w:pStyle w:val="TOC2"/>
            <w:rPr>
              <w:rFonts w:asciiTheme="minorHAnsi" w:eastAsiaTheme="minorEastAsia" w:hAnsiTheme="minorHAnsi" w:cstheme="minorBidi"/>
              <w:noProof/>
              <w:kern w:val="2"/>
              <w:sz w:val="24"/>
              <w:lang w:eastAsia="en-AU"/>
              <w14:ligatures w14:val="standardContextual"/>
            </w:rPr>
          </w:pPr>
          <w:hyperlink w:anchor="_Toc238816833" w:history="1">
            <w:r w:rsidRPr="00C873D2">
              <w:rPr>
                <w:rStyle w:val="Hyperlink"/>
                <w:noProof/>
              </w:rPr>
              <w:t>6.26</w:t>
            </w:r>
            <w:r>
              <w:rPr>
                <w:rFonts w:asciiTheme="minorHAnsi" w:eastAsiaTheme="minorEastAsia" w:hAnsiTheme="minorHAnsi" w:cstheme="minorBidi"/>
                <w:noProof/>
                <w:kern w:val="2"/>
                <w:sz w:val="24"/>
                <w:lang w:eastAsia="en-AU"/>
                <w14:ligatures w14:val="standardContextual"/>
              </w:rPr>
              <w:tab/>
            </w:r>
            <w:r w:rsidRPr="00C873D2">
              <w:rPr>
                <w:rStyle w:val="Hyperlink"/>
                <w:noProof/>
              </w:rPr>
              <w:t>Persistent, bioaccumulative and toxic – Environment hazard band D</w:t>
            </w:r>
            <w:r>
              <w:rPr>
                <w:noProof/>
                <w:webHidden/>
              </w:rPr>
              <w:tab/>
            </w:r>
            <w:r>
              <w:rPr>
                <w:noProof/>
                <w:webHidden/>
              </w:rPr>
              <w:fldChar w:fldCharType="begin"/>
            </w:r>
            <w:r>
              <w:rPr>
                <w:noProof/>
                <w:webHidden/>
              </w:rPr>
              <w:instrText xml:space="preserve"> PAGEREF _Toc238816833 \h </w:instrText>
            </w:r>
            <w:r>
              <w:rPr>
                <w:noProof/>
                <w:webHidden/>
              </w:rPr>
            </w:r>
            <w:r>
              <w:rPr>
                <w:noProof/>
                <w:webHidden/>
              </w:rPr>
              <w:fldChar w:fldCharType="separate"/>
            </w:r>
            <w:r>
              <w:rPr>
                <w:noProof/>
                <w:webHidden/>
              </w:rPr>
              <w:t>53</w:t>
            </w:r>
            <w:r>
              <w:rPr>
                <w:noProof/>
                <w:webHidden/>
              </w:rPr>
              <w:fldChar w:fldCharType="end"/>
            </w:r>
          </w:hyperlink>
        </w:p>
        <w:p w14:paraId="265BF04E" w14:textId="6C4D9237" w:rsidR="005D5C46" w:rsidRDefault="005D5C46">
          <w:pPr>
            <w:pStyle w:val="TOC2"/>
            <w:rPr>
              <w:rFonts w:asciiTheme="minorHAnsi" w:eastAsiaTheme="minorEastAsia" w:hAnsiTheme="minorHAnsi" w:cstheme="minorBidi"/>
              <w:noProof/>
              <w:kern w:val="2"/>
              <w:sz w:val="24"/>
              <w:lang w:eastAsia="en-AU"/>
              <w14:ligatures w14:val="standardContextual"/>
            </w:rPr>
          </w:pPr>
          <w:hyperlink w:anchor="_Toc238816834" w:history="1">
            <w:r w:rsidRPr="00C873D2">
              <w:rPr>
                <w:rStyle w:val="Hyperlink"/>
                <w:noProof/>
              </w:rPr>
              <w:t>6.27</w:t>
            </w:r>
            <w:r>
              <w:rPr>
                <w:rFonts w:asciiTheme="minorHAnsi" w:eastAsiaTheme="minorEastAsia" w:hAnsiTheme="minorHAnsi" w:cstheme="minorBidi"/>
                <w:noProof/>
                <w:kern w:val="2"/>
                <w:sz w:val="24"/>
                <w:lang w:eastAsia="en-AU"/>
                <w14:ligatures w14:val="standardContextual"/>
              </w:rPr>
              <w:tab/>
            </w:r>
            <w:r w:rsidRPr="00C873D2">
              <w:rPr>
                <w:rStyle w:val="Hyperlink"/>
                <w:noProof/>
              </w:rPr>
              <w:t>Very toxic to any aquatic life – Environment hazard band C</w:t>
            </w:r>
            <w:r>
              <w:rPr>
                <w:noProof/>
                <w:webHidden/>
              </w:rPr>
              <w:tab/>
            </w:r>
            <w:r>
              <w:rPr>
                <w:noProof/>
                <w:webHidden/>
              </w:rPr>
              <w:fldChar w:fldCharType="begin"/>
            </w:r>
            <w:r>
              <w:rPr>
                <w:noProof/>
                <w:webHidden/>
              </w:rPr>
              <w:instrText xml:space="preserve"> PAGEREF _Toc238816834 \h </w:instrText>
            </w:r>
            <w:r>
              <w:rPr>
                <w:noProof/>
                <w:webHidden/>
              </w:rPr>
            </w:r>
            <w:r>
              <w:rPr>
                <w:noProof/>
                <w:webHidden/>
              </w:rPr>
              <w:fldChar w:fldCharType="separate"/>
            </w:r>
            <w:r>
              <w:rPr>
                <w:noProof/>
                <w:webHidden/>
              </w:rPr>
              <w:t>55</w:t>
            </w:r>
            <w:r>
              <w:rPr>
                <w:noProof/>
                <w:webHidden/>
              </w:rPr>
              <w:fldChar w:fldCharType="end"/>
            </w:r>
          </w:hyperlink>
        </w:p>
        <w:p w14:paraId="301EAA25" w14:textId="52B43BC9" w:rsidR="005D5C46" w:rsidRDefault="005D5C46">
          <w:pPr>
            <w:pStyle w:val="TOC2"/>
            <w:rPr>
              <w:rFonts w:asciiTheme="minorHAnsi" w:eastAsiaTheme="minorEastAsia" w:hAnsiTheme="minorHAnsi" w:cstheme="minorBidi"/>
              <w:noProof/>
              <w:kern w:val="2"/>
              <w:sz w:val="24"/>
              <w:lang w:eastAsia="en-AU"/>
              <w14:ligatures w14:val="standardContextual"/>
            </w:rPr>
          </w:pPr>
          <w:hyperlink w:anchor="_Toc238816835" w:history="1">
            <w:r w:rsidRPr="00C873D2">
              <w:rPr>
                <w:rStyle w:val="Hyperlink"/>
                <w:noProof/>
              </w:rPr>
              <w:t>6.28 Persistent and bioaccumulative – Environment hazard band C</w:t>
            </w:r>
            <w:r>
              <w:rPr>
                <w:noProof/>
                <w:webHidden/>
              </w:rPr>
              <w:tab/>
            </w:r>
            <w:r>
              <w:rPr>
                <w:noProof/>
                <w:webHidden/>
              </w:rPr>
              <w:fldChar w:fldCharType="begin"/>
            </w:r>
            <w:r>
              <w:rPr>
                <w:noProof/>
                <w:webHidden/>
              </w:rPr>
              <w:instrText xml:space="preserve"> PAGEREF _Toc238816835 \h </w:instrText>
            </w:r>
            <w:r>
              <w:rPr>
                <w:noProof/>
                <w:webHidden/>
              </w:rPr>
            </w:r>
            <w:r>
              <w:rPr>
                <w:noProof/>
                <w:webHidden/>
              </w:rPr>
              <w:fldChar w:fldCharType="separate"/>
            </w:r>
            <w:r>
              <w:rPr>
                <w:noProof/>
                <w:webHidden/>
              </w:rPr>
              <w:t>56</w:t>
            </w:r>
            <w:r>
              <w:rPr>
                <w:noProof/>
                <w:webHidden/>
              </w:rPr>
              <w:fldChar w:fldCharType="end"/>
            </w:r>
          </w:hyperlink>
        </w:p>
        <w:p w14:paraId="23720933" w14:textId="60C79C47" w:rsidR="005D5C46" w:rsidRDefault="005D5C46">
          <w:pPr>
            <w:pStyle w:val="TOC2"/>
            <w:rPr>
              <w:rFonts w:asciiTheme="minorHAnsi" w:eastAsiaTheme="minorEastAsia" w:hAnsiTheme="minorHAnsi" w:cstheme="minorBidi"/>
              <w:noProof/>
              <w:kern w:val="2"/>
              <w:sz w:val="24"/>
              <w:lang w:eastAsia="en-AU"/>
              <w14:ligatures w14:val="standardContextual"/>
            </w:rPr>
          </w:pPr>
          <w:hyperlink w:anchor="_Toc238816836" w:history="1">
            <w:r w:rsidRPr="00C873D2">
              <w:rPr>
                <w:rStyle w:val="Hyperlink"/>
                <w:noProof/>
              </w:rPr>
              <w:t>6.29 Toxic to any aquatic life – Environment hazard band B</w:t>
            </w:r>
            <w:r>
              <w:rPr>
                <w:noProof/>
                <w:webHidden/>
              </w:rPr>
              <w:tab/>
            </w:r>
            <w:r>
              <w:rPr>
                <w:noProof/>
                <w:webHidden/>
              </w:rPr>
              <w:fldChar w:fldCharType="begin"/>
            </w:r>
            <w:r>
              <w:rPr>
                <w:noProof/>
                <w:webHidden/>
              </w:rPr>
              <w:instrText xml:space="preserve"> PAGEREF _Toc238816836 \h </w:instrText>
            </w:r>
            <w:r>
              <w:rPr>
                <w:noProof/>
                <w:webHidden/>
              </w:rPr>
            </w:r>
            <w:r>
              <w:rPr>
                <w:noProof/>
                <w:webHidden/>
              </w:rPr>
              <w:fldChar w:fldCharType="separate"/>
            </w:r>
            <w:r>
              <w:rPr>
                <w:noProof/>
                <w:webHidden/>
              </w:rPr>
              <w:t>58</w:t>
            </w:r>
            <w:r>
              <w:rPr>
                <w:noProof/>
                <w:webHidden/>
              </w:rPr>
              <w:fldChar w:fldCharType="end"/>
            </w:r>
          </w:hyperlink>
        </w:p>
        <w:p w14:paraId="68D7AAC0" w14:textId="32B00905" w:rsidR="005D5C46" w:rsidRDefault="005D5C46">
          <w:pPr>
            <w:pStyle w:val="TOC2"/>
            <w:rPr>
              <w:rFonts w:asciiTheme="minorHAnsi" w:eastAsiaTheme="minorEastAsia" w:hAnsiTheme="minorHAnsi" w:cstheme="minorBidi"/>
              <w:noProof/>
              <w:kern w:val="2"/>
              <w:sz w:val="24"/>
              <w:lang w:eastAsia="en-AU"/>
              <w14:ligatures w14:val="standardContextual"/>
            </w:rPr>
          </w:pPr>
          <w:hyperlink w:anchor="_Toc238816837" w:history="1">
            <w:r w:rsidRPr="00C873D2">
              <w:rPr>
                <w:rStyle w:val="Hyperlink"/>
                <w:noProof/>
              </w:rPr>
              <w:t>6.30</w:t>
            </w:r>
            <w:r>
              <w:rPr>
                <w:rFonts w:asciiTheme="minorHAnsi" w:eastAsiaTheme="minorEastAsia" w:hAnsiTheme="minorHAnsi" w:cstheme="minorBidi"/>
                <w:noProof/>
                <w:kern w:val="2"/>
                <w:sz w:val="24"/>
                <w:lang w:eastAsia="en-AU"/>
                <w14:ligatures w14:val="standardContextual"/>
              </w:rPr>
              <w:tab/>
            </w:r>
            <w:r w:rsidRPr="00C873D2">
              <w:rPr>
                <w:rStyle w:val="Hyperlink"/>
                <w:noProof/>
              </w:rPr>
              <w:t>Polymer that is not stable – Environment hazard band A</w:t>
            </w:r>
            <w:r>
              <w:rPr>
                <w:noProof/>
                <w:webHidden/>
              </w:rPr>
              <w:tab/>
            </w:r>
            <w:r>
              <w:rPr>
                <w:noProof/>
                <w:webHidden/>
              </w:rPr>
              <w:fldChar w:fldCharType="begin"/>
            </w:r>
            <w:r>
              <w:rPr>
                <w:noProof/>
                <w:webHidden/>
              </w:rPr>
              <w:instrText xml:space="preserve"> PAGEREF _Toc238816837 \h </w:instrText>
            </w:r>
            <w:r>
              <w:rPr>
                <w:noProof/>
                <w:webHidden/>
              </w:rPr>
            </w:r>
            <w:r>
              <w:rPr>
                <w:noProof/>
                <w:webHidden/>
              </w:rPr>
              <w:fldChar w:fldCharType="separate"/>
            </w:r>
            <w:r>
              <w:rPr>
                <w:noProof/>
                <w:webHidden/>
              </w:rPr>
              <w:t>59</w:t>
            </w:r>
            <w:r>
              <w:rPr>
                <w:noProof/>
                <w:webHidden/>
              </w:rPr>
              <w:fldChar w:fldCharType="end"/>
            </w:r>
          </w:hyperlink>
        </w:p>
        <w:p w14:paraId="34BE794E" w14:textId="6A10CE16" w:rsidR="005D5C46" w:rsidRDefault="005D5C46">
          <w:pPr>
            <w:pStyle w:val="TOC2"/>
            <w:rPr>
              <w:rFonts w:asciiTheme="minorHAnsi" w:eastAsiaTheme="minorEastAsia" w:hAnsiTheme="minorHAnsi" w:cstheme="minorBidi"/>
              <w:noProof/>
              <w:kern w:val="2"/>
              <w:sz w:val="24"/>
              <w:lang w:eastAsia="en-AU"/>
              <w14:ligatures w14:val="standardContextual"/>
            </w:rPr>
          </w:pPr>
          <w:hyperlink w:anchor="_Toc238816838" w:history="1">
            <w:r w:rsidRPr="00C873D2">
              <w:rPr>
                <w:rStyle w:val="Hyperlink"/>
                <w:noProof/>
              </w:rPr>
              <w:t>6.31</w:t>
            </w:r>
            <w:r>
              <w:rPr>
                <w:rFonts w:asciiTheme="minorHAnsi" w:eastAsiaTheme="minorEastAsia" w:hAnsiTheme="minorHAnsi" w:cstheme="minorBidi"/>
                <w:noProof/>
                <w:kern w:val="2"/>
                <w:sz w:val="24"/>
                <w:lang w:eastAsia="en-AU"/>
                <w14:ligatures w14:val="standardContextual"/>
              </w:rPr>
              <w:tab/>
            </w:r>
            <w:r w:rsidRPr="00C873D2">
              <w:rPr>
                <w:rStyle w:val="Hyperlink"/>
                <w:noProof/>
              </w:rPr>
              <w:t>Bioaccumulation potential – Environment hazard band A</w:t>
            </w:r>
            <w:r>
              <w:rPr>
                <w:noProof/>
                <w:webHidden/>
              </w:rPr>
              <w:tab/>
            </w:r>
            <w:r>
              <w:rPr>
                <w:noProof/>
                <w:webHidden/>
              </w:rPr>
              <w:fldChar w:fldCharType="begin"/>
            </w:r>
            <w:r>
              <w:rPr>
                <w:noProof/>
                <w:webHidden/>
              </w:rPr>
              <w:instrText xml:space="preserve"> PAGEREF _Toc238816838 \h </w:instrText>
            </w:r>
            <w:r>
              <w:rPr>
                <w:noProof/>
                <w:webHidden/>
              </w:rPr>
            </w:r>
            <w:r>
              <w:rPr>
                <w:noProof/>
                <w:webHidden/>
              </w:rPr>
              <w:fldChar w:fldCharType="separate"/>
            </w:r>
            <w:r>
              <w:rPr>
                <w:noProof/>
                <w:webHidden/>
              </w:rPr>
              <w:t>60</w:t>
            </w:r>
            <w:r>
              <w:rPr>
                <w:noProof/>
                <w:webHidden/>
              </w:rPr>
              <w:fldChar w:fldCharType="end"/>
            </w:r>
          </w:hyperlink>
        </w:p>
        <w:p w14:paraId="0A407690" w14:textId="38E693FF" w:rsidR="005D5C46" w:rsidRDefault="005D5C46">
          <w:pPr>
            <w:pStyle w:val="TOC2"/>
            <w:rPr>
              <w:rFonts w:asciiTheme="minorHAnsi" w:eastAsiaTheme="minorEastAsia" w:hAnsiTheme="minorHAnsi" w:cstheme="minorBidi"/>
              <w:noProof/>
              <w:kern w:val="2"/>
              <w:sz w:val="24"/>
              <w:lang w:eastAsia="en-AU"/>
              <w14:ligatures w14:val="standardContextual"/>
            </w:rPr>
          </w:pPr>
          <w:hyperlink w:anchor="_Toc238816839" w:history="1">
            <w:r w:rsidRPr="00C873D2">
              <w:rPr>
                <w:rStyle w:val="Hyperlink"/>
                <w:noProof/>
              </w:rPr>
              <w:t>6.32</w:t>
            </w:r>
            <w:r>
              <w:rPr>
                <w:rFonts w:asciiTheme="minorHAnsi" w:eastAsiaTheme="minorEastAsia" w:hAnsiTheme="minorHAnsi" w:cstheme="minorBidi"/>
                <w:noProof/>
                <w:kern w:val="2"/>
                <w:sz w:val="24"/>
                <w:lang w:eastAsia="en-AU"/>
                <w14:ligatures w14:val="standardContextual"/>
              </w:rPr>
              <w:tab/>
            </w:r>
            <w:r w:rsidRPr="00C873D2">
              <w:rPr>
                <w:rStyle w:val="Hyperlink"/>
                <w:noProof/>
              </w:rPr>
              <w:t>Industrial chemical (other than a polymer) that does not meet the criteria for ready biodegradability – Environment hazard band A</w:t>
            </w:r>
            <w:r>
              <w:rPr>
                <w:noProof/>
                <w:webHidden/>
              </w:rPr>
              <w:tab/>
            </w:r>
            <w:r>
              <w:rPr>
                <w:noProof/>
                <w:webHidden/>
              </w:rPr>
              <w:fldChar w:fldCharType="begin"/>
            </w:r>
            <w:r>
              <w:rPr>
                <w:noProof/>
                <w:webHidden/>
              </w:rPr>
              <w:instrText xml:space="preserve"> PAGEREF _Toc238816839 \h </w:instrText>
            </w:r>
            <w:r>
              <w:rPr>
                <w:noProof/>
                <w:webHidden/>
              </w:rPr>
            </w:r>
            <w:r>
              <w:rPr>
                <w:noProof/>
                <w:webHidden/>
              </w:rPr>
              <w:fldChar w:fldCharType="separate"/>
            </w:r>
            <w:r>
              <w:rPr>
                <w:noProof/>
                <w:webHidden/>
              </w:rPr>
              <w:t>61</w:t>
            </w:r>
            <w:r>
              <w:rPr>
                <w:noProof/>
                <w:webHidden/>
              </w:rPr>
              <w:fldChar w:fldCharType="end"/>
            </w:r>
          </w:hyperlink>
        </w:p>
        <w:p w14:paraId="661121E4" w14:textId="25A7D47A" w:rsidR="005D5C46" w:rsidRDefault="005D5C46">
          <w:pPr>
            <w:pStyle w:val="TOC2"/>
            <w:rPr>
              <w:rFonts w:asciiTheme="minorHAnsi" w:eastAsiaTheme="minorEastAsia" w:hAnsiTheme="minorHAnsi" w:cstheme="minorBidi"/>
              <w:noProof/>
              <w:kern w:val="2"/>
              <w:sz w:val="24"/>
              <w:lang w:eastAsia="en-AU"/>
              <w14:ligatures w14:val="standardContextual"/>
            </w:rPr>
          </w:pPr>
          <w:hyperlink w:anchor="_Toc238816840" w:history="1">
            <w:r w:rsidRPr="00C873D2">
              <w:rPr>
                <w:rStyle w:val="Hyperlink"/>
                <w:noProof/>
              </w:rPr>
              <w:t>6.33</w:t>
            </w:r>
            <w:r>
              <w:rPr>
                <w:rFonts w:asciiTheme="minorHAnsi" w:eastAsiaTheme="minorEastAsia" w:hAnsiTheme="minorHAnsi" w:cstheme="minorBidi"/>
                <w:noProof/>
                <w:kern w:val="2"/>
                <w:sz w:val="24"/>
                <w:lang w:eastAsia="en-AU"/>
                <w14:ligatures w14:val="standardContextual"/>
              </w:rPr>
              <w:tab/>
            </w:r>
            <w:r w:rsidRPr="00C873D2">
              <w:rPr>
                <w:rStyle w:val="Hyperlink"/>
                <w:noProof/>
              </w:rPr>
              <w:t>Harmful to any aquatic life – Environment hazard band A</w:t>
            </w:r>
            <w:r>
              <w:rPr>
                <w:noProof/>
                <w:webHidden/>
              </w:rPr>
              <w:tab/>
            </w:r>
            <w:r>
              <w:rPr>
                <w:noProof/>
                <w:webHidden/>
              </w:rPr>
              <w:fldChar w:fldCharType="begin"/>
            </w:r>
            <w:r>
              <w:rPr>
                <w:noProof/>
                <w:webHidden/>
              </w:rPr>
              <w:instrText xml:space="preserve"> PAGEREF _Toc238816840 \h </w:instrText>
            </w:r>
            <w:r>
              <w:rPr>
                <w:noProof/>
                <w:webHidden/>
              </w:rPr>
            </w:r>
            <w:r>
              <w:rPr>
                <w:noProof/>
                <w:webHidden/>
              </w:rPr>
              <w:fldChar w:fldCharType="separate"/>
            </w:r>
            <w:r>
              <w:rPr>
                <w:noProof/>
                <w:webHidden/>
              </w:rPr>
              <w:t>62</w:t>
            </w:r>
            <w:r>
              <w:rPr>
                <w:noProof/>
                <w:webHidden/>
              </w:rPr>
              <w:fldChar w:fldCharType="end"/>
            </w:r>
          </w:hyperlink>
        </w:p>
        <w:p w14:paraId="3A4E0EC8" w14:textId="362E2D4C" w:rsidR="005D5C46" w:rsidRDefault="005D5C46">
          <w:pPr>
            <w:pStyle w:val="TOC1"/>
            <w:rPr>
              <w:rFonts w:asciiTheme="minorHAnsi" w:eastAsiaTheme="minorEastAsia" w:hAnsiTheme="minorHAnsi" w:cstheme="minorBidi"/>
              <w:b w:val="0"/>
              <w:noProof/>
              <w:kern w:val="2"/>
              <w:sz w:val="24"/>
              <w:lang w:eastAsia="en-AU"/>
              <w14:ligatures w14:val="standardContextual"/>
            </w:rPr>
          </w:pPr>
          <w:hyperlink w:anchor="_Toc238816841" w:history="1">
            <w:r w:rsidRPr="00C873D2">
              <w:rPr>
                <w:rStyle w:val="Hyperlink"/>
                <w:noProof/>
              </w:rPr>
              <w:t>7.</w:t>
            </w:r>
            <w:r>
              <w:rPr>
                <w:rFonts w:asciiTheme="minorHAnsi" w:eastAsiaTheme="minorEastAsia" w:hAnsiTheme="minorHAnsi" w:cstheme="minorBidi"/>
                <w:b w:val="0"/>
                <w:noProof/>
                <w:kern w:val="2"/>
                <w:sz w:val="24"/>
                <w:lang w:eastAsia="en-AU"/>
                <w14:ligatures w14:val="standardContextual"/>
              </w:rPr>
              <w:tab/>
            </w:r>
            <w:r w:rsidRPr="00C873D2">
              <w:rPr>
                <w:rStyle w:val="Hyperlink"/>
                <w:noProof/>
              </w:rPr>
              <w:t>Definitions of terms in Schedule 2 to the IC General Rules</w:t>
            </w:r>
            <w:r>
              <w:rPr>
                <w:noProof/>
                <w:webHidden/>
              </w:rPr>
              <w:tab/>
            </w:r>
            <w:r>
              <w:rPr>
                <w:noProof/>
                <w:webHidden/>
              </w:rPr>
              <w:fldChar w:fldCharType="begin"/>
            </w:r>
            <w:r>
              <w:rPr>
                <w:noProof/>
                <w:webHidden/>
              </w:rPr>
              <w:instrText xml:space="preserve"> PAGEREF _Toc238816841 \h </w:instrText>
            </w:r>
            <w:r>
              <w:rPr>
                <w:noProof/>
                <w:webHidden/>
              </w:rPr>
            </w:r>
            <w:r>
              <w:rPr>
                <w:noProof/>
                <w:webHidden/>
              </w:rPr>
              <w:fldChar w:fldCharType="separate"/>
            </w:r>
            <w:r>
              <w:rPr>
                <w:noProof/>
                <w:webHidden/>
              </w:rPr>
              <w:t>63</w:t>
            </w:r>
            <w:r>
              <w:rPr>
                <w:noProof/>
                <w:webHidden/>
              </w:rPr>
              <w:fldChar w:fldCharType="end"/>
            </w:r>
          </w:hyperlink>
        </w:p>
        <w:p w14:paraId="5F99D829" w14:textId="3E6DB2D5" w:rsidR="005D5C46" w:rsidRDefault="005D5C46">
          <w:pPr>
            <w:pStyle w:val="TOC2"/>
            <w:rPr>
              <w:rFonts w:asciiTheme="minorHAnsi" w:eastAsiaTheme="minorEastAsia" w:hAnsiTheme="minorHAnsi" w:cstheme="minorBidi"/>
              <w:noProof/>
              <w:kern w:val="2"/>
              <w:sz w:val="24"/>
              <w:lang w:eastAsia="en-AU"/>
              <w14:ligatures w14:val="standardContextual"/>
            </w:rPr>
          </w:pPr>
          <w:hyperlink w:anchor="_Toc238816842" w:history="1">
            <w:r w:rsidRPr="00C873D2">
              <w:rPr>
                <w:rStyle w:val="Hyperlink"/>
                <w:noProof/>
              </w:rPr>
              <w:t xml:space="preserve">7.1 </w:t>
            </w:r>
            <w:r>
              <w:rPr>
                <w:rFonts w:asciiTheme="minorHAnsi" w:eastAsiaTheme="minorEastAsia" w:hAnsiTheme="minorHAnsi" w:cstheme="minorBidi"/>
                <w:noProof/>
                <w:kern w:val="2"/>
                <w:sz w:val="24"/>
                <w:lang w:eastAsia="en-AU"/>
                <w14:ligatures w14:val="standardContextual"/>
              </w:rPr>
              <w:tab/>
            </w:r>
            <w:r w:rsidRPr="00C873D2">
              <w:rPr>
                <w:rStyle w:val="Hyperlink"/>
                <w:noProof/>
              </w:rPr>
              <w:t>Clause 1 of Part 1, Schedule 2 to the IC General Rules</w:t>
            </w:r>
            <w:r>
              <w:rPr>
                <w:noProof/>
                <w:webHidden/>
              </w:rPr>
              <w:tab/>
            </w:r>
            <w:r>
              <w:rPr>
                <w:noProof/>
                <w:webHidden/>
              </w:rPr>
              <w:fldChar w:fldCharType="begin"/>
            </w:r>
            <w:r>
              <w:rPr>
                <w:noProof/>
                <w:webHidden/>
              </w:rPr>
              <w:instrText xml:space="preserve"> PAGEREF _Toc238816842 \h </w:instrText>
            </w:r>
            <w:r>
              <w:rPr>
                <w:noProof/>
                <w:webHidden/>
              </w:rPr>
            </w:r>
            <w:r>
              <w:rPr>
                <w:noProof/>
                <w:webHidden/>
              </w:rPr>
              <w:fldChar w:fldCharType="separate"/>
            </w:r>
            <w:r>
              <w:rPr>
                <w:noProof/>
                <w:webHidden/>
              </w:rPr>
              <w:t>63</w:t>
            </w:r>
            <w:r>
              <w:rPr>
                <w:noProof/>
                <w:webHidden/>
              </w:rPr>
              <w:fldChar w:fldCharType="end"/>
            </w:r>
          </w:hyperlink>
        </w:p>
        <w:p w14:paraId="2C067E01" w14:textId="6B13AC31" w:rsidR="005D5C46" w:rsidRDefault="005D5C46">
          <w:pPr>
            <w:pStyle w:val="TOC1"/>
            <w:rPr>
              <w:rFonts w:asciiTheme="minorHAnsi" w:eastAsiaTheme="minorEastAsia" w:hAnsiTheme="minorHAnsi" w:cstheme="minorBidi"/>
              <w:b w:val="0"/>
              <w:noProof/>
              <w:kern w:val="2"/>
              <w:sz w:val="24"/>
              <w:lang w:eastAsia="en-AU"/>
              <w14:ligatures w14:val="standardContextual"/>
            </w:rPr>
          </w:pPr>
          <w:hyperlink w:anchor="_Toc238816843" w:history="1">
            <w:r w:rsidRPr="00C873D2">
              <w:rPr>
                <w:rStyle w:val="Hyperlink"/>
                <w:noProof/>
              </w:rPr>
              <w:t>8.</w:t>
            </w:r>
            <w:r>
              <w:rPr>
                <w:rFonts w:asciiTheme="minorHAnsi" w:eastAsiaTheme="minorEastAsia" w:hAnsiTheme="minorHAnsi" w:cstheme="minorBidi"/>
                <w:b w:val="0"/>
                <w:noProof/>
                <w:kern w:val="2"/>
                <w:sz w:val="24"/>
                <w:lang w:eastAsia="en-AU"/>
                <w14:ligatures w14:val="standardContextual"/>
              </w:rPr>
              <w:tab/>
            </w:r>
            <w:r w:rsidRPr="00C873D2">
              <w:rPr>
                <w:rStyle w:val="Hyperlink"/>
                <w:noProof/>
              </w:rPr>
              <w:t>Appendices</w:t>
            </w:r>
            <w:r>
              <w:rPr>
                <w:noProof/>
                <w:webHidden/>
              </w:rPr>
              <w:tab/>
            </w:r>
            <w:r>
              <w:rPr>
                <w:noProof/>
                <w:webHidden/>
              </w:rPr>
              <w:fldChar w:fldCharType="begin"/>
            </w:r>
            <w:r>
              <w:rPr>
                <w:noProof/>
                <w:webHidden/>
              </w:rPr>
              <w:instrText xml:space="preserve"> PAGEREF _Toc238816843 \h </w:instrText>
            </w:r>
            <w:r>
              <w:rPr>
                <w:noProof/>
                <w:webHidden/>
              </w:rPr>
            </w:r>
            <w:r>
              <w:rPr>
                <w:noProof/>
                <w:webHidden/>
              </w:rPr>
              <w:fldChar w:fldCharType="separate"/>
            </w:r>
            <w:r>
              <w:rPr>
                <w:noProof/>
                <w:webHidden/>
              </w:rPr>
              <w:t>64</w:t>
            </w:r>
            <w:r>
              <w:rPr>
                <w:noProof/>
                <w:webHidden/>
              </w:rPr>
              <w:fldChar w:fldCharType="end"/>
            </w:r>
          </w:hyperlink>
        </w:p>
        <w:p w14:paraId="101CAF6D" w14:textId="5E5FF09D" w:rsidR="005D5C46" w:rsidRDefault="005D5C46">
          <w:pPr>
            <w:pStyle w:val="TOC2"/>
            <w:rPr>
              <w:rFonts w:asciiTheme="minorHAnsi" w:eastAsiaTheme="minorEastAsia" w:hAnsiTheme="minorHAnsi" w:cstheme="minorBidi"/>
              <w:noProof/>
              <w:kern w:val="2"/>
              <w:sz w:val="24"/>
              <w:lang w:eastAsia="en-AU"/>
              <w14:ligatures w14:val="standardContextual"/>
            </w:rPr>
          </w:pPr>
          <w:hyperlink w:anchor="_Toc238816844" w:history="1">
            <w:r w:rsidRPr="00C873D2">
              <w:rPr>
                <w:rStyle w:val="Hyperlink"/>
                <w:noProof/>
              </w:rPr>
              <w:t xml:space="preserve">8.1 </w:t>
            </w:r>
            <w:r>
              <w:rPr>
                <w:rFonts w:asciiTheme="minorHAnsi" w:eastAsiaTheme="minorEastAsia" w:hAnsiTheme="minorHAnsi" w:cstheme="minorBidi"/>
                <w:noProof/>
                <w:kern w:val="2"/>
                <w:sz w:val="24"/>
                <w:lang w:eastAsia="en-AU"/>
                <w14:ligatures w14:val="standardContextual"/>
              </w:rPr>
              <w:tab/>
            </w:r>
            <w:r w:rsidRPr="00C873D2">
              <w:rPr>
                <w:rStyle w:val="Hyperlink"/>
                <w:noProof/>
              </w:rPr>
              <w:t>List of chemicals with high hazards for categorisation</w:t>
            </w:r>
            <w:r>
              <w:rPr>
                <w:noProof/>
                <w:webHidden/>
              </w:rPr>
              <w:tab/>
            </w:r>
            <w:r>
              <w:rPr>
                <w:noProof/>
                <w:webHidden/>
              </w:rPr>
              <w:fldChar w:fldCharType="begin"/>
            </w:r>
            <w:r>
              <w:rPr>
                <w:noProof/>
                <w:webHidden/>
              </w:rPr>
              <w:instrText xml:space="preserve"> PAGEREF _Toc238816844 \h </w:instrText>
            </w:r>
            <w:r>
              <w:rPr>
                <w:noProof/>
                <w:webHidden/>
              </w:rPr>
            </w:r>
            <w:r>
              <w:rPr>
                <w:noProof/>
                <w:webHidden/>
              </w:rPr>
              <w:fldChar w:fldCharType="separate"/>
            </w:r>
            <w:r>
              <w:rPr>
                <w:noProof/>
                <w:webHidden/>
              </w:rPr>
              <w:t>64</w:t>
            </w:r>
            <w:r>
              <w:rPr>
                <w:noProof/>
                <w:webHidden/>
              </w:rPr>
              <w:fldChar w:fldCharType="end"/>
            </w:r>
          </w:hyperlink>
        </w:p>
        <w:p w14:paraId="3782B1E1" w14:textId="5FAC3F0E" w:rsidR="005D5C46" w:rsidRDefault="005D5C46">
          <w:pPr>
            <w:pStyle w:val="TOC2"/>
            <w:rPr>
              <w:rFonts w:asciiTheme="minorHAnsi" w:eastAsiaTheme="minorEastAsia" w:hAnsiTheme="minorHAnsi" w:cstheme="minorBidi"/>
              <w:noProof/>
              <w:kern w:val="2"/>
              <w:sz w:val="24"/>
              <w:lang w:eastAsia="en-AU"/>
              <w14:ligatures w14:val="standardContextual"/>
            </w:rPr>
          </w:pPr>
          <w:hyperlink w:anchor="_Toc238816845" w:history="1">
            <w:r w:rsidRPr="00C873D2">
              <w:rPr>
                <w:rStyle w:val="Hyperlink"/>
                <w:noProof/>
              </w:rPr>
              <w:t>8.2</w:t>
            </w:r>
            <w:r>
              <w:rPr>
                <w:rFonts w:asciiTheme="minorHAnsi" w:eastAsiaTheme="minorEastAsia" w:hAnsiTheme="minorHAnsi" w:cstheme="minorBidi"/>
                <w:noProof/>
                <w:kern w:val="2"/>
                <w:sz w:val="24"/>
                <w:lang w:eastAsia="en-AU"/>
                <w14:ligatures w14:val="standardContextual"/>
              </w:rPr>
              <w:tab/>
            </w:r>
            <w:r w:rsidRPr="00C873D2">
              <w:rPr>
                <w:rStyle w:val="Hyperlink"/>
                <w:noProof/>
              </w:rPr>
              <w:t>In silico predictions</w:t>
            </w:r>
            <w:r>
              <w:rPr>
                <w:noProof/>
                <w:webHidden/>
              </w:rPr>
              <w:tab/>
            </w:r>
            <w:r>
              <w:rPr>
                <w:noProof/>
                <w:webHidden/>
              </w:rPr>
              <w:fldChar w:fldCharType="begin"/>
            </w:r>
            <w:r>
              <w:rPr>
                <w:noProof/>
                <w:webHidden/>
              </w:rPr>
              <w:instrText xml:space="preserve"> PAGEREF _Toc238816845 \h </w:instrText>
            </w:r>
            <w:r>
              <w:rPr>
                <w:noProof/>
                <w:webHidden/>
              </w:rPr>
            </w:r>
            <w:r>
              <w:rPr>
                <w:noProof/>
                <w:webHidden/>
              </w:rPr>
              <w:fldChar w:fldCharType="separate"/>
            </w:r>
            <w:r>
              <w:rPr>
                <w:noProof/>
                <w:webHidden/>
              </w:rPr>
              <w:t>64</w:t>
            </w:r>
            <w:r>
              <w:rPr>
                <w:noProof/>
                <w:webHidden/>
              </w:rPr>
              <w:fldChar w:fldCharType="end"/>
            </w:r>
          </w:hyperlink>
        </w:p>
        <w:p w14:paraId="2BEED0F1" w14:textId="75EB017C" w:rsidR="005D5C46" w:rsidRDefault="005D5C46">
          <w:pPr>
            <w:pStyle w:val="TOC2"/>
            <w:rPr>
              <w:rFonts w:asciiTheme="minorHAnsi" w:eastAsiaTheme="minorEastAsia" w:hAnsiTheme="minorHAnsi" w:cstheme="minorBidi"/>
              <w:noProof/>
              <w:kern w:val="2"/>
              <w:sz w:val="24"/>
              <w:lang w:eastAsia="en-AU"/>
              <w14:ligatures w14:val="standardContextual"/>
            </w:rPr>
          </w:pPr>
          <w:hyperlink w:anchor="_Toc238816846" w:history="1">
            <w:r w:rsidRPr="00C873D2">
              <w:rPr>
                <w:rStyle w:val="Hyperlink"/>
                <w:noProof/>
              </w:rPr>
              <w:t xml:space="preserve">8.3 </w:t>
            </w:r>
            <w:r>
              <w:rPr>
                <w:rFonts w:asciiTheme="minorHAnsi" w:eastAsiaTheme="minorEastAsia" w:hAnsiTheme="minorHAnsi" w:cstheme="minorBidi"/>
                <w:noProof/>
                <w:kern w:val="2"/>
                <w:sz w:val="24"/>
                <w:lang w:eastAsia="en-AU"/>
                <w14:ligatures w14:val="standardContextual"/>
              </w:rPr>
              <w:tab/>
            </w:r>
            <w:r w:rsidRPr="00C873D2">
              <w:rPr>
                <w:rStyle w:val="Hyperlink"/>
                <w:noProof/>
              </w:rPr>
              <w:t>Suitable read-across information</w:t>
            </w:r>
            <w:r>
              <w:rPr>
                <w:noProof/>
                <w:webHidden/>
              </w:rPr>
              <w:tab/>
            </w:r>
            <w:r>
              <w:rPr>
                <w:noProof/>
                <w:webHidden/>
              </w:rPr>
              <w:fldChar w:fldCharType="begin"/>
            </w:r>
            <w:r>
              <w:rPr>
                <w:noProof/>
                <w:webHidden/>
              </w:rPr>
              <w:instrText xml:space="preserve"> PAGEREF _Toc238816846 \h </w:instrText>
            </w:r>
            <w:r>
              <w:rPr>
                <w:noProof/>
                <w:webHidden/>
              </w:rPr>
            </w:r>
            <w:r>
              <w:rPr>
                <w:noProof/>
                <w:webHidden/>
              </w:rPr>
              <w:fldChar w:fldCharType="separate"/>
            </w:r>
            <w:r>
              <w:rPr>
                <w:noProof/>
                <w:webHidden/>
              </w:rPr>
              <w:t>66</w:t>
            </w:r>
            <w:r>
              <w:rPr>
                <w:noProof/>
                <w:webHidden/>
              </w:rPr>
              <w:fldChar w:fldCharType="end"/>
            </w:r>
          </w:hyperlink>
        </w:p>
        <w:p w14:paraId="03D27CFB" w14:textId="78676495" w:rsidR="005D5C46" w:rsidRDefault="005D5C46">
          <w:pPr>
            <w:pStyle w:val="TOC2"/>
            <w:rPr>
              <w:rFonts w:asciiTheme="minorHAnsi" w:eastAsiaTheme="minorEastAsia" w:hAnsiTheme="minorHAnsi" w:cstheme="minorBidi"/>
              <w:noProof/>
              <w:kern w:val="2"/>
              <w:sz w:val="24"/>
              <w:lang w:eastAsia="en-AU"/>
              <w14:ligatures w14:val="standardContextual"/>
            </w:rPr>
          </w:pPr>
          <w:hyperlink w:anchor="_Toc238816847" w:history="1">
            <w:r w:rsidRPr="00C873D2">
              <w:rPr>
                <w:rStyle w:val="Hyperlink"/>
                <w:noProof/>
              </w:rPr>
              <w:t>8.4 Acceptable test guidelines</w:t>
            </w:r>
            <w:r>
              <w:rPr>
                <w:noProof/>
                <w:webHidden/>
              </w:rPr>
              <w:tab/>
            </w:r>
            <w:r>
              <w:rPr>
                <w:noProof/>
                <w:webHidden/>
              </w:rPr>
              <w:fldChar w:fldCharType="begin"/>
            </w:r>
            <w:r>
              <w:rPr>
                <w:noProof/>
                <w:webHidden/>
              </w:rPr>
              <w:instrText xml:space="preserve"> PAGEREF _Toc238816847 \h </w:instrText>
            </w:r>
            <w:r>
              <w:rPr>
                <w:noProof/>
                <w:webHidden/>
              </w:rPr>
            </w:r>
            <w:r>
              <w:rPr>
                <w:noProof/>
                <w:webHidden/>
              </w:rPr>
              <w:fldChar w:fldCharType="separate"/>
            </w:r>
            <w:r>
              <w:rPr>
                <w:noProof/>
                <w:webHidden/>
              </w:rPr>
              <w:t>67</w:t>
            </w:r>
            <w:r>
              <w:rPr>
                <w:noProof/>
                <w:webHidden/>
              </w:rPr>
              <w:fldChar w:fldCharType="end"/>
            </w:r>
          </w:hyperlink>
        </w:p>
        <w:p w14:paraId="3D114AFA" w14:textId="2E23C551" w:rsidR="005D5C46" w:rsidRDefault="005D5C46">
          <w:pPr>
            <w:pStyle w:val="TOC1"/>
            <w:rPr>
              <w:rFonts w:asciiTheme="minorHAnsi" w:eastAsiaTheme="minorEastAsia" w:hAnsiTheme="minorHAnsi" w:cstheme="minorBidi"/>
              <w:b w:val="0"/>
              <w:noProof/>
              <w:kern w:val="2"/>
              <w:sz w:val="24"/>
              <w:lang w:eastAsia="en-AU"/>
              <w14:ligatures w14:val="standardContextual"/>
            </w:rPr>
          </w:pPr>
          <w:hyperlink w:anchor="_Toc238816848" w:history="1">
            <w:r w:rsidRPr="00C873D2">
              <w:rPr>
                <w:rStyle w:val="Hyperlink"/>
                <w:noProof/>
              </w:rPr>
              <w:t>Endnotes</w:t>
            </w:r>
            <w:r>
              <w:rPr>
                <w:noProof/>
                <w:webHidden/>
              </w:rPr>
              <w:tab/>
            </w:r>
            <w:r>
              <w:rPr>
                <w:noProof/>
                <w:webHidden/>
              </w:rPr>
              <w:fldChar w:fldCharType="begin"/>
            </w:r>
            <w:r>
              <w:rPr>
                <w:noProof/>
                <w:webHidden/>
              </w:rPr>
              <w:instrText xml:space="preserve"> PAGEREF _Toc238816848 \h </w:instrText>
            </w:r>
            <w:r>
              <w:rPr>
                <w:noProof/>
                <w:webHidden/>
              </w:rPr>
            </w:r>
            <w:r>
              <w:rPr>
                <w:noProof/>
                <w:webHidden/>
              </w:rPr>
              <w:fldChar w:fldCharType="separate"/>
            </w:r>
            <w:r>
              <w:rPr>
                <w:noProof/>
                <w:webHidden/>
              </w:rPr>
              <w:t>73</w:t>
            </w:r>
            <w:r>
              <w:rPr>
                <w:noProof/>
                <w:webHidden/>
              </w:rPr>
              <w:fldChar w:fldCharType="end"/>
            </w:r>
          </w:hyperlink>
        </w:p>
        <w:p w14:paraId="7F5CA0B5" w14:textId="5B762F96" w:rsidR="00E104C5" w:rsidRDefault="00EE14BC" w:rsidP="00EE14BC">
          <w:pPr>
            <w:pStyle w:val="TOC1"/>
          </w:pPr>
          <w:r>
            <w:fldChar w:fldCharType="end"/>
          </w:r>
        </w:p>
      </w:sdtContent>
    </w:sdt>
    <w:p w14:paraId="1F8E3F36" w14:textId="77777777" w:rsidR="006D672A" w:rsidRDefault="006D672A">
      <w:pPr>
        <w:spacing w:before="0" w:beforeAutospacing="0" w:after="160" w:afterAutospacing="0" w:line="259" w:lineRule="auto"/>
      </w:pPr>
      <w:r>
        <w:br w:type="page"/>
      </w:r>
    </w:p>
    <w:p w14:paraId="2F1BAD0C" w14:textId="77777777" w:rsidR="007914FA" w:rsidRPr="00C015CF" w:rsidRDefault="007914FA" w:rsidP="00CD22CE">
      <w:pPr>
        <w:pStyle w:val="Heading1"/>
        <w:numPr>
          <w:ilvl w:val="0"/>
          <w:numId w:val="10"/>
        </w:numPr>
        <w:ind w:left="851" w:hanging="851"/>
      </w:pPr>
      <w:bookmarkStart w:id="0" w:name="_Toc238816792"/>
      <w:r w:rsidRPr="00C015CF">
        <w:lastRenderedPageBreak/>
        <w:t>About these Guidelines</w:t>
      </w:r>
      <w:bookmarkEnd w:id="0"/>
    </w:p>
    <w:p w14:paraId="53CA6233" w14:textId="631AEE6A" w:rsidR="007914FA" w:rsidRDefault="007914FA" w:rsidP="007914FA">
      <w:r>
        <w:t>These Guidelines are designed to help an introducer</w:t>
      </w:r>
      <w:r w:rsidR="00F62433">
        <w:t xml:space="preserve"> to</w:t>
      </w:r>
      <w:r>
        <w:t xml:space="preserve"> categorise an industrial chemical introduction for the purposes of the </w:t>
      </w:r>
      <w:r w:rsidRPr="00AC4BD3">
        <w:rPr>
          <w:i/>
          <w:iCs/>
        </w:rPr>
        <w:t>Industrial Chemicals Act 2019</w:t>
      </w:r>
      <w:r>
        <w:t xml:space="preserve"> and must be used in conjunction with the </w:t>
      </w:r>
      <w:r w:rsidRPr="00AC4BD3">
        <w:rPr>
          <w:i/>
          <w:iCs/>
        </w:rPr>
        <w:t>Industrial Chemicals (General) Rules 2019</w:t>
      </w:r>
      <w:r>
        <w:t xml:space="preserve"> (the IC General Rules).</w:t>
      </w:r>
    </w:p>
    <w:p w14:paraId="16262B40" w14:textId="77777777" w:rsidR="007914FA" w:rsidRDefault="007914FA" w:rsidP="007914FA">
      <w:r>
        <w:t>Part 2 of these Guidelines provides the meanings for certain terms from sections 5 and 6 of the IC General Rules. The terms in this part are those that require technical detail and description for their definitions. For example, the methods to work out the environment categorisation volume and human health categorisation volume are described in this part.</w:t>
      </w:r>
    </w:p>
    <w:p w14:paraId="5155FF3B" w14:textId="77777777" w:rsidR="007914FA" w:rsidRDefault="007914FA" w:rsidP="007914FA">
      <w:r>
        <w:t>Parts 3 and 4 of these Guidelines provide meanings for terms that appear in Chapter 2 of the IC General Rules. These terms relate to the categorisation of introductions of industrial chemicals.</w:t>
      </w:r>
    </w:p>
    <w:p w14:paraId="6B2D5120" w14:textId="77777777" w:rsidR="007914FA" w:rsidRDefault="007914FA" w:rsidP="007914FA">
      <w:r>
        <w:t>Part 5 of these Guidelines provides meanings for terms that appear in Chapter 4 of the IC General Rules. These terms relate to record keeping obligations for introductions of industrial chemicals.</w:t>
      </w:r>
    </w:p>
    <w:p w14:paraId="448E1889" w14:textId="77777777" w:rsidR="007914FA" w:rsidRDefault="007914FA" w:rsidP="007914FA">
      <w:r>
        <w:t>Part 6 of these Guidelines provides meanings for terms that appear in Schedule 1 of the IC General Rules. These include definitions of human health hazard characteristics and environment hazard characteristics used for determining indicative human health risk and indicative environment risk. It also details the information required to demonstrate the absence of each hazard characteristic for the purposes of section 30 of the IC General Rules. The definitions of certain terms that are used within part 6 of these Guidelines, such as ‘suitable read across information’ and ‘acceptable test guideline’ are also provided.</w:t>
      </w:r>
    </w:p>
    <w:p w14:paraId="1A50066E" w14:textId="77777777" w:rsidR="007914FA" w:rsidRDefault="007914FA" w:rsidP="007914FA">
      <w:r>
        <w:t>Part 7 of these Guidelines provides meanings for terms that appear in Schedule 2 of the IC General Rules.</w:t>
      </w:r>
    </w:p>
    <w:p w14:paraId="0B136874" w14:textId="77777777" w:rsidR="007914FA" w:rsidRDefault="007914FA" w:rsidP="007914FA">
      <w:r>
        <w:t>The appendices provide further detail for certain definitions or concepts in these Guidelines:</w:t>
      </w:r>
    </w:p>
    <w:p w14:paraId="029AF05A" w14:textId="77777777" w:rsidR="007914FA" w:rsidRPr="000A5B68" w:rsidRDefault="007914FA" w:rsidP="000A5B68">
      <w:pPr>
        <w:pStyle w:val="Bulletlist"/>
      </w:pPr>
      <w:r w:rsidRPr="000A5B68">
        <w:t>List of chemicals with high hazards for categorisation</w:t>
      </w:r>
    </w:p>
    <w:p w14:paraId="0D0367BE" w14:textId="77777777" w:rsidR="007914FA" w:rsidRPr="000A5B68" w:rsidRDefault="007914FA" w:rsidP="000A5B68">
      <w:pPr>
        <w:pStyle w:val="Bulletlist"/>
      </w:pPr>
      <w:r w:rsidRPr="000A5B68">
        <w:t>In silico predictions</w:t>
      </w:r>
    </w:p>
    <w:p w14:paraId="56AF9C98" w14:textId="03BD1119" w:rsidR="007914FA" w:rsidRPr="000A5B68" w:rsidRDefault="007914FA" w:rsidP="000A5B68">
      <w:pPr>
        <w:pStyle w:val="Bulletlist"/>
      </w:pPr>
      <w:r w:rsidRPr="000A5B68">
        <w:t>Suitable read</w:t>
      </w:r>
      <w:r w:rsidR="00F62433">
        <w:t xml:space="preserve"> </w:t>
      </w:r>
      <w:r w:rsidRPr="000A5B68">
        <w:t>across information</w:t>
      </w:r>
    </w:p>
    <w:p w14:paraId="2A17695F" w14:textId="77777777" w:rsidR="007914FA" w:rsidRPr="000A5B68" w:rsidRDefault="007914FA" w:rsidP="000A5B68">
      <w:pPr>
        <w:pStyle w:val="Bulletlist"/>
      </w:pPr>
      <w:r w:rsidRPr="000A5B68">
        <w:t>Acceptable test guidelines</w:t>
      </w:r>
    </w:p>
    <w:p w14:paraId="5F323D39" w14:textId="77777777" w:rsidR="007914FA" w:rsidRDefault="007914FA" w:rsidP="009D1D3F">
      <w:r>
        <w:br w:type="page"/>
      </w:r>
    </w:p>
    <w:p w14:paraId="25639A23" w14:textId="77777777" w:rsidR="00CB1330" w:rsidRPr="00772681" w:rsidRDefault="3C3BFA51" w:rsidP="00772681">
      <w:pPr>
        <w:pStyle w:val="Heading1"/>
      </w:pPr>
      <w:bookmarkStart w:id="1" w:name="_Toc238816793"/>
      <w:r w:rsidRPr="00772681">
        <w:lastRenderedPageBreak/>
        <w:t>Definitions of terms in Chapter 1, Part 1 of the IC General Rules</w:t>
      </w:r>
      <w:bookmarkEnd w:id="1"/>
    </w:p>
    <w:p w14:paraId="791CEFCD" w14:textId="77777777" w:rsidR="00CB1330" w:rsidRPr="00AF37D0" w:rsidRDefault="3C3BFA51" w:rsidP="00AF37D0">
      <w:pPr>
        <w:pStyle w:val="Heading2"/>
      </w:pPr>
      <w:bookmarkStart w:id="2" w:name="_Toc238816794"/>
      <w:r>
        <w:t>2.1</w:t>
      </w:r>
      <w:r w:rsidR="00CB1330">
        <w:tab/>
      </w:r>
      <w:r>
        <w:t>Section 5 of the IC General Rules</w:t>
      </w:r>
      <w:bookmarkEnd w:id="2"/>
    </w:p>
    <w:p w14:paraId="6628896D" w14:textId="77777777" w:rsidR="00CB1330" w:rsidRPr="00AF37D0" w:rsidRDefault="00CB1330" w:rsidP="00AF37D0">
      <w:pPr>
        <w:pStyle w:val="Heading3"/>
      </w:pPr>
      <w:r w:rsidRPr="00AF37D0">
        <w:t>2.1.1</w:t>
      </w:r>
      <w:r w:rsidRPr="00AF37D0">
        <w:tab/>
        <w:t>Chemical identity holder</w:t>
      </w:r>
    </w:p>
    <w:p w14:paraId="3C2D017A" w14:textId="4F742E42" w:rsidR="00CB1330" w:rsidRDefault="00CB1330" w:rsidP="00CB1330">
      <w:r w:rsidRPr="004B3E86">
        <w:rPr>
          <w:b/>
          <w:bCs/>
        </w:rPr>
        <w:t>Chemical identity holder</w:t>
      </w:r>
      <w:r>
        <w:t>, in relation to an industrial chemical, means a person who knows</w:t>
      </w:r>
      <w:r w:rsidR="005F1935">
        <w:t xml:space="preserve"> information relating to</w:t>
      </w:r>
      <w:r>
        <w:t xml:space="preserve"> the chemical identity of the industrial chemical.</w:t>
      </w:r>
    </w:p>
    <w:p w14:paraId="7B4604FF" w14:textId="75300EBB" w:rsidR="005F1935" w:rsidRDefault="005F1935" w:rsidP="00CB1330">
      <w:r w:rsidRPr="005D5C46">
        <w:rPr>
          <w:b/>
          <w:bCs/>
        </w:rPr>
        <w:t>Note:</w:t>
      </w:r>
      <w:r>
        <w:t xml:space="preserve"> </w:t>
      </w:r>
      <w:r w:rsidRPr="005F1935">
        <w:t>A chemical identity holder may have obligations in accordance with the relevant sections of Chapter 3 of the IC General Rules (reporting)</w:t>
      </w:r>
      <w:r>
        <w:t>.</w:t>
      </w:r>
    </w:p>
    <w:p w14:paraId="490321C9" w14:textId="77777777" w:rsidR="00CB1330" w:rsidRDefault="00CB1330" w:rsidP="00AF37D0">
      <w:pPr>
        <w:pStyle w:val="Heading3"/>
      </w:pPr>
      <w:r>
        <w:t>2.1.2</w:t>
      </w:r>
      <w:r>
        <w:tab/>
        <w:t>Environment categorisation volume</w:t>
      </w:r>
    </w:p>
    <w:p w14:paraId="18340512" w14:textId="77777777" w:rsidR="00CB1330" w:rsidRDefault="3C3BFA51" w:rsidP="00CB1330">
      <w:r>
        <w:t xml:space="preserve">You use the environment categorisation volume (ECV) to determine the environment exposure band for your introduction. There are two methods for working out the ECV. You can use either method, </w:t>
      </w:r>
      <w:proofErr w:type="gramStart"/>
      <w:r>
        <w:t>and</w:t>
      </w:r>
      <w:proofErr w:type="gramEnd"/>
      <w:r>
        <w:t xml:space="preserve"> you must keep records to demonstrate how you worked out your ECV.</w:t>
      </w:r>
    </w:p>
    <w:p w14:paraId="1EB35058" w14:textId="77777777" w:rsidR="00CB1330" w:rsidRPr="002F21DC" w:rsidRDefault="00CB1330" w:rsidP="002F21DC">
      <w:pPr>
        <w:pStyle w:val="Heading4"/>
      </w:pPr>
      <w:r w:rsidRPr="002F21DC">
        <w:t>Method 1</w:t>
      </w:r>
    </w:p>
    <w:p w14:paraId="601DFA69" w14:textId="77777777" w:rsidR="00CB1330" w:rsidRDefault="3C3BFA51" w:rsidP="00CB1330">
      <w:r>
        <w:t xml:space="preserve">The ECV is equal to the total volume of the industrial chemical that you will introduce in a registration year. It is the total introduction volume across all </w:t>
      </w:r>
      <w:proofErr w:type="gramStart"/>
      <w:r>
        <w:t>end</w:t>
      </w:r>
      <w:proofErr w:type="gramEnd"/>
      <w:r>
        <w:t xml:space="preserve"> uses.</w:t>
      </w:r>
    </w:p>
    <w:p w14:paraId="791C820E" w14:textId="77777777" w:rsidR="00CB1330" w:rsidRPr="00BF4020" w:rsidRDefault="00CB1330" w:rsidP="002F21DC">
      <w:pPr>
        <w:pStyle w:val="Heading4"/>
      </w:pPr>
      <w:r w:rsidRPr="00BF4020">
        <w:t>Method 2</w:t>
      </w:r>
    </w:p>
    <w:p w14:paraId="55B65336" w14:textId="77777777" w:rsidR="00CB1330" w:rsidRDefault="3C3BFA51" w:rsidP="00CB1330">
      <w:r>
        <w:t xml:space="preserve">In this method, the ECV is determined by multiplying introduction volumes by a default release reduction factor (RRF). The way you do this depends on whether you are introducing the industrial chemical for a single end use or multiple </w:t>
      </w:r>
      <w:proofErr w:type="gramStart"/>
      <w:r>
        <w:t>end</w:t>
      </w:r>
      <w:proofErr w:type="gramEnd"/>
      <w:r>
        <w:t xml:space="preserve"> uses.</w:t>
      </w:r>
    </w:p>
    <w:p w14:paraId="4EA32FD5" w14:textId="77777777" w:rsidR="00CB1330" w:rsidRPr="00BF4020" w:rsidRDefault="00CB1330" w:rsidP="00CB1330">
      <w:pPr>
        <w:rPr>
          <w:b/>
          <w:bCs/>
          <w:i/>
          <w:iCs/>
        </w:rPr>
      </w:pPr>
      <w:r w:rsidRPr="00BF4020">
        <w:rPr>
          <w:b/>
          <w:bCs/>
          <w:i/>
          <w:iCs/>
        </w:rPr>
        <w:t xml:space="preserve">Single end use scenario </w:t>
      </w:r>
    </w:p>
    <w:p w14:paraId="656EE9D3" w14:textId="77777777" w:rsidR="00CB1330" w:rsidRDefault="3C3BFA51" w:rsidP="00CB1330">
      <w:r>
        <w:t xml:space="preserve">Where the industrial chemical will have a single end use scenario the ECV is calculated by multiplying the total introduction volume (IV) of the industrial chemical that you will introduce in a registration year by the default RRF relevant for the intended end use scenario (refer to Table 1). That is, </w:t>
      </w:r>
    </w:p>
    <w:p w14:paraId="6B0D2F9F" w14:textId="77777777" w:rsidR="00CB1330" w:rsidRPr="00C02C94" w:rsidRDefault="00CB1330" w:rsidP="00CB1330">
      <w:pPr>
        <w:rPr>
          <w:b/>
          <w:bCs/>
          <w:i/>
          <w:iCs/>
        </w:rPr>
      </w:pPr>
      <w:r w:rsidRPr="00C02C94">
        <w:rPr>
          <w:b/>
          <w:bCs/>
          <w:i/>
          <w:iCs/>
        </w:rPr>
        <w:t>Environment categorisation volume (ECV) = total introduction volume (IV) x release reduction factor (RRF)</w:t>
      </w:r>
    </w:p>
    <w:p w14:paraId="73E8DD25" w14:textId="77777777" w:rsidR="00CB1330" w:rsidRPr="0070631F" w:rsidRDefault="00CB1330" w:rsidP="00CB1330">
      <w:pPr>
        <w:rPr>
          <w:b/>
          <w:bCs/>
          <w:i/>
          <w:iCs/>
        </w:rPr>
      </w:pPr>
      <w:r w:rsidRPr="0070631F">
        <w:rPr>
          <w:b/>
          <w:bCs/>
          <w:i/>
          <w:iCs/>
        </w:rPr>
        <w:t>Multiple end use scenarios</w:t>
      </w:r>
    </w:p>
    <w:p w14:paraId="4778D458" w14:textId="77777777" w:rsidR="00CB1330" w:rsidRDefault="00CB1330" w:rsidP="00CB1330">
      <w:r>
        <w:t xml:space="preserve">Where the industrial chemical will have </w:t>
      </w:r>
      <w:r w:rsidRPr="00AC4BD3">
        <w:rPr>
          <w:i/>
          <w:iCs/>
        </w:rPr>
        <w:t>multiple end use scenarios</w:t>
      </w:r>
      <w:r>
        <w:t>, there are two options to calculate the ECV:</w:t>
      </w:r>
    </w:p>
    <w:p w14:paraId="01771036" w14:textId="77777777" w:rsidR="00CB1330" w:rsidRPr="001E14EF" w:rsidRDefault="00CB1330" w:rsidP="00CB1330">
      <w:r w:rsidRPr="001E14EF">
        <w:t xml:space="preserve">Option 1: </w:t>
      </w:r>
    </w:p>
    <w:p w14:paraId="4FB58BBB" w14:textId="77777777" w:rsidR="008E7674" w:rsidRPr="000E2588" w:rsidRDefault="00CB1330" w:rsidP="000A5B68">
      <w:pPr>
        <w:pStyle w:val="Bulletlist"/>
      </w:pPr>
      <w:r w:rsidRPr="000E2588">
        <w:t>Step 1 – determine the default RRFs (refer to Table 1) that are relevant to each of your end use scenarios</w:t>
      </w:r>
    </w:p>
    <w:p w14:paraId="02BE73E8" w14:textId="77777777" w:rsidR="008E7674" w:rsidRPr="000E2588" w:rsidRDefault="00CB1330" w:rsidP="000A5B68">
      <w:pPr>
        <w:pStyle w:val="Bulletlist"/>
      </w:pPr>
      <w:r w:rsidRPr="000E2588">
        <w:t>Step 2 – of these RRFs, choose the one with the highest value</w:t>
      </w:r>
    </w:p>
    <w:p w14:paraId="5F714A98" w14:textId="77777777" w:rsidR="00CB1330" w:rsidRDefault="3C3BFA51" w:rsidP="000A5B68">
      <w:pPr>
        <w:pStyle w:val="Bulletlist"/>
      </w:pPr>
      <w:r>
        <w:t xml:space="preserve">Step 3 </w:t>
      </w:r>
      <w:r w:rsidR="00665A9C">
        <w:t>–</w:t>
      </w:r>
      <w:r>
        <w:t xml:space="preserve"> multiply the total introduction volume of the industrial chemical that you will introduce in a registration year by the RRF you chose in step 2. </w:t>
      </w:r>
    </w:p>
    <w:p w14:paraId="184795B8" w14:textId="77777777" w:rsidR="00CB1330" w:rsidRDefault="00CB1330" w:rsidP="00CB1330">
      <w:r>
        <w:lastRenderedPageBreak/>
        <w:t>That is,</w:t>
      </w:r>
    </w:p>
    <w:p w14:paraId="0D477EED" w14:textId="77777777" w:rsidR="00CB1330" w:rsidRPr="00C87145" w:rsidRDefault="00CB1330" w:rsidP="00CB1330">
      <w:pPr>
        <w:rPr>
          <w:b/>
          <w:bCs/>
          <w:i/>
          <w:iCs/>
        </w:rPr>
      </w:pPr>
      <w:r w:rsidRPr="00C87145">
        <w:rPr>
          <w:b/>
          <w:bCs/>
          <w:i/>
          <w:iCs/>
        </w:rPr>
        <w:t>Environment categorisation volume (ECV) = total introduction volume (IV) x highest release reduction factor (RRF)</w:t>
      </w:r>
    </w:p>
    <w:p w14:paraId="0ADCFDBA" w14:textId="77777777" w:rsidR="00CB1330" w:rsidRDefault="00CB1330" w:rsidP="00CB1330">
      <w:r>
        <w:t xml:space="preserve">Option 2: </w:t>
      </w:r>
    </w:p>
    <w:p w14:paraId="5AFE81D0" w14:textId="77777777" w:rsidR="0084616D" w:rsidRDefault="00CB1330" w:rsidP="000A5B68">
      <w:pPr>
        <w:pStyle w:val="Bulletlist"/>
      </w:pPr>
      <w:r>
        <w:t>Step 1 – determine the introduction volume of industrial chemical in a registration year for each end use scenario (these introduction volumes should add up to the total introduction volume of the industrial chemical that you will introduce in a registration year)</w:t>
      </w:r>
    </w:p>
    <w:p w14:paraId="70C70012" w14:textId="77777777" w:rsidR="0084616D" w:rsidRDefault="00CB1330" w:rsidP="000A5B68">
      <w:pPr>
        <w:pStyle w:val="Bulletlist"/>
      </w:pPr>
      <w:r>
        <w:t>Step 2 – determine the default RRFs (refer to Table 1) that are relevant to each of your end use scenarios</w:t>
      </w:r>
    </w:p>
    <w:p w14:paraId="1D5AA7E1" w14:textId="77777777" w:rsidR="00CB1330" w:rsidRDefault="00CB1330" w:rsidP="000A5B68">
      <w:pPr>
        <w:pStyle w:val="Bulletlist"/>
      </w:pPr>
      <w:r>
        <w:t xml:space="preserve">Step 3 – multiply the introduction volumes allocated to each end use scenario (from Step 1) by the relevant RRF for each end use scenario (from Step 2), and then add these together to get a total ECV, using the equation: </w:t>
      </w:r>
    </w:p>
    <w:p w14:paraId="39E72799" w14:textId="77777777" w:rsidR="00CB1330" w:rsidRPr="00260994" w:rsidRDefault="00CB1330" w:rsidP="00CB1330">
      <w:pPr>
        <w:rPr>
          <w:b/>
          <w:bCs/>
          <w:i/>
          <w:iCs/>
        </w:rPr>
      </w:pPr>
      <w:r w:rsidRPr="00260994">
        <w:rPr>
          <w:b/>
          <w:bCs/>
          <w:i/>
          <w:iCs/>
        </w:rPr>
        <w:t>ECV = (IV</w:t>
      </w:r>
      <w:r w:rsidRPr="000F7715">
        <w:rPr>
          <w:b/>
          <w:bCs/>
          <w:i/>
          <w:iCs/>
          <w:vertAlign w:val="subscript"/>
        </w:rPr>
        <w:t>1</w:t>
      </w:r>
      <w:r w:rsidRPr="00260994">
        <w:rPr>
          <w:b/>
          <w:bCs/>
          <w:i/>
          <w:iCs/>
        </w:rPr>
        <w:t xml:space="preserve"> x RRF</w:t>
      </w:r>
      <w:r w:rsidRPr="00C8481C">
        <w:rPr>
          <w:b/>
          <w:bCs/>
          <w:i/>
          <w:iCs/>
          <w:vertAlign w:val="subscript"/>
        </w:rPr>
        <w:t>1</w:t>
      </w:r>
      <w:r w:rsidRPr="00260994">
        <w:rPr>
          <w:b/>
          <w:bCs/>
          <w:i/>
          <w:iCs/>
        </w:rPr>
        <w:t>) + (IV</w:t>
      </w:r>
      <w:r w:rsidRPr="007379AA">
        <w:rPr>
          <w:b/>
          <w:bCs/>
          <w:i/>
          <w:iCs/>
          <w:vertAlign w:val="subscript"/>
        </w:rPr>
        <w:t>2</w:t>
      </w:r>
      <w:r w:rsidRPr="00260994">
        <w:rPr>
          <w:b/>
          <w:bCs/>
          <w:i/>
          <w:iCs/>
        </w:rPr>
        <w:t xml:space="preserve"> x RRF</w:t>
      </w:r>
      <w:r w:rsidRPr="007379AA">
        <w:rPr>
          <w:b/>
          <w:bCs/>
          <w:i/>
          <w:iCs/>
          <w:vertAlign w:val="subscript"/>
        </w:rPr>
        <w:t>2</w:t>
      </w:r>
      <w:r w:rsidRPr="00260994">
        <w:rPr>
          <w:b/>
          <w:bCs/>
          <w:i/>
          <w:iCs/>
        </w:rPr>
        <w:t>) + … + (</w:t>
      </w:r>
      <w:proofErr w:type="spellStart"/>
      <w:r w:rsidRPr="00260994">
        <w:rPr>
          <w:b/>
          <w:bCs/>
          <w:i/>
          <w:iCs/>
        </w:rPr>
        <w:t>IV</w:t>
      </w:r>
      <w:r w:rsidRPr="006555E0">
        <w:rPr>
          <w:b/>
          <w:bCs/>
          <w:i/>
          <w:iCs/>
          <w:vertAlign w:val="subscript"/>
        </w:rPr>
        <w:t>n</w:t>
      </w:r>
      <w:proofErr w:type="spellEnd"/>
      <w:r w:rsidRPr="00260994">
        <w:rPr>
          <w:b/>
          <w:bCs/>
          <w:i/>
          <w:iCs/>
        </w:rPr>
        <w:t xml:space="preserve"> x </w:t>
      </w:r>
      <w:proofErr w:type="spellStart"/>
      <w:r w:rsidRPr="00260994">
        <w:rPr>
          <w:b/>
          <w:bCs/>
          <w:i/>
          <w:iCs/>
        </w:rPr>
        <w:t>RRF</w:t>
      </w:r>
      <w:r w:rsidRPr="006555E0">
        <w:rPr>
          <w:b/>
          <w:bCs/>
          <w:i/>
          <w:iCs/>
          <w:vertAlign w:val="subscript"/>
        </w:rPr>
        <w:t>n</w:t>
      </w:r>
      <w:proofErr w:type="spellEnd"/>
      <w:r w:rsidRPr="00260994">
        <w:rPr>
          <w:b/>
          <w:bCs/>
          <w:i/>
          <w:iCs/>
        </w:rPr>
        <w:t>)</w:t>
      </w:r>
    </w:p>
    <w:p w14:paraId="73E6EFA5" w14:textId="77777777" w:rsidR="5E1450C1" w:rsidRDefault="3C3BFA51">
      <w:r>
        <w:t>The release reduction factors you need to calculate your introduction’s ECV for each end use scenario are set out in Table 1. The end use scenarios are defined below the table.</w:t>
      </w:r>
    </w:p>
    <w:p w14:paraId="7D848FB0" w14:textId="77777777" w:rsidR="00CB1330" w:rsidRDefault="00CB1330" w:rsidP="001975B2">
      <w:pPr>
        <w:pStyle w:val="Tableheader"/>
      </w:pPr>
      <w:r>
        <w:t>Table 1: The release reduction factor you need to work out ECV, depending on end use scenario</w:t>
      </w:r>
    </w:p>
    <w:tbl>
      <w:tblPr>
        <w:tblStyle w:val="AICISTableBasic"/>
        <w:tblW w:w="5000" w:type="pct"/>
        <w:tblLook w:val="0620" w:firstRow="1" w:lastRow="0" w:firstColumn="0" w:lastColumn="0" w:noHBand="1" w:noVBand="1"/>
      </w:tblPr>
      <w:tblGrid>
        <w:gridCol w:w="6440"/>
        <w:gridCol w:w="3198"/>
      </w:tblGrid>
      <w:tr w:rsidR="009816D3" w:rsidRPr="009816D3" w14:paraId="47F3D5FA" w14:textId="77777777" w:rsidTr="00353841">
        <w:trPr>
          <w:trHeight w:val="567"/>
          <w:tblHeader/>
        </w:trPr>
        <w:tc>
          <w:tcPr>
            <w:tcW w:w="3341" w:type="pct"/>
          </w:tcPr>
          <w:p w14:paraId="618951CA" w14:textId="77777777" w:rsidR="00DF3CB0" w:rsidRPr="009816D3" w:rsidRDefault="00DF3CB0" w:rsidP="00CE7726">
            <w:pPr>
              <w:spacing w:beforeLines="60" w:before="144" w:afterLines="60" w:after="144"/>
              <w:rPr>
                <w:b/>
              </w:rPr>
            </w:pPr>
            <w:r w:rsidRPr="009816D3">
              <w:rPr>
                <w:b/>
              </w:rPr>
              <w:t>If your introduction's end use scenario is...</w:t>
            </w:r>
          </w:p>
        </w:tc>
        <w:tc>
          <w:tcPr>
            <w:tcW w:w="1659" w:type="pct"/>
          </w:tcPr>
          <w:p w14:paraId="6C13A027" w14:textId="77777777" w:rsidR="00DF3CB0" w:rsidRPr="009816D3" w:rsidRDefault="00DF3CB0" w:rsidP="00CE7726">
            <w:pPr>
              <w:spacing w:beforeLines="60" w:before="144" w:afterLines="60" w:after="144"/>
              <w:rPr>
                <w:b/>
              </w:rPr>
            </w:pPr>
            <w:r w:rsidRPr="009816D3">
              <w:rPr>
                <w:b/>
              </w:rPr>
              <w:t>The release reduction factor (RRF) you need to use is…</w:t>
            </w:r>
          </w:p>
        </w:tc>
      </w:tr>
      <w:tr w:rsidR="00DF3CB0" w:rsidRPr="004B3609" w14:paraId="1874808A" w14:textId="77777777" w:rsidTr="00353841">
        <w:trPr>
          <w:trHeight w:val="567"/>
        </w:trPr>
        <w:tc>
          <w:tcPr>
            <w:tcW w:w="3341" w:type="pct"/>
          </w:tcPr>
          <w:p w14:paraId="7064C18B" w14:textId="77777777" w:rsidR="00DF3CB0" w:rsidRDefault="00DF3CB0" w:rsidP="00CE7726">
            <w:pPr>
              <w:spacing w:beforeLines="60" w:before="144" w:afterLines="60" w:after="144"/>
              <w:rPr>
                <w:rFonts w:cs="Segoe UI"/>
              </w:rPr>
            </w:pPr>
            <w:r>
              <w:rPr>
                <w:rFonts w:cs="Segoe UI"/>
              </w:rPr>
              <w:t>Chemical imported into Australia; import containers remain closed; then exported for end use overseas</w:t>
            </w:r>
          </w:p>
        </w:tc>
        <w:tc>
          <w:tcPr>
            <w:tcW w:w="1659" w:type="pct"/>
          </w:tcPr>
          <w:p w14:paraId="6461D6A6" w14:textId="77777777" w:rsidR="00DF3CB0" w:rsidRDefault="00DF3CB0" w:rsidP="00CE7726">
            <w:pPr>
              <w:spacing w:beforeLines="60" w:before="144" w:afterLines="60" w:after="144"/>
              <w:jc w:val="center"/>
              <w:rPr>
                <w:rFonts w:cs="Segoe UI"/>
              </w:rPr>
            </w:pPr>
            <w:r>
              <w:rPr>
                <w:rFonts w:cs="Segoe UI"/>
              </w:rPr>
              <w:t xml:space="preserve">0 </w:t>
            </w:r>
          </w:p>
        </w:tc>
      </w:tr>
      <w:tr w:rsidR="00DF3CB0" w:rsidRPr="004B3609" w14:paraId="02329309" w14:textId="77777777" w:rsidTr="00353841">
        <w:trPr>
          <w:trHeight w:val="567"/>
        </w:trPr>
        <w:tc>
          <w:tcPr>
            <w:tcW w:w="3341" w:type="pct"/>
          </w:tcPr>
          <w:p w14:paraId="4873E6A1" w14:textId="77777777" w:rsidR="00DF3CB0" w:rsidRDefault="00DF3CB0" w:rsidP="00CE7726">
            <w:pPr>
              <w:spacing w:beforeLines="60" w:before="144" w:afterLines="60" w:after="144"/>
              <w:rPr>
                <w:rFonts w:cs="Segoe UI"/>
              </w:rPr>
            </w:pPr>
            <w:r>
              <w:rPr>
                <w:rFonts w:cs="Segoe UI"/>
              </w:rPr>
              <w:t>Chemical imported into Australia; limited handling of the chemical (such that import containers are opened); then exported for end use overseas</w:t>
            </w:r>
          </w:p>
        </w:tc>
        <w:tc>
          <w:tcPr>
            <w:tcW w:w="1659" w:type="pct"/>
          </w:tcPr>
          <w:p w14:paraId="216386AE" w14:textId="77777777" w:rsidR="00DF3CB0" w:rsidRDefault="00DF3CB0" w:rsidP="00CE7726">
            <w:pPr>
              <w:spacing w:beforeLines="60" w:before="144" w:afterLines="60" w:after="144"/>
              <w:jc w:val="center"/>
              <w:rPr>
                <w:rFonts w:cs="Segoe UI"/>
              </w:rPr>
            </w:pPr>
            <w:r>
              <w:rPr>
                <w:rFonts w:cs="Segoe UI"/>
              </w:rPr>
              <w:t xml:space="preserve">0.05 </w:t>
            </w:r>
          </w:p>
        </w:tc>
      </w:tr>
      <w:tr w:rsidR="00DF3CB0" w:rsidRPr="004B3609" w14:paraId="711DFC29" w14:textId="77777777" w:rsidTr="00353841">
        <w:trPr>
          <w:trHeight w:val="567"/>
        </w:trPr>
        <w:tc>
          <w:tcPr>
            <w:tcW w:w="3341" w:type="pct"/>
          </w:tcPr>
          <w:p w14:paraId="693F813B" w14:textId="77777777" w:rsidR="00DF3CB0" w:rsidRPr="00377E56" w:rsidRDefault="00DF3CB0" w:rsidP="00CE7726">
            <w:pPr>
              <w:spacing w:beforeLines="60" w:before="144" w:afterLines="60" w:after="144"/>
              <w:rPr>
                <w:rFonts w:cs="Segoe UI"/>
              </w:rPr>
            </w:pPr>
            <w:r>
              <w:rPr>
                <w:rFonts w:cs="Segoe UI"/>
              </w:rPr>
              <w:t>Chemical manufactured in Australia; exported for end use overseas</w:t>
            </w:r>
          </w:p>
        </w:tc>
        <w:tc>
          <w:tcPr>
            <w:tcW w:w="1659" w:type="pct"/>
          </w:tcPr>
          <w:p w14:paraId="444DA0C8" w14:textId="77777777" w:rsidR="00DF3CB0" w:rsidRPr="00377E56" w:rsidRDefault="00DF3CB0" w:rsidP="00CE7726">
            <w:pPr>
              <w:spacing w:beforeLines="60" w:before="144" w:afterLines="60" w:after="144"/>
              <w:jc w:val="center"/>
              <w:rPr>
                <w:rFonts w:cs="Segoe UI"/>
              </w:rPr>
            </w:pPr>
            <w:r>
              <w:rPr>
                <w:rFonts w:cs="Segoe UI"/>
              </w:rPr>
              <w:t xml:space="preserve">0.05 </w:t>
            </w:r>
          </w:p>
        </w:tc>
      </w:tr>
      <w:tr w:rsidR="00DF3CB0" w:rsidRPr="004B3609" w14:paraId="6D5A7A1B" w14:textId="77777777" w:rsidTr="00353841">
        <w:trPr>
          <w:trHeight w:val="567"/>
        </w:trPr>
        <w:tc>
          <w:tcPr>
            <w:tcW w:w="3341" w:type="pct"/>
          </w:tcPr>
          <w:p w14:paraId="265F9321" w14:textId="77777777" w:rsidR="00DF3CB0" w:rsidRPr="00377E56" w:rsidRDefault="00DF3CB0" w:rsidP="00CE7726">
            <w:pPr>
              <w:spacing w:beforeLines="60" w:before="144" w:afterLines="60" w:after="144"/>
              <w:rPr>
                <w:rFonts w:cs="Segoe UI"/>
              </w:rPr>
            </w:pPr>
            <w:r w:rsidRPr="00377E56">
              <w:rPr>
                <w:rFonts w:cs="Segoe UI"/>
              </w:rPr>
              <w:t>Adhesive and sealant</w:t>
            </w:r>
            <w:r>
              <w:rPr>
                <w:rFonts w:cs="Segoe UI"/>
              </w:rPr>
              <w:t xml:space="preserve"> product</w:t>
            </w:r>
            <w:r w:rsidRPr="00377E56">
              <w:rPr>
                <w:rFonts w:cs="Segoe UI"/>
              </w:rPr>
              <w:t>s</w:t>
            </w:r>
            <w:r>
              <w:rPr>
                <w:rFonts w:cs="Segoe UI"/>
              </w:rPr>
              <w:t xml:space="preserve"> (end use in Australia)</w:t>
            </w:r>
            <w:r w:rsidRPr="00377E56">
              <w:rPr>
                <w:rFonts w:cs="Segoe UI"/>
              </w:rPr>
              <w:tab/>
            </w:r>
          </w:p>
        </w:tc>
        <w:tc>
          <w:tcPr>
            <w:tcW w:w="1659" w:type="pct"/>
          </w:tcPr>
          <w:p w14:paraId="3B9C118F" w14:textId="77777777" w:rsidR="00DF3CB0" w:rsidRPr="00377E56" w:rsidRDefault="00DF3CB0" w:rsidP="00CE7726">
            <w:pPr>
              <w:spacing w:beforeLines="60" w:before="144" w:afterLines="60" w:after="144"/>
              <w:jc w:val="center"/>
              <w:rPr>
                <w:rFonts w:cs="Segoe UI"/>
              </w:rPr>
            </w:pPr>
            <w:r w:rsidRPr="00377E56">
              <w:rPr>
                <w:rFonts w:cs="Segoe UI"/>
              </w:rPr>
              <w:t>0.05</w:t>
            </w:r>
          </w:p>
        </w:tc>
      </w:tr>
      <w:tr w:rsidR="00DF3CB0" w:rsidRPr="004B3609" w14:paraId="48DA71D0" w14:textId="77777777" w:rsidTr="00353841">
        <w:trPr>
          <w:trHeight w:val="567"/>
        </w:trPr>
        <w:tc>
          <w:tcPr>
            <w:tcW w:w="3341" w:type="pct"/>
          </w:tcPr>
          <w:p w14:paraId="430B51DF" w14:textId="77777777" w:rsidR="00DF3CB0" w:rsidRPr="00377E56" w:rsidRDefault="00DF3CB0" w:rsidP="00CE7726">
            <w:pPr>
              <w:spacing w:beforeLines="60" w:before="144" w:afterLines="60" w:after="144"/>
              <w:rPr>
                <w:rFonts w:cs="Segoe UI"/>
              </w:rPr>
            </w:pPr>
            <w:r w:rsidRPr="00377E56">
              <w:rPr>
                <w:rFonts w:cs="Segoe UI"/>
              </w:rPr>
              <w:t>Apparel and footwear care products</w:t>
            </w:r>
            <w:r>
              <w:rPr>
                <w:rFonts w:cs="Segoe UI"/>
              </w:rPr>
              <w:t xml:space="preserve"> (end use in Australia)</w:t>
            </w:r>
            <w:r w:rsidRPr="00377E56">
              <w:rPr>
                <w:rFonts w:cs="Segoe UI"/>
              </w:rPr>
              <w:tab/>
            </w:r>
          </w:p>
        </w:tc>
        <w:tc>
          <w:tcPr>
            <w:tcW w:w="1659" w:type="pct"/>
          </w:tcPr>
          <w:p w14:paraId="2450BFCA" w14:textId="77777777" w:rsidR="00DF3CB0" w:rsidRPr="00377E56" w:rsidRDefault="00DF3CB0" w:rsidP="00CE7726">
            <w:pPr>
              <w:spacing w:beforeLines="60" w:before="144" w:afterLines="60" w:after="144"/>
              <w:jc w:val="center"/>
              <w:rPr>
                <w:rFonts w:cs="Segoe UI"/>
              </w:rPr>
            </w:pPr>
            <w:r w:rsidRPr="00377E56">
              <w:rPr>
                <w:rFonts w:cs="Segoe UI"/>
              </w:rPr>
              <w:t>0.05</w:t>
            </w:r>
          </w:p>
        </w:tc>
      </w:tr>
      <w:tr w:rsidR="00DF3CB0" w:rsidRPr="004B3609" w14:paraId="26E0B276" w14:textId="77777777" w:rsidTr="00353841">
        <w:trPr>
          <w:trHeight w:val="567"/>
        </w:trPr>
        <w:tc>
          <w:tcPr>
            <w:tcW w:w="3341" w:type="pct"/>
          </w:tcPr>
          <w:p w14:paraId="7F4D12B3" w14:textId="77777777" w:rsidR="00DF3CB0" w:rsidRPr="00377E56" w:rsidRDefault="00DF3CB0" w:rsidP="00CE7726">
            <w:pPr>
              <w:spacing w:beforeLines="60" w:before="144" w:afterLines="60" w:after="144"/>
              <w:rPr>
                <w:rFonts w:cs="Segoe UI"/>
              </w:rPr>
            </w:pPr>
            <w:r w:rsidRPr="00377E56">
              <w:rPr>
                <w:rFonts w:cs="Segoe UI"/>
              </w:rPr>
              <w:t xml:space="preserve">Arts, crafts and hobby </w:t>
            </w:r>
            <w:r>
              <w:rPr>
                <w:rFonts w:cs="Segoe UI"/>
              </w:rPr>
              <w:t>products (end use in Australia)</w:t>
            </w:r>
          </w:p>
        </w:tc>
        <w:tc>
          <w:tcPr>
            <w:tcW w:w="1659" w:type="pct"/>
          </w:tcPr>
          <w:p w14:paraId="4AD34A92" w14:textId="77777777" w:rsidR="00DF3CB0" w:rsidRPr="00377E56" w:rsidRDefault="00DF3CB0" w:rsidP="00CE7726">
            <w:pPr>
              <w:spacing w:beforeLines="60" w:before="144" w:afterLines="60" w:after="144"/>
              <w:jc w:val="center"/>
              <w:rPr>
                <w:rFonts w:cs="Segoe UI"/>
              </w:rPr>
            </w:pPr>
            <w:r w:rsidRPr="00377E56">
              <w:rPr>
                <w:rFonts w:cs="Segoe UI"/>
              </w:rPr>
              <w:t>0.05</w:t>
            </w:r>
          </w:p>
        </w:tc>
      </w:tr>
      <w:tr w:rsidR="00DF3CB0" w:rsidRPr="004B3609" w14:paraId="226D4E65" w14:textId="77777777" w:rsidTr="00353841">
        <w:trPr>
          <w:trHeight w:val="567"/>
        </w:trPr>
        <w:tc>
          <w:tcPr>
            <w:tcW w:w="3341" w:type="pct"/>
          </w:tcPr>
          <w:p w14:paraId="152B102B" w14:textId="77777777" w:rsidR="00DF3CB0" w:rsidRPr="00377E56" w:rsidRDefault="00DF3CB0" w:rsidP="00CE7726">
            <w:pPr>
              <w:spacing w:beforeLines="60" w:before="144" w:afterLines="60" w:after="144"/>
              <w:rPr>
                <w:rFonts w:cs="Segoe UI"/>
              </w:rPr>
            </w:pPr>
            <w:r w:rsidRPr="00377E56">
              <w:rPr>
                <w:rFonts w:cs="Segoe UI"/>
              </w:rPr>
              <w:t xml:space="preserve">Explosive </w:t>
            </w:r>
            <w:r>
              <w:rPr>
                <w:rFonts w:cs="Segoe UI"/>
              </w:rPr>
              <w:t>products (end use in Australia)</w:t>
            </w:r>
            <w:r w:rsidRPr="00377E56">
              <w:rPr>
                <w:rFonts w:cs="Segoe UI"/>
              </w:rPr>
              <w:tab/>
            </w:r>
          </w:p>
        </w:tc>
        <w:tc>
          <w:tcPr>
            <w:tcW w:w="1659" w:type="pct"/>
          </w:tcPr>
          <w:p w14:paraId="3017F70C" w14:textId="77777777" w:rsidR="00DF3CB0" w:rsidRPr="00377E56" w:rsidRDefault="00DF3CB0" w:rsidP="00CE7726">
            <w:pPr>
              <w:spacing w:beforeLines="60" w:before="144" w:afterLines="60" w:after="144"/>
              <w:jc w:val="center"/>
              <w:rPr>
                <w:rFonts w:cs="Segoe UI"/>
              </w:rPr>
            </w:pPr>
            <w:r w:rsidRPr="00377E56">
              <w:rPr>
                <w:rFonts w:cs="Segoe UI"/>
              </w:rPr>
              <w:t>0.05</w:t>
            </w:r>
          </w:p>
        </w:tc>
      </w:tr>
      <w:tr w:rsidR="00DF3CB0" w:rsidRPr="004B3609" w14:paraId="3B7656B4" w14:textId="77777777" w:rsidTr="00353841">
        <w:trPr>
          <w:trHeight w:val="567"/>
        </w:trPr>
        <w:tc>
          <w:tcPr>
            <w:tcW w:w="3341" w:type="pct"/>
          </w:tcPr>
          <w:p w14:paraId="566533A9" w14:textId="77777777" w:rsidR="00DF3CB0" w:rsidRPr="00377E56" w:rsidRDefault="00DF3CB0" w:rsidP="00CE7726">
            <w:pPr>
              <w:spacing w:beforeLines="60" w:before="144" w:afterLines="60" w:after="144"/>
              <w:rPr>
                <w:rFonts w:cs="Segoe UI"/>
              </w:rPr>
            </w:pPr>
            <w:r w:rsidRPr="00377E56">
              <w:rPr>
                <w:rFonts w:cs="Segoe UI"/>
              </w:rPr>
              <w:t>Fuel, oil, fuel oil additives and related products</w:t>
            </w:r>
            <w:r>
              <w:rPr>
                <w:rFonts w:cs="Segoe UI"/>
              </w:rPr>
              <w:t xml:space="preserve"> (end use in Australia)</w:t>
            </w:r>
          </w:p>
        </w:tc>
        <w:tc>
          <w:tcPr>
            <w:tcW w:w="1659" w:type="pct"/>
          </w:tcPr>
          <w:p w14:paraId="037BB25D" w14:textId="77777777" w:rsidR="00DF3CB0" w:rsidRPr="00377E56" w:rsidRDefault="00DF3CB0" w:rsidP="00CE7726">
            <w:pPr>
              <w:spacing w:beforeLines="60" w:before="144" w:afterLines="60" w:after="144"/>
              <w:jc w:val="center"/>
              <w:rPr>
                <w:rFonts w:cs="Segoe UI"/>
              </w:rPr>
            </w:pPr>
            <w:r w:rsidRPr="00377E56">
              <w:rPr>
                <w:rFonts w:cs="Segoe UI"/>
              </w:rPr>
              <w:t>0.05</w:t>
            </w:r>
          </w:p>
        </w:tc>
      </w:tr>
      <w:tr w:rsidR="00DF3CB0" w:rsidRPr="004B3609" w14:paraId="5DA18F75" w14:textId="77777777" w:rsidTr="00353841">
        <w:trPr>
          <w:trHeight w:val="567"/>
        </w:trPr>
        <w:tc>
          <w:tcPr>
            <w:tcW w:w="3341" w:type="pct"/>
          </w:tcPr>
          <w:p w14:paraId="45E904B7" w14:textId="77777777" w:rsidR="00DF3CB0" w:rsidRPr="00377E56" w:rsidRDefault="00DF3CB0" w:rsidP="00CE7726">
            <w:pPr>
              <w:spacing w:beforeLines="60" w:before="144" w:afterLines="60" w:after="144"/>
              <w:rPr>
                <w:rFonts w:cs="Segoe UI"/>
              </w:rPr>
            </w:pPr>
            <w:r w:rsidRPr="00377E56">
              <w:rPr>
                <w:rFonts w:cs="Segoe UI"/>
              </w:rPr>
              <w:t>Lubricant and grease</w:t>
            </w:r>
            <w:r>
              <w:rPr>
                <w:rFonts w:cs="Segoe UI"/>
              </w:rPr>
              <w:t xml:space="preserve"> products (end use in Australia)</w:t>
            </w:r>
          </w:p>
        </w:tc>
        <w:tc>
          <w:tcPr>
            <w:tcW w:w="1659" w:type="pct"/>
          </w:tcPr>
          <w:p w14:paraId="1766CBB5" w14:textId="77777777" w:rsidR="00DF3CB0" w:rsidRPr="00377E56" w:rsidRDefault="00DF3CB0" w:rsidP="00CE7726">
            <w:pPr>
              <w:spacing w:beforeLines="60" w:before="144" w:afterLines="60" w:after="144"/>
              <w:jc w:val="center"/>
              <w:rPr>
                <w:rFonts w:cs="Segoe UI"/>
              </w:rPr>
            </w:pPr>
            <w:r w:rsidRPr="00377E56">
              <w:rPr>
                <w:rFonts w:cs="Segoe UI"/>
              </w:rPr>
              <w:t>0.05</w:t>
            </w:r>
          </w:p>
        </w:tc>
      </w:tr>
      <w:tr w:rsidR="00DF3CB0" w:rsidRPr="004B3609" w14:paraId="352C9740" w14:textId="77777777" w:rsidTr="00353841">
        <w:trPr>
          <w:trHeight w:val="567"/>
        </w:trPr>
        <w:tc>
          <w:tcPr>
            <w:tcW w:w="3341" w:type="pct"/>
          </w:tcPr>
          <w:p w14:paraId="1A0957E5" w14:textId="77777777" w:rsidR="00DF3CB0" w:rsidRPr="00377E56" w:rsidRDefault="00DF3CB0" w:rsidP="00CE7726">
            <w:pPr>
              <w:spacing w:beforeLines="60" w:before="144" w:afterLines="60" w:after="144"/>
              <w:rPr>
                <w:rFonts w:cs="Segoe UI"/>
              </w:rPr>
            </w:pPr>
            <w:r w:rsidRPr="00377E56">
              <w:rPr>
                <w:rFonts w:cs="Segoe UI"/>
              </w:rPr>
              <w:t xml:space="preserve">Personal care products </w:t>
            </w:r>
            <w:r w:rsidR="00F251F0">
              <w:rPr>
                <w:rFonts w:cs="Segoe UI"/>
              </w:rPr>
              <w:t>–</w:t>
            </w:r>
            <w:r w:rsidRPr="00377E56">
              <w:rPr>
                <w:rFonts w:cs="Segoe UI"/>
              </w:rPr>
              <w:t xml:space="preserve"> limited environmental release</w:t>
            </w:r>
            <w:r>
              <w:rPr>
                <w:rFonts w:cs="Segoe UI"/>
              </w:rPr>
              <w:t xml:space="preserve"> (end use in Australia)</w:t>
            </w:r>
          </w:p>
        </w:tc>
        <w:tc>
          <w:tcPr>
            <w:tcW w:w="1659" w:type="pct"/>
          </w:tcPr>
          <w:p w14:paraId="737D9E3E" w14:textId="77777777" w:rsidR="00DF3CB0" w:rsidRPr="00377E56" w:rsidRDefault="00DF3CB0" w:rsidP="00CE7726">
            <w:pPr>
              <w:spacing w:beforeLines="60" w:before="144" w:afterLines="60" w:after="144"/>
              <w:jc w:val="center"/>
              <w:rPr>
                <w:rFonts w:cs="Segoe UI"/>
              </w:rPr>
            </w:pPr>
            <w:r w:rsidRPr="00377E56">
              <w:rPr>
                <w:rFonts w:cs="Segoe UI"/>
              </w:rPr>
              <w:t>0.05</w:t>
            </w:r>
          </w:p>
        </w:tc>
      </w:tr>
      <w:tr w:rsidR="00DF3CB0" w:rsidRPr="004B3609" w14:paraId="3857E42F" w14:textId="77777777" w:rsidTr="00353841">
        <w:trPr>
          <w:trHeight w:val="567"/>
        </w:trPr>
        <w:tc>
          <w:tcPr>
            <w:tcW w:w="3341" w:type="pct"/>
          </w:tcPr>
          <w:p w14:paraId="0AB34D4B" w14:textId="77777777" w:rsidR="00DF3CB0" w:rsidRPr="00377E56" w:rsidRDefault="00DF3CB0" w:rsidP="00CE7726">
            <w:pPr>
              <w:spacing w:beforeLines="60" w:before="144" w:afterLines="60" w:after="144"/>
              <w:rPr>
                <w:rFonts w:cs="Segoe UI"/>
              </w:rPr>
            </w:pPr>
            <w:r w:rsidRPr="00377E56">
              <w:rPr>
                <w:rFonts w:cs="Segoe UI"/>
              </w:rPr>
              <w:t>Tattoo ink</w:t>
            </w:r>
            <w:r>
              <w:rPr>
                <w:rFonts w:cs="Segoe UI"/>
              </w:rPr>
              <w:t xml:space="preserve"> products (end use in Australia)</w:t>
            </w:r>
            <w:r w:rsidRPr="00377E56">
              <w:rPr>
                <w:rFonts w:cs="Segoe UI"/>
              </w:rPr>
              <w:tab/>
            </w:r>
          </w:p>
        </w:tc>
        <w:tc>
          <w:tcPr>
            <w:tcW w:w="1659" w:type="pct"/>
          </w:tcPr>
          <w:p w14:paraId="1BA8DDF6" w14:textId="77777777" w:rsidR="00DF3CB0" w:rsidRPr="00377E56" w:rsidRDefault="00DF3CB0" w:rsidP="00CE7726">
            <w:pPr>
              <w:spacing w:beforeLines="60" w:before="144" w:afterLines="60" w:after="144"/>
              <w:jc w:val="center"/>
              <w:rPr>
                <w:rFonts w:cs="Segoe UI"/>
              </w:rPr>
            </w:pPr>
            <w:r w:rsidRPr="00377E56">
              <w:rPr>
                <w:rFonts w:cs="Segoe UI"/>
              </w:rPr>
              <w:t>0.05</w:t>
            </w:r>
          </w:p>
        </w:tc>
      </w:tr>
      <w:tr w:rsidR="00DF3CB0" w:rsidRPr="004B3609" w14:paraId="064078CE" w14:textId="77777777" w:rsidTr="00353841">
        <w:trPr>
          <w:trHeight w:val="567"/>
        </w:trPr>
        <w:tc>
          <w:tcPr>
            <w:tcW w:w="3341" w:type="pct"/>
          </w:tcPr>
          <w:p w14:paraId="1ED9B34C" w14:textId="77777777" w:rsidR="00DF3CB0" w:rsidRPr="00377E56" w:rsidRDefault="00DF3CB0" w:rsidP="00CE7726">
            <w:pPr>
              <w:spacing w:beforeLines="60" w:before="144" w:afterLines="60" w:after="144"/>
              <w:rPr>
                <w:rFonts w:cs="Segoe UI"/>
              </w:rPr>
            </w:pPr>
            <w:r w:rsidRPr="00377E56">
              <w:rPr>
                <w:rFonts w:cs="Segoe UI"/>
              </w:rPr>
              <w:t>Paint and coating</w:t>
            </w:r>
            <w:r>
              <w:rPr>
                <w:rFonts w:cs="Segoe UI"/>
              </w:rPr>
              <w:t xml:space="preserve"> products (end use in Australia)</w:t>
            </w:r>
          </w:p>
        </w:tc>
        <w:tc>
          <w:tcPr>
            <w:tcW w:w="1659" w:type="pct"/>
          </w:tcPr>
          <w:p w14:paraId="20C02462" w14:textId="77777777" w:rsidR="00DF3CB0" w:rsidRPr="00377E56" w:rsidRDefault="00DF3CB0" w:rsidP="00CE7726">
            <w:pPr>
              <w:spacing w:beforeLines="60" w:before="144" w:afterLines="60" w:after="144"/>
              <w:jc w:val="center"/>
              <w:rPr>
                <w:rFonts w:cs="Segoe UI"/>
              </w:rPr>
            </w:pPr>
            <w:r w:rsidRPr="00377E56">
              <w:rPr>
                <w:rFonts w:cs="Segoe UI"/>
              </w:rPr>
              <w:t>0.05</w:t>
            </w:r>
          </w:p>
        </w:tc>
      </w:tr>
      <w:tr w:rsidR="00DF3CB0" w:rsidRPr="004B3609" w14:paraId="33CE63A8" w14:textId="77777777" w:rsidTr="00353841">
        <w:trPr>
          <w:trHeight w:val="567"/>
        </w:trPr>
        <w:tc>
          <w:tcPr>
            <w:tcW w:w="3341" w:type="pct"/>
          </w:tcPr>
          <w:p w14:paraId="726728F6" w14:textId="77777777" w:rsidR="00DF3CB0" w:rsidRPr="00377E56" w:rsidRDefault="00DF3CB0" w:rsidP="00CE7726">
            <w:pPr>
              <w:spacing w:beforeLines="60" w:before="144" w:afterLines="60" w:after="144"/>
              <w:rPr>
                <w:rFonts w:cs="Segoe UI"/>
              </w:rPr>
            </w:pPr>
            <w:r w:rsidRPr="00377E56">
              <w:rPr>
                <w:rFonts w:cs="Segoe UI"/>
              </w:rPr>
              <w:t xml:space="preserve">Plastic and polymer </w:t>
            </w:r>
            <w:r>
              <w:rPr>
                <w:rFonts w:cs="Segoe UI"/>
              </w:rPr>
              <w:t>products (end use in Australia)</w:t>
            </w:r>
            <w:r w:rsidRPr="00377E56">
              <w:rPr>
                <w:rFonts w:cs="Segoe UI"/>
              </w:rPr>
              <w:tab/>
            </w:r>
          </w:p>
        </w:tc>
        <w:tc>
          <w:tcPr>
            <w:tcW w:w="1659" w:type="pct"/>
          </w:tcPr>
          <w:p w14:paraId="7A9B530F" w14:textId="77777777" w:rsidR="00DF3CB0" w:rsidRPr="00377E56" w:rsidRDefault="00DF3CB0" w:rsidP="00CE7726">
            <w:pPr>
              <w:spacing w:beforeLines="60" w:before="144" w:afterLines="60" w:after="144"/>
              <w:jc w:val="center"/>
              <w:rPr>
                <w:rFonts w:cs="Segoe UI"/>
              </w:rPr>
            </w:pPr>
            <w:r w:rsidRPr="00377E56">
              <w:rPr>
                <w:rFonts w:cs="Segoe UI"/>
              </w:rPr>
              <w:t>0.05</w:t>
            </w:r>
          </w:p>
        </w:tc>
      </w:tr>
      <w:tr w:rsidR="00DF3CB0" w:rsidRPr="004B3609" w14:paraId="736696A4" w14:textId="77777777" w:rsidTr="00353841">
        <w:trPr>
          <w:trHeight w:val="567"/>
        </w:trPr>
        <w:tc>
          <w:tcPr>
            <w:tcW w:w="3341" w:type="pct"/>
          </w:tcPr>
          <w:p w14:paraId="0FD1EB97" w14:textId="77777777" w:rsidR="00DF3CB0" w:rsidRPr="00377E56" w:rsidRDefault="00DF3CB0" w:rsidP="00CE7726">
            <w:pPr>
              <w:spacing w:beforeLines="60" w:before="144" w:afterLines="60" w:after="144"/>
              <w:rPr>
                <w:rFonts w:cs="Segoe UI"/>
              </w:rPr>
            </w:pPr>
            <w:r w:rsidRPr="00377E56">
              <w:rPr>
                <w:rFonts w:cs="Segoe UI"/>
              </w:rPr>
              <w:lastRenderedPageBreak/>
              <w:t xml:space="preserve">Construction </w:t>
            </w:r>
            <w:r>
              <w:rPr>
                <w:rFonts w:cs="Segoe UI"/>
              </w:rPr>
              <w:t xml:space="preserve">products </w:t>
            </w:r>
            <w:r w:rsidRPr="00377E56">
              <w:rPr>
                <w:rFonts w:cs="Segoe UI"/>
              </w:rPr>
              <w:t>not covered by other end uses</w:t>
            </w:r>
            <w:r>
              <w:rPr>
                <w:rFonts w:cs="Segoe UI"/>
              </w:rPr>
              <w:t xml:space="preserve"> (end use in Australia)</w:t>
            </w:r>
          </w:p>
        </w:tc>
        <w:tc>
          <w:tcPr>
            <w:tcW w:w="1659" w:type="pct"/>
          </w:tcPr>
          <w:p w14:paraId="0347C53E" w14:textId="77777777" w:rsidR="00DF3CB0" w:rsidRPr="00377E56" w:rsidRDefault="00DF3CB0" w:rsidP="00CE7726">
            <w:pPr>
              <w:spacing w:beforeLines="60" w:before="144" w:afterLines="60" w:after="144"/>
              <w:jc w:val="center"/>
              <w:rPr>
                <w:rFonts w:cs="Segoe UI"/>
              </w:rPr>
            </w:pPr>
            <w:r w:rsidRPr="00377E56">
              <w:rPr>
                <w:rFonts w:cs="Segoe UI"/>
              </w:rPr>
              <w:t>0.2</w:t>
            </w:r>
          </w:p>
        </w:tc>
      </w:tr>
      <w:tr w:rsidR="00DF3CB0" w:rsidRPr="004B3609" w14:paraId="67C35373" w14:textId="77777777" w:rsidTr="00353841">
        <w:trPr>
          <w:trHeight w:val="567"/>
        </w:trPr>
        <w:tc>
          <w:tcPr>
            <w:tcW w:w="3341" w:type="pct"/>
          </w:tcPr>
          <w:p w14:paraId="41ADF77C" w14:textId="77777777" w:rsidR="00DF3CB0" w:rsidRPr="00377E56" w:rsidRDefault="00DF3CB0" w:rsidP="00CE7726">
            <w:pPr>
              <w:spacing w:beforeLines="60" w:before="144" w:afterLines="60" w:after="144"/>
              <w:rPr>
                <w:rFonts w:cs="Segoe UI"/>
              </w:rPr>
            </w:pPr>
            <w:r w:rsidRPr="00377E56">
              <w:rPr>
                <w:rFonts w:cs="Segoe UI"/>
              </w:rPr>
              <w:t>Fabric, textile and leather products not covered by other end uses</w:t>
            </w:r>
            <w:r>
              <w:rPr>
                <w:rFonts w:cs="Segoe UI"/>
              </w:rPr>
              <w:t xml:space="preserve"> (end use in Australia)</w:t>
            </w:r>
          </w:p>
        </w:tc>
        <w:tc>
          <w:tcPr>
            <w:tcW w:w="1659" w:type="pct"/>
          </w:tcPr>
          <w:p w14:paraId="49FC1BCD" w14:textId="77777777" w:rsidR="00DF3CB0" w:rsidRPr="00377E56" w:rsidRDefault="00DF3CB0" w:rsidP="00CE7726">
            <w:pPr>
              <w:spacing w:beforeLines="60" w:before="144" w:afterLines="60" w:after="144"/>
              <w:jc w:val="center"/>
              <w:rPr>
                <w:rFonts w:cs="Segoe UI"/>
              </w:rPr>
            </w:pPr>
            <w:r w:rsidRPr="00377E56">
              <w:rPr>
                <w:rFonts w:cs="Segoe UI"/>
              </w:rPr>
              <w:t>0.4</w:t>
            </w:r>
          </w:p>
        </w:tc>
      </w:tr>
      <w:tr w:rsidR="00DF3CB0" w:rsidRPr="004B3609" w14:paraId="13CEACA7" w14:textId="77777777" w:rsidTr="00353841">
        <w:trPr>
          <w:trHeight w:val="567"/>
        </w:trPr>
        <w:tc>
          <w:tcPr>
            <w:tcW w:w="3341" w:type="pct"/>
          </w:tcPr>
          <w:p w14:paraId="4B6543A9" w14:textId="77777777" w:rsidR="00DF3CB0" w:rsidRPr="00377E56" w:rsidRDefault="00DF3CB0" w:rsidP="00CE7726">
            <w:pPr>
              <w:spacing w:beforeLines="60" w:before="144" w:afterLines="60" w:after="144"/>
              <w:rPr>
                <w:rFonts w:cs="Segoe UI"/>
              </w:rPr>
            </w:pPr>
            <w:r w:rsidRPr="00377E56">
              <w:rPr>
                <w:rFonts w:cs="Segoe UI"/>
              </w:rPr>
              <w:t xml:space="preserve">Electronic </w:t>
            </w:r>
            <w:r>
              <w:rPr>
                <w:rFonts w:cs="Segoe UI"/>
              </w:rPr>
              <w:t>products (end use in Australia)</w:t>
            </w:r>
          </w:p>
        </w:tc>
        <w:tc>
          <w:tcPr>
            <w:tcW w:w="1659" w:type="pct"/>
          </w:tcPr>
          <w:p w14:paraId="06E17EEB" w14:textId="77777777" w:rsidR="00DF3CB0" w:rsidRPr="00377E56" w:rsidRDefault="00DF3CB0" w:rsidP="00CE7726">
            <w:pPr>
              <w:spacing w:beforeLines="60" w:before="144" w:afterLines="60" w:after="144"/>
              <w:jc w:val="center"/>
              <w:rPr>
                <w:rFonts w:cs="Segoe UI"/>
              </w:rPr>
            </w:pPr>
            <w:r w:rsidRPr="00377E56">
              <w:rPr>
                <w:rFonts w:cs="Segoe UI"/>
              </w:rPr>
              <w:t>0.5</w:t>
            </w:r>
          </w:p>
        </w:tc>
      </w:tr>
      <w:tr w:rsidR="00DF3CB0" w:rsidRPr="004B3609" w14:paraId="6989AC8E" w14:textId="77777777" w:rsidTr="00353841">
        <w:trPr>
          <w:trHeight w:val="567"/>
        </w:trPr>
        <w:tc>
          <w:tcPr>
            <w:tcW w:w="3341" w:type="pct"/>
          </w:tcPr>
          <w:p w14:paraId="7AC24DBE" w14:textId="77777777" w:rsidR="00DF3CB0" w:rsidRPr="00377E56" w:rsidRDefault="00DF3CB0" w:rsidP="00CE7726">
            <w:pPr>
              <w:spacing w:beforeLines="60" w:before="144" w:afterLines="60" w:after="144"/>
              <w:rPr>
                <w:rFonts w:cs="Segoe UI"/>
              </w:rPr>
            </w:pPr>
            <w:r w:rsidRPr="00377E56">
              <w:rPr>
                <w:rFonts w:cs="Segoe UI"/>
              </w:rPr>
              <w:t>Ink, toner and colourant products</w:t>
            </w:r>
            <w:r>
              <w:rPr>
                <w:rFonts w:cs="Segoe UI"/>
              </w:rPr>
              <w:t xml:space="preserve"> (end use in Australia)</w:t>
            </w:r>
          </w:p>
        </w:tc>
        <w:tc>
          <w:tcPr>
            <w:tcW w:w="1659" w:type="pct"/>
          </w:tcPr>
          <w:p w14:paraId="0B2D7261" w14:textId="77777777" w:rsidR="00DF3CB0" w:rsidRPr="00377E56" w:rsidRDefault="00DF3CB0" w:rsidP="00CE7726">
            <w:pPr>
              <w:spacing w:beforeLines="60" w:before="144" w:afterLines="60" w:after="144"/>
              <w:jc w:val="center"/>
              <w:rPr>
                <w:rFonts w:cs="Segoe UI"/>
              </w:rPr>
            </w:pPr>
            <w:r w:rsidRPr="00377E56">
              <w:rPr>
                <w:rFonts w:cs="Segoe UI"/>
              </w:rPr>
              <w:t>0.8</w:t>
            </w:r>
          </w:p>
        </w:tc>
      </w:tr>
      <w:tr w:rsidR="00DF3CB0" w:rsidRPr="004B3609" w14:paraId="6E31E4FD" w14:textId="77777777" w:rsidTr="00353841">
        <w:trPr>
          <w:trHeight w:val="567"/>
        </w:trPr>
        <w:tc>
          <w:tcPr>
            <w:tcW w:w="3341" w:type="pct"/>
          </w:tcPr>
          <w:p w14:paraId="61ADC210" w14:textId="77777777" w:rsidR="00DF3CB0" w:rsidRPr="00377E56" w:rsidRDefault="00DF3CB0" w:rsidP="00CE7726">
            <w:pPr>
              <w:spacing w:beforeLines="60" w:before="144" w:afterLines="60" w:after="144"/>
              <w:rPr>
                <w:rFonts w:cs="Segoe UI"/>
              </w:rPr>
            </w:pPr>
            <w:r w:rsidRPr="00377E56">
              <w:rPr>
                <w:rFonts w:cs="Segoe UI"/>
              </w:rPr>
              <w:t>Air care products</w:t>
            </w:r>
            <w:r>
              <w:rPr>
                <w:rFonts w:cs="Segoe UI"/>
              </w:rPr>
              <w:t xml:space="preserve"> (end use in Australia)</w:t>
            </w:r>
          </w:p>
        </w:tc>
        <w:tc>
          <w:tcPr>
            <w:tcW w:w="1659" w:type="pct"/>
          </w:tcPr>
          <w:p w14:paraId="61FAD107" w14:textId="77777777" w:rsidR="00DF3CB0" w:rsidRPr="00377E56" w:rsidRDefault="00DF3CB0" w:rsidP="00CE7726">
            <w:pPr>
              <w:spacing w:beforeLines="60" w:before="144" w:afterLines="60" w:after="144"/>
              <w:jc w:val="center"/>
              <w:rPr>
                <w:rFonts w:cs="Segoe UI"/>
              </w:rPr>
            </w:pPr>
            <w:r w:rsidRPr="00377E56">
              <w:rPr>
                <w:rFonts w:cs="Segoe UI"/>
              </w:rPr>
              <w:t>1</w:t>
            </w:r>
          </w:p>
        </w:tc>
      </w:tr>
      <w:tr w:rsidR="00DF3CB0" w:rsidRPr="004B3609" w14:paraId="43216C09" w14:textId="77777777" w:rsidTr="00353841">
        <w:trPr>
          <w:trHeight w:val="567"/>
        </w:trPr>
        <w:tc>
          <w:tcPr>
            <w:tcW w:w="3341" w:type="pct"/>
          </w:tcPr>
          <w:p w14:paraId="0B2AA9E3" w14:textId="77777777" w:rsidR="00DF3CB0" w:rsidRPr="00377E56" w:rsidRDefault="00DF3CB0" w:rsidP="00CE7726">
            <w:pPr>
              <w:spacing w:beforeLines="60" w:before="144" w:afterLines="60" w:after="144"/>
              <w:rPr>
                <w:rFonts w:cs="Segoe UI"/>
              </w:rPr>
            </w:pPr>
            <w:r w:rsidRPr="00377E56">
              <w:rPr>
                <w:rFonts w:cs="Segoe UI"/>
              </w:rPr>
              <w:t>Anti-freeze and de-icing products</w:t>
            </w:r>
            <w:r>
              <w:rPr>
                <w:rFonts w:cs="Segoe UI"/>
              </w:rPr>
              <w:t xml:space="preserve"> (end use in Australia)</w:t>
            </w:r>
          </w:p>
        </w:tc>
        <w:tc>
          <w:tcPr>
            <w:tcW w:w="1659" w:type="pct"/>
          </w:tcPr>
          <w:p w14:paraId="7EC41332" w14:textId="77777777" w:rsidR="00DF3CB0" w:rsidRPr="00377E56" w:rsidRDefault="00DF3CB0" w:rsidP="00CE7726">
            <w:pPr>
              <w:spacing w:beforeLines="60" w:before="144" w:afterLines="60" w:after="144"/>
              <w:jc w:val="center"/>
              <w:rPr>
                <w:rFonts w:cs="Segoe UI"/>
              </w:rPr>
            </w:pPr>
            <w:r w:rsidRPr="00377E56">
              <w:rPr>
                <w:rFonts w:cs="Segoe UI"/>
              </w:rPr>
              <w:t>1</w:t>
            </w:r>
          </w:p>
        </w:tc>
      </w:tr>
      <w:tr w:rsidR="00DF3CB0" w:rsidRPr="004B3609" w14:paraId="570788A2" w14:textId="77777777" w:rsidTr="00353841">
        <w:trPr>
          <w:trHeight w:val="567"/>
        </w:trPr>
        <w:tc>
          <w:tcPr>
            <w:tcW w:w="3341" w:type="pct"/>
          </w:tcPr>
          <w:p w14:paraId="743A6D4F" w14:textId="77777777" w:rsidR="00DF3CB0" w:rsidRPr="00377E56" w:rsidRDefault="00DF3CB0" w:rsidP="00CE7726">
            <w:pPr>
              <w:spacing w:beforeLines="60" w:before="144" w:afterLines="60" w:after="144"/>
              <w:rPr>
                <w:rFonts w:cs="Segoe UI"/>
              </w:rPr>
            </w:pPr>
            <w:r w:rsidRPr="00377E56">
              <w:rPr>
                <w:rFonts w:cs="Segoe UI"/>
              </w:rPr>
              <w:t>Automotive care products</w:t>
            </w:r>
            <w:r>
              <w:rPr>
                <w:rFonts w:cs="Segoe UI"/>
              </w:rPr>
              <w:t xml:space="preserve"> (end use in Australia)</w:t>
            </w:r>
          </w:p>
        </w:tc>
        <w:tc>
          <w:tcPr>
            <w:tcW w:w="1659" w:type="pct"/>
          </w:tcPr>
          <w:p w14:paraId="008059F4" w14:textId="77777777" w:rsidR="00DF3CB0" w:rsidRPr="00377E56" w:rsidRDefault="00DF3CB0" w:rsidP="00CE7726">
            <w:pPr>
              <w:spacing w:beforeLines="60" w:before="144" w:afterLines="60" w:after="144"/>
              <w:jc w:val="center"/>
              <w:rPr>
                <w:rFonts w:cs="Segoe UI"/>
              </w:rPr>
            </w:pPr>
            <w:r w:rsidRPr="00377E56">
              <w:rPr>
                <w:rFonts w:cs="Segoe UI"/>
              </w:rPr>
              <w:t>1</w:t>
            </w:r>
          </w:p>
        </w:tc>
      </w:tr>
      <w:tr w:rsidR="00DF3CB0" w:rsidRPr="004B3609" w14:paraId="40CF88CA" w14:textId="77777777" w:rsidTr="00353841">
        <w:trPr>
          <w:trHeight w:val="567"/>
        </w:trPr>
        <w:tc>
          <w:tcPr>
            <w:tcW w:w="3341" w:type="pct"/>
          </w:tcPr>
          <w:p w14:paraId="57118206" w14:textId="77777777" w:rsidR="00DF3CB0" w:rsidRPr="00377E56" w:rsidRDefault="00DF3CB0" w:rsidP="00CE7726">
            <w:pPr>
              <w:spacing w:beforeLines="60" w:before="144" w:afterLines="60" w:after="144"/>
              <w:rPr>
                <w:rFonts w:cs="Segoe UI"/>
              </w:rPr>
            </w:pPr>
            <w:r w:rsidRPr="00377E56">
              <w:rPr>
                <w:rFonts w:cs="Segoe UI"/>
              </w:rPr>
              <w:t>Cleaning and furniture care products</w:t>
            </w:r>
            <w:r>
              <w:rPr>
                <w:rFonts w:cs="Segoe UI"/>
              </w:rPr>
              <w:t xml:space="preserve"> (end use in Australia)</w:t>
            </w:r>
          </w:p>
        </w:tc>
        <w:tc>
          <w:tcPr>
            <w:tcW w:w="1659" w:type="pct"/>
          </w:tcPr>
          <w:p w14:paraId="55B5F6F2" w14:textId="77777777" w:rsidR="00DF3CB0" w:rsidRPr="00377E56" w:rsidRDefault="00DF3CB0" w:rsidP="00CE7726">
            <w:pPr>
              <w:spacing w:beforeLines="60" w:before="144" w:afterLines="60" w:after="144"/>
              <w:jc w:val="center"/>
              <w:rPr>
                <w:rFonts w:cs="Segoe UI"/>
              </w:rPr>
            </w:pPr>
            <w:r w:rsidRPr="00377E56">
              <w:rPr>
                <w:rFonts w:cs="Segoe UI"/>
              </w:rPr>
              <w:t>1</w:t>
            </w:r>
          </w:p>
        </w:tc>
      </w:tr>
      <w:tr w:rsidR="00DF3CB0" w:rsidRPr="004B3609" w14:paraId="7CDAF1B9" w14:textId="77777777" w:rsidTr="00353841">
        <w:trPr>
          <w:trHeight w:val="567"/>
        </w:trPr>
        <w:tc>
          <w:tcPr>
            <w:tcW w:w="3341" w:type="pct"/>
          </w:tcPr>
          <w:p w14:paraId="74BF9648" w14:textId="77777777" w:rsidR="00DF3CB0" w:rsidRPr="00377E56" w:rsidRDefault="00DF3CB0" w:rsidP="00CE7726">
            <w:pPr>
              <w:spacing w:beforeLines="60" w:before="144" w:afterLines="60" w:after="144"/>
              <w:rPr>
                <w:rFonts w:cs="Segoe UI"/>
              </w:rPr>
            </w:pPr>
            <w:r w:rsidRPr="00377E56">
              <w:rPr>
                <w:rFonts w:cs="Segoe UI"/>
              </w:rPr>
              <w:t>Laundry and dishwashing products</w:t>
            </w:r>
            <w:r>
              <w:rPr>
                <w:rFonts w:cs="Segoe UI"/>
              </w:rPr>
              <w:t xml:space="preserve"> (end use in Australia)</w:t>
            </w:r>
          </w:p>
        </w:tc>
        <w:tc>
          <w:tcPr>
            <w:tcW w:w="1659" w:type="pct"/>
          </w:tcPr>
          <w:p w14:paraId="74F52D62" w14:textId="77777777" w:rsidR="00DF3CB0" w:rsidRPr="00377E56" w:rsidRDefault="00DF3CB0" w:rsidP="00CE7726">
            <w:pPr>
              <w:spacing w:beforeLines="60" w:before="144" w:afterLines="60" w:after="144"/>
              <w:jc w:val="center"/>
              <w:rPr>
                <w:rFonts w:cs="Segoe UI"/>
              </w:rPr>
            </w:pPr>
            <w:r w:rsidRPr="00377E56">
              <w:rPr>
                <w:rFonts w:cs="Segoe UI"/>
              </w:rPr>
              <w:t>1</w:t>
            </w:r>
          </w:p>
        </w:tc>
      </w:tr>
      <w:tr w:rsidR="00DF3CB0" w:rsidRPr="004B3609" w14:paraId="45982302" w14:textId="77777777" w:rsidTr="00353841">
        <w:trPr>
          <w:trHeight w:val="567"/>
        </w:trPr>
        <w:tc>
          <w:tcPr>
            <w:tcW w:w="3341" w:type="pct"/>
          </w:tcPr>
          <w:p w14:paraId="76784069" w14:textId="77777777" w:rsidR="00DF3CB0" w:rsidRPr="00377E56" w:rsidRDefault="00DF3CB0" w:rsidP="00CE7726">
            <w:pPr>
              <w:spacing w:beforeLines="60" w:before="144" w:afterLines="60" w:after="144"/>
              <w:rPr>
                <w:rFonts w:cs="Segoe UI"/>
              </w:rPr>
            </w:pPr>
            <w:r>
              <w:rPr>
                <w:rFonts w:cs="Segoe UI"/>
              </w:rPr>
              <w:t>E</w:t>
            </w:r>
            <w:r w:rsidRPr="00377E56">
              <w:rPr>
                <w:rFonts w:cs="Segoe UI"/>
              </w:rPr>
              <w:t xml:space="preserve">xtractive </w:t>
            </w:r>
            <w:r>
              <w:rPr>
                <w:rFonts w:cs="Segoe UI"/>
              </w:rPr>
              <w:t xml:space="preserve">products </w:t>
            </w:r>
            <w:r w:rsidRPr="00377E56">
              <w:rPr>
                <w:rFonts w:cs="Segoe UI"/>
              </w:rPr>
              <w:t>not covered by other end uses</w:t>
            </w:r>
            <w:r>
              <w:rPr>
                <w:rFonts w:cs="Segoe UI"/>
              </w:rPr>
              <w:t xml:space="preserve"> (end use in Australia)</w:t>
            </w:r>
          </w:p>
        </w:tc>
        <w:tc>
          <w:tcPr>
            <w:tcW w:w="1659" w:type="pct"/>
          </w:tcPr>
          <w:p w14:paraId="7E4C063C" w14:textId="77777777" w:rsidR="00DF3CB0" w:rsidRPr="00377E56" w:rsidRDefault="00DF3CB0" w:rsidP="00CE7726">
            <w:pPr>
              <w:spacing w:beforeLines="60" w:before="144" w:afterLines="60" w:after="144"/>
              <w:jc w:val="center"/>
              <w:rPr>
                <w:rFonts w:cs="Segoe UI"/>
              </w:rPr>
            </w:pPr>
            <w:r w:rsidRPr="00377E56">
              <w:rPr>
                <w:rFonts w:cs="Segoe UI"/>
              </w:rPr>
              <w:t>1</w:t>
            </w:r>
          </w:p>
        </w:tc>
      </w:tr>
      <w:tr w:rsidR="00DF3CB0" w:rsidRPr="004B3609" w14:paraId="3B06E94F" w14:textId="77777777" w:rsidTr="00353841">
        <w:trPr>
          <w:trHeight w:val="567"/>
        </w:trPr>
        <w:tc>
          <w:tcPr>
            <w:tcW w:w="3341" w:type="pct"/>
          </w:tcPr>
          <w:p w14:paraId="7883DD43" w14:textId="77777777" w:rsidR="00DF3CB0" w:rsidRPr="00377E56" w:rsidRDefault="00DF3CB0" w:rsidP="00CE7726">
            <w:pPr>
              <w:spacing w:beforeLines="60" w:before="144" w:afterLines="60" w:after="144"/>
              <w:rPr>
                <w:rFonts w:cs="Segoe UI"/>
              </w:rPr>
            </w:pPr>
            <w:r w:rsidRPr="00377E56">
              <w:rPr>
                <w:rFonts w:cs="Segoe UI"/>
              </w:rPr>
              <w:t xml:space="preserve">Paper </w:t>
            </w:r>
            <w:r>
              <w:rPr>
                <w:rFonts w:cs="Segoe UI"/>
              </w:rPr>
              <w:t>products (end use in Australia)</w:t>
            </w:r>
          </w:p>
        </w:tc>
        <w:tc>
          <w:tcPr>
            <w:tcW w:w="1659" w:type="pct"/>
          </w:tcPr>
          <w:p w14:paraId="75CC55DD" w14:textId="77777777" w:rsidR="00DF3CB0" w:rsidRPr="00377E56" w:rsidRDefault="00DF3CB0" w:rsidP="00CE7726">
            <w:pPr>
              <w:spacing w:beforeLines="60" w:before="144" w:afterLines="60" w:after="144"/>
              <w:jc w:val="center"/>
              <w:rPr>
                <w:rFonts w:cs="Segoe UI"/>
              </w:rPr>
            </w:pPr>
            <w:r w:rsidRPr="00377E56">
              <w:rPr>
                <w:rFonts w:cs="Segoe UI"/>
              </w:rPr>
              <w:t>1</w:t>
            </w:r>
          </w:p>
        </w:tc>
      </w:tr>
      <w:tr w:rsidR="00DF3CB0" w:rsidRPr="004B3609" w14:paraId="02FA8EEB" w14:textId="77777777" w:rsidTr="00353841">
        <w:trPr>
          <w:trHeight w:val="567"/>
        </w:trPr>
        <w:tc>
          <w:tcPr>
            <w:tcW w:w="3341" w:type="pct"/>
          </w:tcPr>
          <w:p w14:paraId="13315671" w14:textId="77777777" w:rsidR="00DF3CB0" w:rsidRPr="00377E56" w:rsidRDefault="00DF3CB0" w:rsidP="00CE7726">
            <w:pPr>
              <w:spacing w:beforeLines="60" w:before="144" w:afterLines="60" w:after="144"/>
              <w:rPr>
                <w:rFonts w:cs="Segoe UI"/>
              </w:rPr>
            </w:pPr>
            <w:r w:rsidRPr="2ED36212">
              <w:rPr>
                <w:rFonts w:cs="Segoe UI"/>
              </w:rPr>
              <w:t>Personal care products not covered by other end use (end use in Australia)</w:t>
            </w:r>
          </w:p>
        </w:tc>
        <w:tc>
          <w:tcPr>
            <w:tcW w:w="1659" w:type="pct"/>
          </w:tcPr>
          <w:p w14:paraId="66CDDF40" w14:textId="77777777" w:rsidR="00DF3CB0" w:rsidRPr="00377E56" w:rsidRDefault="00DF3CB0" w:rsidP="00CE7726">
            <w:pPr>
              <w:spacing w:beforeLines="60" w:before="144" w:afterLines="60" w:after="144"/>
              <w:jc w:val="center"/>
              <w:rPr>
                <w:rFonts w:cs="Segoe UI"/>
              </w:rPr>
            </w:pPr>
            <w:r w:rsidRPr="00377E56">
              <w:rPr>
                <w:rFonts w:cs="Segoe UI"/>
              </w:rPr>
              <w:t>1</w:t>
            </w:r>
          </w:p>
        </w:tc>
      </w:tr>
      <w:tr w:rsidR="00DF3CB0" w:rsidRPr="004B3609" w14:paraId="6F70B7A4" w14:textId="77777777" w:rsidTr="00353841">
        <w:trPr>
          <w:trHeight w:val="567"/>
        </w:trPr>
        <w:tc>
          <w:tcPr>
            <w:tcW w:w="3341" w:type="pct"/>
          </w:tcPr>
          <w:p w14:paraId="614979BA" w14:textId="77777777" w:rsidR="00DF3CB0" w:rsidRPr="00377E56" w:rsidRDefault="00DF3CB0" w:rsidP="00CE7726">
            <w:pPr>
              <w:spacing w:beforeLines="60" w:before="144" w:afterLines="60" w:after="144"/>
              <w:rPr>
                <w:rFonts w:cs="Segoe UI"/>
              </w:rPr>
            </w:pPr>
            <w:r w:rsidRPr="00377E56">
              <w:rPr>
                <w:rFonts w:cs="Segoe UI"/>
              </w:rPr>
              <w:t xml:space="preserve">Photographic </w:t>
            </w:r>
            <w:r>
              <w:rPr>
                <w:rFonts w:cs="Segoe UI"/>
              </w:rPr>
              <w:t>products (end use in Australia)</w:t>
            </w:r>
          </w:p>
        </w:tc>
        <w:tc>
          <w:tcPr>
            <w:tcW w:w="1659" w:type="pct"/>
          </w:tcPr>
          <w:p w14:paraId="5ACFC2CA" w14:textId="77777777" w:rsidR="00DF3CB0" w:rsidRPr="00377E56" w:rsidRDefault="00DF3CB0" w:rsidP="00CE7726">
            <w:pPr>
              <w:spacing w:beforeLines="60" w:before="144" w:afterLines="60" w:after="144"/>
              <w:jc w:val="center"/>
              <w:rPr>
                <w:rFonts w:cs="Segoe UI"/>
              </w:rPr>
            </w:pPr>
            <w:r w:rsidRPr="00377E56">
              <w:rPr>
                <w:rFonts w:cs="Segoe UI"/>
              </w:rPr>
              <w:t>1</w:t>
            </w:r>
          </w:p>
        </w:tc>
      </w:tr>
      <w:tr w:rsidR="00DF3CB0" w:rsidRPr="004B3609" w14:paraId="2C16F40A" w14:textId="77777777" w:rsidTr="00353841">
        <w:trPr>
          <w:trHeight w:val="567"/>
        </w:trPr>
        <w:tc>
          <w:tcPr>
            <w:tcW w:w="3341" w:type="pct"/>
          </w:tcPr>
          <w:p w14:paraId="5241FCDF" w14:textId="77777777" w:rsidR="00DF3CB0" w:rsidRPr="00377E56" w:rsidRDefault="00DF3CB0" w:rsidP="00CE7726">
            <w:pPr>
              <w:spacing w:beforeLines="60" w:before="144" w:afterLines="60" w:after="144"/>
              <w:rPr>
                <w:rFonts w:cs="Segoe UI"/>
              </w:rPr>
            </w:pPr>
            <w:r w:rsidRPr="00377E56">
              <w:rPr>
                <w:rFonts w:cs="Segoe UI"/>
              </w:rPr>
              <w:t>Water treatment products</w:t>
            </w:r>
            <w:r>
              <w:rPr>
                <w:rFonts w:cs="Segoe UI"/>
              </w:rPr>
              <w:t xml:space="preserve"> (end use in Australia)</w:t>
            </w:r>
          </w:p>
        </w:tc>
        <w:tc>
          <w:tcPr>
            <w:tcW w:w="1659" w:type="pct"/>
          </w:tcPr>
          <w:p w14:paraId="488EDF3D" w14:textId="77777777" w:rsidR="00DF3CB0" w:rsidRPr="00377E56" w:rsidRDefault="00DF3CB0" w:rsidP="00CE7726">
            <w:pPr>
              <w:spacing w:beforeLines="60" w:before="144" w:afterLines="60" w:after="144"/>
              <w:jc w:val="center"/>
              <w:rPr>
                <w:rFonts w:cs="Segoe UI"/>
              </w:rPr>
            </w:pPr>
            <w:r w:rsidRPr="00377E56">
              <w:rPr>
                <w:rFonts w:cs="Segoe UI"/>
              </w:rPr>
              <w:t>1</w:t>
            </w:r>
          </w:p>
        </w:tc>
      </w:tr>
      <w:tr w:rsidR="00DF3CB0" w:rsidRPr="004B3609" w14:paraId="43D60D86" w14:textId="77777777" w:rsidTr="00353841">
        <w:trPr>
          <w:trHeight w:val="567"/>
        </w:trPr>
        <w:tc>
          <w:tcPr>
            <w:tcW w:w="3341" w:type="pct"/>
          </w:tcPr>
          <w:p w14:paraId="079CE50D" w14:textId="77777777" w:rsidR="00DF3CB0" w:rsidRPr="00377E56" w:rsidRDefault="00DF3CB0" w:rsidP="00CE7726">
            <w:pPr>
              <w:spacing w:beforeLines="60" w:before="144" w:afterLines="60" w:after="144"/>
              <w:rPr>
                <w:rFonts w:cs="Segoe UI"/>
              </w:rPr>
            </w:pPr>
            <w:r w:rsidRPr="00377E56">
              <w:rPr>
                <w:rFonts w:cs="Segoe UI"/>
              </w:rPr>
              <w:t>Any other end use not covered above</w:t>
            </w:r>
            <w:r>
              <w:rPr>
                <w:rFonts w:cs="Segoe UI"/>
              </w:rPr>
              <w:t xml:space="preserve"> (end use in Australia)</w:t>
            </w:r>
          </w:p>
        </w:tc>
        <w:tc>
          <w:tcPr>
            <w:tcW w:w="1659" w:type="pct"/>
          </w:tcPr>
          <w:p w14:paraId="290BC6CA" w14:textId="77777777" w:rsidR="00DF3CB0" w:rsidRPr="00377E56" w:rsidRDefault="00DF3CB0" w:rsidP="00CE7726">
            <w:pPr>
              <w:spacing w:beforeLines="60" w:before="144" w:afterLines="60" w:after="144"/>
              <w:jc w:val="center"/>
              <w:rPr>
                <w:rFonts w:cs="Segoe UI"/>
              </w:rPr>
            </w:pPr>
            <w:r w:rsidRPr="00377E56">
              <w:rPr>
                <w:rFonts w:cs="Segoe UI"/>
              </w:rPr>
              <w:t>1</w:t>
            </w:r>
          </w:p>
        </w:tc>
      </w:tr>
    </w:tbl>
    <w:p w14:paraId="05D194DE" w14:textId="77777777" w:rsidR="00F61167" w:rsidRDefault="00F61167" w:rsidP="00F61167">
      <w:r w:rsidRPr="00E055C0">
        <w:rPr>
          <w:b/>
          <w:bCs/>
        </w:rPr>
        <w:t>Adhesive and sealant products</w:t>
      </w:r>
      <w:r>
        <w:t xml:space="preserve"> </w:t>
      </w:r>
      <w:proofErr w:type="gramStart"/>
      <w:r>
        <w:t>means</w:t>
      </w:r>
      <w:proofErr w:type="gramEnd"/>
      <w:r>
        <w:t xml:space="preserve"> an end use to fasten other materials together or stop the passage of liquid or gas. Examples include:</w:t>
      </w:r>
    </w:p>
    <w:p w14:paraId="5448AB31" w14:textId="77777777" w:rsidR="00E055C0" w:rsidRDefault="00E055C0" w:rsidP="000A5B68">
      <w:pPr>
        <w:pStyle w:val="Bulletlist"/>
      </w:pPr>
      <w:r>
        <w:t>g</w:t>
      </w:r>
      <w:r w:rsidR="00F61167">
        <w:t>lues</w:t>
      </w:r>
    </w:p>
    <w:p w14:paraId="02DC4687" w14:textId="77777777" w:rsidR="00E055C0" w:rsidRDefault="00E055C0" w:rsidP="000A5B68">
      <w:pPr>
        <w:pStyle w:val="Bulletlist"/>
      </w:pPr>
      <w:r>
        <w:t>b</w:t>
      </w:r>
      <w:r w:rsidR="00F61167">
        <w:t>inders</w:t>
      </w:r>
    </w:p>
    <w:p w14:paraId="578A66B5" w14:textId="77777777" w:rsidR="00E055C0" w:rsidRDefault="00F61167" w:rsidP="000A5B68">
      <w:pPr>
        <w:pStyle w:val="Bulletlist"/>
      </w:pPr>
      <w:r>
        <w:t>adhesives</w:t>
      </w:r>
    </w:p>
    <w:p w14:paraId="73931A66" w14:textId="77777777" w:rsidR="00E055C0" w:rsidRDefault="00F61167" w:rsidP="000A5B68">
      <w:pPr>
        <w:pStyle w:val="Bulletlist"/>
      </w:pPr>
      <w:r>
        <w:t>pastes</w:t>
      </w:r>
    </w:p>
    <w:p w14:paraId="6D68BA6E" w14:textId="77777777" w:rsidR="00E055C0" w:rsidRDefault="00F61167" w:rsidP="000A5B68">
      <w:pPr>
        <w:pStyle w:val="Bulletlist"/>
      </w:pPr>
      <w:r>
        <w:t>sealants</w:t>
      </w:r>
    </w:p>
    <w:p w14:paraId="65C50612" w14:textId="77777777" w:rsidR="00E055C0" w:rsidRDefault="00F61167" w:rsidP="000A5B68">
      <w:pPr>
        <w:pStyle w:val="Bulletlist"/>
      </w:pPr>
      <w:r>
        <w:t>fillers</w:t>
      </w:r>
    </w:p>
    <w:p w14:paraId="5286C0F9" w14:textId="77777777" w:rsidR="00E055C0" w:rsidRDefault="00F61167" w:rsidP="000A5B68">
      <w:pPr>
        <w:pStyle w:val="Bulletlist"/>
      </w:pPr>
      <w:r>
        <w:t>putties</w:t>
      </w:r>
    </w:p>
    <w:p w14:paraId="16A5E188" w14:textId="77777777" w:rsidR="00E055C0" w:rsidRDefault="00F61167" w:rsidP="000A5B68">
      <w:pPr>
        <w:pStyle w:val="Bulletlist"/>
      </w:pPr>
      <w:r>
        <w:t>solder and caulking compounds</w:t>
      </w:r>
    </w:p>
    <w:p w14:paraId="74C9E669" w14:textId="77777777" w:rsidR="00671D66" w:rsidRDefault="0F28A090" w:rsidP="000A5B68">
      <w:pPr>
        <w:pStyle w:val="Bulletlist"/>
      </w:pPr>
      <w:r>
        <w:t>spray foam insulation</w:t>
      </w:r>
    </w:p>
    <w:p w14:paraId="00993958" w14:textId="77777777" w:rsidR="00801E37" w:rsidRDefault="0026E2BB" w:rsidP="5E1450C1">
      <w:r w:rsidRPr="5E1450C1">
        <w:rPr>
          <w:b/>
          <w:bCs/>
        </w:rPr>
        <w:t xml:space="preserve">Apparel and footwear care products </w:t>
      </w:r>
      <w:r>
        <w:t>means an end use to care for apparel and footwear products intended for consumer and commercial use. Examples include:</w:t>
      </w:r>
      <w:r w:rsidR="1D21930C">
        <w:t xml:space="preserve"> </w:t>
      </w:r>
    </w:p>
    <w:p w14:paraId="1139875D" w14:textId="77777777" w:rsidR="00801E37" w:rsidRDefault="0026E2BB" w:rsidP="000A5B68">
      <w:pPr>
        <w:pStyle w:val="Bulletlist"/>
      </w:pPr>
      <w:r>
        <w:t>footwear polishes</w:t>
      </w:r>
    </w:p>
    <w:p w14:paraId="670ABC92" w14:textId="77777777" w:rsidR="00801E37" w:rsidRDefault="0026E2BB" w:rsidP="000A5B68">
      <w:pPr>
        <w:pStyle w:val="Bulletlist"/>
      </w:pPr>
      <w:r>
        <w:t>waxes and stains to waterproof and improve appearance and other desirable properties</w:t>
      </w:r>
    </w:p>
    <w:p w14:paraId="21F124D0" w14:textId="77777777" w:rsidR="00801E37" w:rsidRDefault="0026E2BB" w:rsidP="000A5B68">
      <w:pPr>
        <w:pStyle w:val="Bulletlist"/>
      </w:pPr>
      <w:r>
        <w:lastRenderedPageBreak/>
        <w:t>apparel surface treatment products for water, stain or flame resistance</w:t>
      </w:r>
    </w:p>
    <w:p w14:paraId="3B1E13C8" w14:textId="77777777" w:rsidR="00801E37" w:rsidRDefault="0026E2BB" w:rsidP="5E1450C1">
      <w:r w:rsidRPr="5E1450C1">
        <w:rPr>
          <w:b/>
          <w:bCs/>
        </w:rPr>
        <w:t xml:space="preserve">Arts, crafts and hobby products </w:t>
      </w:r>
      <w:proofErr w:type="gramStart"/>
      <w:r>
        <w:t>means</w:t>
      </w:r>
      <w:proofErr w:type="gramEnd"/>
      <w:r>
        <w:t xml:space="preserve"> an end use in arts, crafts or hobbies. Examples include:</w:t>
      </w:r>
    </w:p>
    <w:p w14:paraId="0BE9BFCB" w14:textId="77777777" w:rsidR="00801E37" w:rsidRPr="00CE6FC7" w:rsidRDefault="0026E2BB" w:rsidP="000A5B68">
      <w:pPr>
        <w:pStyle w:val="Bulletlist"/>
      </w:pPr>
      <w:r w:rsidRPr="00CE6FC7">
        <w:t>crafting paints</w:t>
      </w:r>
    </w:p>
    <w:p w14:paraId="216F83F3" w14:textId="77777777" w:rsidR="00801E37" w:rsidRPr="00CE6FC7" w:rsidRDefault="0026E2BB" w:rsidP="000A5B68">
      <w:pPr>
        <w:pStyle w:val="Bulletlist"/>
      </w:pPr>
      <w:r w:rsidRPr="00CE6FC7">
        <w:t>crafting glue</w:t>
      </w:r>
    </w:p>
    <w:p w14:paraId="4E25B367" w14:textId="77777777" w:rsidR="00801E37" w:rsidRPr="00CE6FC7" w:rsidRDefault="0026E2BB" w:rsidP="000A5B68">
      <w:pPr>
        <w:pStyle w:val="Bulletlist"/>
      </w:pPr>
      <w:r w:rsidRPr="00CE6FC7">
        <w:t>adhesives (e.g. solder and hot-melt adhesives)</w:t>
      </w:r>
    </w:p>
    <w:p w14:paraId="1760641E" w14:textId="77777777" w:rsidR="00801E37" w:rsidRPr="00CE6FC7" w:rsidRDefault="0026E2BB" w:rsidP="000A5B68">
      <w:pPr>
        <w:pStyle w:val="Bulletlist"/>
      </w:pPr>
      <w:r w:rsidRPr="00CE6FC7">
        <w:t>fixatives</w:t>
      </w:r>
    </w:p>
    <w:p w14:paraId="67ED8360" w14:textId="77777777" w:rsidR="00801E37" w:rsidRPr="00CE6FC7" w:rsidRDefault="0026E2BB" w:rsidP="000A5B68">
      <w:pPr>
        <w:pStyle w:val="Bulletlist"/>
      </w:pPr>
      <w:r w:rsidRPr="00CE6FC7">
        <w:t>finishing spray coatings and modelling clay</w:t>
      </w:r>
    </w:p>
    <w:p w14:paraId="1DD5E7B9" w14:textId="77777777" w:rsidR="00801E37" w:rsidRDefault="0026E2BB" w:rsidP="5E1450C1">
      <w:r w:rsidRPr="5E1450C1">
        <w:rPr>
          <w:b/>
          <w:bCs/>
        </w:rPr>
        <w:t xml:space="preserve">Explosive products </w:t>
      </w:r>
      <w:proofErr w:type="gramStart"/>
      <w:r>
        <w:t>means</w:t>
      </w:r>
      <w:proofErr w:type="gramEnd"/>
      <w:r>
        <w:t xml:space="preserve"> an end use for producing a sudden expansion, usually accompanied by production of heat and large changes in pressure. Examples include:</w:t>
      </w:r>
    </w:p>
    <w:p w14:paraId="322762A0" w14:textId="77777777" w:rsidR="00801E37" w:rsidRDefault="0026E2BB" w:rsidP="000A5B68">
      <w:pPr>
        <w:pStyle w:val="Bulletlist"/>
      </w:pPr>
      <w:r>
        <w:t>pyrotechnics</w:t>
      </w:r>
    </w:p>
    <w:p w14:paraId="2BFF535E" w14:textId="77777777" w:rsidR="00801E37" w:rsidRDefault="0026E2BB" w:rsidP="000A5B68">
      <w:pPr>
        <w:pStyle w:val="Bulletlist"/>
      </w:pPr>
      <w:r>
        <w:t>high explosives and propellants</w:t>
      </w:r>
    </w:p>
    <w:p w14:paraId="7D2DFC4F" w14:textId="77777777" w:rsidR="00801E37" w:rsidRDefault="0026E2BB" w:rsidP="000A5B68">
      <w:pPr>
        <w:pStyle w:val="Bulletlist"/>
      </w:pPr>
      <w:r>
        <w:t>igniters</w:t>
      </w:r>
    </w:p>
    <w:p w14:paraId="6835679F" w14:textId="77777777" w:rsidR="00801E37" w:rsidRDefault="00801E37" w:rsidP="000A5B68">
      <w:pPr>
        <w:pStyle w:val="Bulletlist"/>
      </w:pPr>
      <w:r>
        <w:t>primers</w:t>
      </w:r>
    </w:p>
    <w:p w14:paraId="63D52197" w14:textId="77777777" w:rsidR="00801E37" w:rsidRDefault="00801E37" w:rsidP="000A5B68">
      <w:pPr>
        <w:pStyle w:val="Bulletlist"/>
      </w:pPr>
      <w:r>
        <w:t>initiatory</w:t>
      </w:r>
    </w:p>
    <w:p w14:paraId="02768E1A" w14:textId="77777777" w:rsidR="00801E37" w:rsidRDefault="00801E37" w:rsidP="000A5B68">
      <w:pPr>
        <w:pStyle w:val="Bulletlist"/>
      </w:pPr>
      <w:proofErr w:type="spellStart"/>
      <w:r>
        <w:t>illuminants</w:t>
      </w:r>
      <w:proofErr w:type="spellEnd"/>
    </w:p>
    <w:p w14:paraId="193632AC" w14:textId="77777777" w:rsidR="00801E37" w:rsidRDefault="00801E37" w:rsidP="000A5B68">
      <w:pPr>
        <w:pStyle w:val="Bulletlist"/>
      </w:pPr>
      <w:r>
        <w:t>smoke and decoy flares</w:t>
      </w:r>
    </w:p>
    <w:p w14:paraId="4F429EF1" w14:textId="77777777" w:rsidR="00801E37" w:rsidRDefault="00443C16" w:rsidP="000A5B68">
      <w:pPr>
        <w:pStyle w:val="Bulletlist"/>
      </w:pPr>
      <w:r>
        <w:t>i</w:t>
      </w:r>
      <w:r w:rsidR="0026E2BB">
        <w:t>ncendiaries</w:t>
      </w:r>
    </w:p>
    <w:p w14:paraId="49D865B5" w14:textId="77777777" w:rsidR="0033594F" w:rsidRDefault="0033594F" w:rsidP="001D7356">
      <w:r w:rsidRPr="001D7356">
        <w:rPr>
          <w:b/>
          <w:bCs/>
        </w:rPr>
        <w:t>Fuel, oil, fuel oil additives and related products</w:t>
      </w:r>
      <w:r>
        <w:t xml:space="preserve"> </w:t>
      </w:r>
      <w:proofErr w:type="gramStart"/>
      <w:r>
        <w:t>means</w:t>
      </w:r>
      <w:proofErr w:type="gramEnd"/>
      <w:r>
        <w:t xml:space="preserve"> an end use as:</w:t>
      </w:r>
    </w:p>
    <w:p w14:paraId="0DC2A8A6" w14:textId="77777777" w:rsidR="0033594F" w:rsidRDefault="128BD0AA" w:rsidP="000A5B68">
      <w:pPr>
        <w:pStyle w:val="Bulletlist"/>
      </w:pPr>
      <w:r>
        <w:t>liquid fuel in containers used for cooking, heating or for power in vehicles or appliances, or</w:t>
      </w:r>
    </w:p>
    <w:p w14:paraId="7FCC9E40" w14:textId="77777777" w:rsidR="00B20F23" w:rsidRDefault="128BD0AA" w:rsidP="000A5B68">
      <w:pPr>
        <w:pStyle w:val="Bulletlist"/>
      </w:pPr>
      <w:r>
        <w:t>a fuel additive to inhibit corrosion, provide lubrication, increase efficiency of use, or decrease production of undesirable by-products.</w:t>
      </w:r>
    </w:p>
    <w:p w14:paraId="67DFF50F" w14:textId="77777777" w:rsidR="08715DEB" w:rsidRDefault="08715DEB">
      <w:r>
        <w:t>Examples of liquid fuels include:</w:t>
      </w:r>
    </w:p>
    <w:p w14:paraId="15C92B60" w14:textId="77777777" w:rsidR="08715DEB" w:rsidRDefault="08715DEB" w:rsidP="000A5B68">
      <w:pPr>
        <w:pStyle w:val="Bulletlist"/>
      </w:pPr>
      <w:r>
        <w:t>gasoline</w:t>
      </w:r>
    </w:p>
    <w:p w14:paraId="6191BD11" w14:textId="77777777" w:rsidR="08715DEB" w:rsidRDefault="08715DEB" w:rsidP="000A5B68">
      <w:pPr>
        <w:pStyle w:val="Bulletlist"/>
      </w:pPr>
      <w:r>
        <w:t>diesel fuels</w:t>
      </w:r>
    </w:p>
    <w:p w14:paraId="2F0F220C" w14:textId="77777777" w:rsidR="08715DEB" w:rsidRDefault="08715DEB" w:rsidP="000A5B68">
      <w:pPr>
        <w:pStyle w:val="Bulletlist"/>
      </w:pPr>
      <w:r>
        <w:t>kerosene</w:t>
      </w:r>
    </w:p>
    <w:p w14:paraId="7299FD46" w14:textId="77777777" w:rsidR="08715DEB" w:rsidRDefault="08715DEB" w:rsidP="000A5B68">
      <w:pPr>
        <w:pStyle w:val="Bulletlist"/>
      </w:pPr>
      <w:r>
        <w:t>lamp oils</w:t>
      </w:r>
    </w:p>
    <w:p w14:paraId="18965B3F" w14:textId="77777777" w:rsidR="62BEAB16" w:rsidRDefault="62BEAB16" w:rsidP="000A5B68">
      <w:pPr>
        <w:pStyle w:val="Bulletlist"/>
        <w:numPr>
          <w:ilvl w:val="0"/>
          <w:numId w:val="0"/>
        </w:numPr>
      </w:pPr>
      <w:r>
        <w:t>Examples of fuel oil additives include:</w:t>
      </w:r>
    </w:p>
    <w:p w14:paraId="5B373A41" w14:textId="77777777" w:rsidR="62BEAB16" w:rsidRDefault="62BEAB16" w:rsidP="000A5B68">
      <w:pPr>
        <w:pStyle w:val="Bulletlist"/>
      </w:pPr>
      <w:r>
        <w:t>stabilisers</w:t>
      </w:r>
    </w:p>
    <w:p w14:paraId="70C2BC8E" w14:textId="77777777" w:rsidR="62BEAB16" w:rsidRDefault="62BEAB16" w:rsidP="000A5B68">
      <w:pPr>
        <w:pStyle w:val="Bulletlist"/>
      </w:pPr>
      <w:r>
        <w:t>anti-knock agents</w:t>
      </w:r>
    </w:p>
    <w:p w14:paraId="79C897D5" w14:textId="77777777" w:rsidR="62BEAB16" w:rsidRDefault="62BEAB16" w:rsidP="000A5B68">
      <w:pPr>
        <w:pStyle w:val="Bulletlist"/>
      </w:pPr>
      <w:r>
        <w:t>corrosion inhibitors</w:t>
      </w:r>
    </w:p>
    <w:p w14:paraId="1F75B726" w14:textId="77777777" w:rsidR="62BEAB16" w:rsidRDefault="62BEAB16" w:rsidP="000A5B68">
      <w:pPr>
        <w:pStyle w:val="Bulletlist"/>
      </w:pPr>
      <w:r>
        <w:t>detergents</w:t>
      </w:r>
    </w:p>
    <w:p w14:paraId="01FFEE85" w14:textId="77777777" w:rsidR="62BEAB16" w:rsidRDefault="62BEAB16" w:rsidP="000A5B68">
      <w:pPr>
        <w:pStyle w:val="Bulletlist"/>
      </w:pPr>
      <w:r>
        <w:t>fuel dyes</w:t>
      </w:r>
    </w:p>
    <w:p w14:paraId="526E2341" w14:textId="77777777" w:rsidR="62BEAB16" w:rsidRDefault="62BEAB16" w:rsidP="000A5B68">
      <w:pPr>
        <w:pStyle w:val="Bulletlist"/>
      </w:pPr>
      <w:r>
        <w:t>oxygenates</w:t>
      </w:r>
    </w:p>
    <w:p w14:paraId="664B64A2" w14:textId="77777777" w:rsidR="62BEAB16" w:rsidRDefault="62BEAB16" w:rsidP="000A5B68">
      <w:pPr>
        <w:pStyle w:val="Bulletlist"/>
      </w:pPr>
      <w:r>
        <w:t>antioxidants</w:t>
      </w:r>
    </w:p>
    <w:p w14:paraId="75607A88" w14:textId="77777777" w:rsidR="62BEAB16" w:rsidRDefault="62BEAB16" w:rsidP="000A5B68">
      <w:pPr>
        <w:pStyle w:val="Bulletlist"/>
      </w:pPr>
      <w:r>
        <w:t>odour agents</w:t>
      </w:r>
    </w:p>
    <w:p w14:paraId="1149B1E3" w14:textId="77777777" w:rsidR="62BEAB16" w:rsidRDefault="62BEAB16" w:rsidP="5E1450C1">
      <w:r w:rsidRPr="5E1450C1">
        <w:rPr>
          <w:b/>
          <w:bCs/>
        </w:rPr>
        <w:t>Lubricant and grease products</w:t>
      </w:r>
      <w:r>
        <w:t xml:space="preserve"> </w:t>
      </w:r>
      <w:proofErr w:type="gramStart"/>
      <w:r>
        <w:t>means</w:t>
      </w:r>
      <w:proofErr w:type="gramEnd"/>
      <w:r>
        <w:t xml:space="preserve"> an end use in a liquid, paste or spray to reduce friction, heat generation and wear between solid surfaces. Examples include:</w:t>
      </w:r>
    </w:p>
    <w:p w14:paraId="533A1C51" w14:textId="77777777" w:rsidR="62BEAB16" w:rsidRDefault="62BEAB16" w:rsidP="000A5B68">
      <w:pPr>
        <w:pStyle w:val="Bulletlist"/>
      </w:pPr>
      <w:r>
        <w:t>engine oils</w:t>
      </w:r>
    </w:p>
    <w:p w14:paraId="775D3ADF" w14:textId="77777777" w:rsidR="62BEAB16" w:rsidRDefault="62BEAB16" w:rsidP="000A5B68">
      <w:pPr>
        <w:pStyle w:val="Bulletlist"/>
      </w:pPr>
      <w:r>
        <w:t>transmission, brake and hydraulic fluids</w:t>
      </w:r>
    </w:p>
    <w:p w14:paraId="4EA868FC" w14:textId="77777777" w:rsidR="62BEAB16" w:rsidRDefault="62BEAB16" w:rsidP="000A5B68">
      <w:pPr>
        <w:pStyle w:val="Bulletlist"/>
      </w:pPr>
      <w:r>
        <w:t>gear oils</w:t>
      </w:r>
    </w:p>
    <w:p w14:paraId="2DD05BA6" w14:textId="77777777" w:rsidR="62BEAB16" w:rsidRDefault="62BEAB16" w:rsidP="000A5B68">
      <w:pPr>
        <w:pStyle w:val="Bulletlist"/>
      </w:pPr>
      <w:r>
        <w:t>calcium, sodium, lithium, and silicone-based greases</w:t>
      </w:r>
    </w:p>
    <w:p w14:paraId="2D58A973" w14:textId="77777777" w:rsidR="4BED7141" w:rsidRDefault="4BED7141" w:rsidP="000A5B68">
      <w:pPr>
        <w:pStyle w:val="Bulletlist"/>
        <w:numPr>
          <w:ilvl w:val="0"/>
          <w:numId w:val="0"/>
        </w:numPr>
      </w:pPr>
      <w:r w:rsidRPr="5E1450C1">
        <w:rPr>
          <w:b/>
          <w:bCs/>
        </w:rPr>
        <w:t>Personal care products – limited environmental release</w:t>
      </w:r>
      <w:r>
        <w:t xml:space="preserve"> means an end use in solid or hardening personal care products (including cosmetics) that are primarily disposed of to landfill. Examples include:</w:t>
      </w:r>
    </w:p>
    <w:p w14:paraId="3D6978D2" w14:textId="77777777" w:rsidR="4BED7141" w:rsidRDefault="4BED7141" w:rsidP="000A5B68">
      <w:pPr>
        <w:pStyle w:val="Bulletlist"/>
      </w:pPr>
      <w:r>
        <w:lastRenderedPageBreak/>
        <w:t>baby wipes</w:t>
      </w:r>
    </w:p>
    <w:p w14:paraId="124CD42D" w14:textId="77777777" w:rsidR="4BED7141" w:rsidRDefault="4BED7141" w:rsidP="000A5B68">
      <w:pPr>
        <w:pStyle w:val="Bulletlist"/>
      </w:pPr>
      <w:r>
        <w:t>facial tissues</w:t>
      </w:r>
    </w:p>
    <w:p w14:paraId="28748B8E" w14:textId="77777777" w:rsidR="4BED7141" w:rsidRDefault="4BED7141" w:rsidP="000A5B68">
      <w:pPr>
        <w:pStyle w:val="Bulletlist"/>
      </w:pPr>
      <w:r>
        <w:t>nail care products including nail polish and remover</w:t>
      </w:r>
    </w:p>
    <w:p w14:paraId="1A1A8BD3" w14:textId="77777777" w:rsidR="4BED7141" w:rsidRDefault="4BED7141" w:rsidP="5E1450C1">
      <w:r w:rsidRPr="5E1450C1">
        <w:rPr>
          <w:b/>
          <w:bCs/>
        </w:rPr>
        <w:t>Tattoo ink products</w:t>
      </w:r>
      <w:r>
        <w:t xml:space="preserve"> </w:t>
      </w:r>
      <w:proofErr w:type="gramStart"/>
      <w:r>
        <w:t>means</w:t>
      </w:r>
      <w:proofErr w:type="gramEnd"/>
      <w:r>
        <w:t xml:space="preserve"> an end use in a combination of industrial chemicals that contains one or more colouring agents and is applied to the dermal layer of the skin for the purposes of colouring the skin. Examples include:</w:t>
      </w:r>
    </w:p>
    <w:p w14:paraId="0772CAD6" w14:textId="77777777" w:rsidR="4BED7141" w:rsidRDefault="4BED7141" w:rsidP="000A5B68">
      <w:pPr>
        <w:pStyle w:val="Bulletlist"/>
      </w:pPr>
      <w:r>
        <w:t>pigments</w:t>
      </w:r>
    </w:p>
    <w:p w14:paraId="59DC3B86" w14:textId="77777777" w:rsidR="4BED7141" w:rsidRDefault="4BED7141" w:rsidP="000A5B68">
      <w:pPr>
        <w:pStyle w:val="Bulletlist"/>
      </w:pPr>
      <w:r>
        <w:t>dyes</w:t>
      </w:r>
    </w:p>
    <w:p w14:paraId="70E45DF7" w14:textId="77777777" w:rsidR="7D6DACD0" w:rsidRDefault="001601B9" w:rsidP="000A5B68">
      <w:pPr>
        <w:pStyle w:val="Bulletlist"/>
      </w:pPr>
      <w:r>
        <w:t>r</w:t>
      </w:r>
      <w:r w:rsidR="4BED7141">
        <w:t>esins</w:t>
      </w:r>
    </w:p>
    <w:p w14:paraId="03F5C837" w14:textId="77777777" w:rsidR="1463F61F" w:rsidRDefault="1463F61F" w:rsidP="5E1450C1">
      <w:r w:rsidRPr="5E1450C1">
        <w:rPr>
          <w:b/>
          <w:bCs/>
        </w:rPr>
        <w:t>Paint and coating products</w:t>
      </w:r>
      <w:r>
        <w:t xml:space="preserve"> means an end use to paint or coat substrates intended for consumer or commercial use. Examples include:</w:t>
      </w:r>
    </w:p>
    <w:p w14:paraId="070EA6A6" w14:textId="77777777" w:rsidR="1463F61F" w:rsidRDefault="1463F61F" w:rsidP="000A5B68">
      <w:pPr>
        <w:pStyle w:val="Bulletlist"/>
      </w:pPr>
      <w:r>
        <w:t>decorative coatings</w:t>
      </w:r>
    </w:p>
    <w:p w14:paraId="581BD86A" w14:textId="77777777" w:rsidR="1463F61F" w:rsidRDefault="1463F61F" w:rsidP="000A5B68">
      <w:pPr>
        <w:pStyle w:val="Bulletlist"/>
      </w:pPr>
      <w:r>
        <w:t>automotive coatings</w:t>
      </w:r>
    </w:p>
    <w:p w14:paraId="3F4A377F" w14:textId="77777777" w:rsidR="1463F61F" w:rsidRDefault="1463F61F" w:rsidP="000A5B68">
      <w:pPr>
        <w:pStyle w:val="Bulletlist"/>
      </w:pPr>
      <w:r>
        <w:t>transportation coatings</w:t>
      </w:r>
    </w:p>
    <w:p w14:paraId="1D3FC693" w14:textId="77777777" w:rsidR="1463F61F" w:rsidRDefault="1463F61F" w:rsidP="000A5B68">
      <w:pPr>
        <w:pStyle w:val="Bulletlist"/>
      </w:pPr>
      <w:r>
        <w:t>wood finishes</w:t>
      </w:r>
    </w:p>
    <w:p w14:paraId="32B1BB29" w14:textId="77777777" w:rsidR="1463F61F" w:rsidRDefault="1463F61F" w:rsidP="000A5B68">
      <w:pPr>
        <w:pStyle w:val="Bulletlist"/>
      </w:pPr>
      <w:r>
        <w:t>powder coatings</w:t>
      </w:r>
    </w:p>
    <w:p w14:paraId="6765F1DA" w14:textId="77777777" w:rsidR="1463F61F" w:rsidRDefault="1463F61F" w:rsidP="000A5B68">
      <w:pPr>
        <w:pStyle w:val="Bulletlist"/>
      </w:pPr>
      <w:r>
        <w:t>coil coatings</w:t>
      </w:r>
    </w:p>
    <w:p w14:paraId="4CFC2FDB" w14:textId="77777777" w:rsidR="1463F61F" w:rsidRDefault="1463F61F" w:rsidP="000A5B68">
      <w:pPr>
        <w:pStyle w:val="Bulletlist"/>
      </w:pPr>
      <w:r>
        <w:t>packaging finishes</w:t>
      </w:r>
    </w:p>
    <w:p w14:paraId="01C4C179" w14:textId="77777777" w:rsidR="1463F61F" w:rsidRDefault="1463F61F" w:rsidP="000A5B68">
      <w:pPr>
        <w:pStyle w:val="Bulletlist"/>
      </w:pPr>
      <w:r>
        <w:t>general industrial coatings</w:t>
      </w:r>
    </w:p>
    <w:p w14:paraId="743EFB6C" w14:textId="77777777" w:rsidR="1463F61F" w:rsidRDefault="1463F61F" w:rsidP="000A5B68">
      <w:pPr>
        <w:pStyle w:val="Bulletlist"/>
      </w:pPr>
      <w:r>
        <w:t>automotive refinish</w:t>
      </w:r>
    </w:p>
    <w:p w14:paraId="2F404E7B" w14:textId="77777777" w:rsidR="1463F61F" w:rsidRDefault="1463F61F" w:rsidP="000A5B68">
      <w:pPr>
        <w:pStyle w:val="Bulletlist"/>
      </w:pPr>
      <w:r>
        <w:t>industrial maintenance and protective coatings</w:t>
      </w:r>
    </w:p>
    <w:p w14:paraId="510F92FC" w14:textId="77777777" w:rsidR="1463F61F" w:rsidRDefault="1463F61F" w:rsidP="000A5B68">
      <w:pPr>
        <w:pStyle w:val="Bulletlist"/>
      </w:pPr>
      <w:r>
        <w:t>marine coatings</w:t>
      </w:r>
    </w:p>
    <w:p w14:paraId="5D86A044" w14:textId="77777777" w:rsidR="1463F61F" w:rsidRDefault="1463F61F" w:rsidP="000A5B68">
      <w:pPr>
        <w:pStyle w:val="Bulletlist"/>
      </w:pPr>
      <w:r>
        <w:t>thinners</w:t>
      </w:r>
    </w:p>
    <w:p w14:paraId="10BF3EED" w14:textId="77777777" w:rsidR="1463F61F" w:rsidRDefault="001601B9" w:rsidP="000A5B68">
      <w:pPr>
        <w:pStyle w:val="Bulletlist"/>
      </w:pPr>
      <w:r>
        <w:t>r</w:t>
      </w:r>
      <w:r w:rsidR="1463F61F">
        <w:t>emovers</w:t>
      </w:r>
    </w:p>
    <w:p w14:paraId="13DDC4FF" w14:textId="77777777" w:rsidR="1463F61F" w:rsidRDefault="1463F61F" w:rsidP="5E1450C1">
      <w:r w:rsidRPr="5E1450C1">
        <w:rPr>
          <w:b/>
          <w:bCs/>
        </w:rPr>
        <w:t xml:space="preserve">Plastic and polymer products </w:t>
      </w:r>
      <w:proofErr w:type="gramStart"/>
      <w:r>
        <w:t>means</w:t>
      </w:r>
      <w:proofErr w:type="gramEnd"/>
      <w:r>
        <w:t xml:space="preserve"> an end use in production of plastics or polymers. Examples include:</w:t>
      </w:r>
    </w:p>
    <w:p w14:paraId="3DDB1545" w14:textId="77777777" w:rsidR="1463F61F" w:rsidRDefault="1463F61F" w:rsidP="000A5B68">
      <w:pPr>
        <w:pStyle w:val="Bulletlist"/>
      </w:pPr>
      <w:r>
        <w:t>monomers</w:t>
      </w:r>
    </w:p>
    <w:p w14:paraId="18CBDF78" w14:textId="77777777" w:rsidR="1463F61F" w:rsidRDefault="1463F61F" w:rsidP="000A5B68">
      <w:pPr>
        <w:pStyle w:val="Bulletlist"/>
      </w:pPr>
      <w:r>
        <w:t>initiators</w:t>
      </w:r>
    </w:p>
    <w:p w14:paraId="6048CB8B" w14:textId="77777777" w:rsidR="6C7E9F55" w:rsidRDefault="001601B9" w:rsidP="000A5B68">
      <w:pPr>
        <w:pStyle w:val="Bulletlist"/>
      </w:pPr>
      <w:r>
        <w:t>a</w:t>
      </w:r>
      <w:r w:rsidR="1463F61F">
        <w:t>dditives</w:t>
      </w:r>
    </w:p>
    <w:p w14:paraId="63B5823D" w14:textId="77777777" w:rsidR="1463F61F" w:rsidRDefault="1463F61F" w:rsidP="5E1450C1">
      <w:r w:rsidRPr="5E1450C1">
        <w:rPr>
          <w:b/>
          <w:bCs/>
        </w:rPr>
        <w:t>Construction products not covered by other end uses</w:t>
      </w:r>
      <w:r>
        <w:t xml:space="preserve"> means an end use in construction materials, except where another scenario covers the end use. Examples include:</w:t>
      </w:r>
    </w:p>
    <w:p w14:paraId="455249D5" w14:textId="77777777" w:rsidR="1463F61F" w:rsidRDefault="1463F61F" w:rsidP="000A5B68">
      <w:pPr>
        <w:pStyle w:val="Bulletlist"/>
      </w:pPr>
      <w:r>
        <w:t>additives in cements and dry mortar</w:t>
      </w:r>
    </w:p>
    <w:p w14:paraId="00E74AE5" w14:textId="77777777" w:rsidR="1463F61F" w:rsidRDefault="1463F61F" w:rsidP="000A5B68">
      <w:pPr>
        <w:pStyle w:val="Bulletlist"/>
      </w:pPr>
      <w:r>
        <w:t>additives to bitumen for road repair</w:t>
      </w:r>
    </w:p>
    <w:p w14:paraId="4430F6DA" w14:textId="77777777" w:rsidR="1463F61F" w:rsidRDefault="1463F61F" w:rsidP="000A5B68">
      <w:pPr>
        <w:pStyle w:val="Bulletlist"/>
      </w:pPr>
      <w:r>
        <w:t>internal release agents for thermo-set laminating resins</w:t>
      </w:r>
    </w:p>
    <w:p w14:paraId="257AE3DD" w14:textId="77777777" w:rsidR="1463F61F" w:rsidRDefault="1463F61F" w:rsidP="000A5B68">
      <w:pPr>
        <w:pStyle w:val="Bulletlist"/>
      </w:pPr>
      <w:r>
        <w:t>resins in particle board manufacture</w:t>
      </w:r>
    </w:p>
    <w:p w14:paraId="76844BFB" w14:textId="77777777" w:rsidR="1463F61F" w:rsidRDefault="1463F61F" w:rsidP="000A5B68">
      <w:pPr>
        <w:pStyle w:val="Bulletlist"/>
      </w:pPr>
      <w:r>
        <w:t>wood substitutes used to make mouldings</w:t>
      </w:r>
    </w:p>
    <w:p w14:paraId="4C63CCF3" w14:textId="10035B38" w:rsidR="1463F61F" w:rsidRDefault="1463F61F" w:rsidP="000A5B68">
      <w:pPr>
        <w:pStyle w:val="Bulletlist"/>
      </w:pPr>
      <w:r>
        <w:t>resins used in the production of composite material</w:t>
      </w:r>
      <w:r w:rsidR="00F62433">
        <w:t>s</w:t>
      </w:r>
    </w:p>
    <w:p w14:paraId="2BBA6E5B" w14:textId="77777777" w:rsidR="3F460482" w:rsidRDefault="3F460482" w:rsidP="5E1450C1">
      <w:r w:rsidRPr="5E1450C1">
        <w:rPr>
          <w:b/>
          <w:bCs/>
        </w:rPr>
        <w:t>Fabric, textile and leather products not covered by other end uses</w:t>
      </w:r>
      <w:r>
        <w:t xml:space="preserve"> means an end use to impart colour and other desirable properties onto fabric, textiles, and leather products that are intended for consumer or commercial use. These properties include:</w:t>
      </w:r>
    </w:p>
    <w:p w14:paraId="2A285800" w14:textId="77777777" w:rsidR="3F460482" w:rsidRDefault="3F460482" w:rsidP="000A5B68">
      <w:pPr>
        <w:pStyle w:val="Bulletlist"/>
      </w:pPr>
      <w:r>
        <w:t>water/soil/stain repellence</w:t>
      </w:r>
    </w:p>
    <w:p w14:paraId="68C4C1A7" w14:textId="77777777" w:rsidR="3F460482" w:rsidRDefault="3F460482" w:rsidP="000A5B68">
      <w:pPr>
        <w:pStyle w:val="Bulletlist"/>
      </w:pPr>
      <w:r>
        <w:t>wrinkle resistance</w:t>
      </w:r>
    </w:p>
    <w:p w14:paraId="5F4612B6" w14:textId="77777777" w:rsidR="3F460482" w:rsidRDefault="3F460482" w:rsidP="000A5B68">
      <w:pPr>
        <w:pStyle w:val="Bulletlist"/>
      </w:pPr>
      <w:r>
        <w:t>flame resistance</w:t>
      </w:r>
    </w:p>
    <w:p w14:paraId="1E48B14D" w14:textId="77777777" w:rsidR="3F460482" w:rsidRDefault="3F460482" w:rsidP="5E1450C1">
      <w:r>
        <w:t>Examples of this type of product include:</w:t>
      </w:r>
    </w:p>
    <w:p w14:paraId="65C6A100" w14:textId="77777777" w:rsidR="3F460482" w:rsidRDefault="3F460482" w:rsidP="000A5B68">
      <w:pPr>
        <w:pStyle w:val="Bulletlist"/>
      </w:pPr>
      <w:r>
        <w:t>textile dyes</w:t>
      </w:r>
    </w:p>
    <w:p w14:paraId="101B6886" w14:textId="77777777" w:rsidR="3F460482" w:rsidRDefault="3F460482" w:rsidP="000A5B68">
      <w:pPr>
        <w:pStyle w:val="Bulletlist"/>
      </w:pPr>
      <w:r>
        <w:lastRenderedPageBreak/>
        <w:t>textile finishing agents</w:t>
      </w:r>
    </w:p>
    <w:p w14:paraId="0685A943" w14:textId="77777777" w:rsidR="3F460482" w:rsidRDefault="3F460482" w:rsidP="000A5B68">
      <w:pPr>
        <w:pStyle w:val="Bulletlist"/>
      </w:pPr>
      <w:r>
        <w:t>leather tanning products</w:t>
      </w:r>
    </w:p>
    <w:p w14:paraId="50BB14E1" w14:textId="77777777" w:rsidR="3F460482" w:rsidRDefault="3F460482" w:rsidP="000A5B68">
      <w:pPr>
        <w:pStyle w:val="Bulletlist"/>
      </w:pPr>
      <w:r>
        <w:t>leather dyes</w:t>
      </w:r>
    </w:p>
    <w:p w14:paraId="341CD5A7" w14:textId="77777777" w:rsidR="3F460482" w:rsidRDefault="3F460482" w:rsidP="000A5B68">
      <w:pPr>
        <w:pStyle w:val="Bulletlist"/>
      </w:pPr>
      <w:r>
        <w:t>leather finishing agents, leather conditioner and surface treatment products</w:t>
      </w:r>
    </w:p>
    <w:p w14:paraId="513D404F" w14:textId="77777777" w:rsidR="3F460482" w:rsidRDefault="3F460482" w:rsidP="5E1450C1">
      <w:r w:rsidRPr="5E1450C1">
        <w:rPr>
          <w:b/>
          <w:bCs/>
        </w:rPr>
        <w:t>Electronic products</w:t>
      </w:r>
      <w:r>
        <w:t xml:space="preserve"> </w:t>
      </w:r>
      <w:proofErr w:type="gramStart"/>
      <w:r>
        <w:t>means</w:t>
      </w:r>
      <w:proofErr w:type="gramEnd"/>
      <w:r>
        <w:t xml:space="preserve"> an end use in the production of electronic components. Examples include:</w:t>
      </w:r>
    </w:p>
    <w:p w14:paraId="35D8EBF8" w14:textId="77777777" w:rsidR="3F460482" w:rsidRDefault="3F460482" w:rsidP="000A5B68">
      <w:pPr>
        <w:pStyle w:val="Bulletlist"/>
      </w:pPr>
      <w:r>
        <w:t>chemicals in vapour deposition</w:t>
      </w:r>
    </w:p>
    <w:p w14:paraId="5DE157B1" w14:textId="77777777" w:rsidR="3F460482" w:rsidRDefault="3F460482" w:rsidP="000A5B68">
      <w:pPr>
        <w:pStyle w:val="Bulletlist"/>
      </w:pPr>
      <w:r>
        <w:t>electroless plating</w:t>
      </w:r>
    </w:p>
    <w:p w14:paraId="28EE0FE6" w14:textId="77777777" w:rsidR="3F460482" w:rsidRDefault="3F460482" w:rsidP="000A5B68">
      <w:pPr>
        <w:pStyle w:val="Bulletlist"/>
      </w:pPr>
      <w:r>
        <w:t>electroplating</w:t>
      </w:r>
    </w:p>
    <w:p w14:paraId="4FE4A1ED" w14:textId="77777777" w:rsidR="3F460482" w:rsidRDefault="3F460482" w:rsidP="000A5B68">
      <w:pPr>
        <w:pStyle w:val="Bulletlist"/>
      </w:pPr>
      <w:r>
        <w:t>etching</w:t>
      </w:r>
    </w:p>
    <w:p w14:paraId="1124E3DB" w14:textId="77777777" w:rsidR="3F460482" w:rsidRDefault="3F460482" w:rsidP="000A5B68">
      <w:pPr>
        <w:pStyle w:val="Bulletlist"/>
      </w:pPr>
      <w:r>
        <w:t>high vacuum evaporation/sputtering</w:t>
      </w:r>
    </w:p>
    <w:p w14:paraId="4F460B78" w14:textId="77777777" w:rsidR="3F460482" w:rsidRDefault="3F460482" w:rsidP="000A5B68">
      <w:pPr>
        <w:pStyle w:val="Bulletlist"/>
      </w:pPr>
      <w:r>
        <w:t>laminate processing</w:t>
      </w:r>
    </w:p>
    <w:p w14:paraId="4D32DC4D" w14:textId="77777777" w:rsidR="3F460482" w:rsidRDefault="3F460482" w:rsidP="000A5B68">
      <w:pPr>
        <w:pStyle w:val="Bulletlist"/>
      </w:pPr>
      <w:r>
        <w:t>soldering</w:t>
      </w:r>
    </w:p>
    <w:p w14:paraId="333A4A6B" w14:textId="77777777" w:rsidR="35B351F7" w:rsidRDefault="001601B9" w:rsidP="000A5B68">
      <w:pPr>
        <w:pStyle w:val="Bulletlist"/>
      </w:pPr>
      <w:r>
        <w:t>p</w:t>
      </w:r>
      <w:r w:rsidR="3F460482">
        <w:t>hotolithography</w:t>
      </w:r>
    </w:p>
    <w:p w14:paraId="5E45B98B" w14:textId="77777777" w:rsidR="3F460482" w:rsidRDefault="3F460482" w:rsidP="5E1450C1">
      <w:r w:rsidRPr="5E1450C1">
        <w:rPr>
          <w:b/>
          <w:bCs/>
        </w:rPr>
        <w:t>Ink, toner and colourant products</w:t>
      </w:r>
      <w:r>
        <w:t xml:space="preserve"> </w:t>
      </w:r>
      <w:proofErr w:type="gramStart"/>
      <w:r>
        <w:t>means</w:t>
      </w:r>
      <w:proofErr w:type="gramEnd"/>
      <w:r>
        <w:t xml:space="preserve"> an end use for:</w:t>
      </w:r>
    </w:p>
    <w:p w14:paraId="33EBFF0F" w14:textId="77777777" w:rsidR="3F460482" w:rsidRDefault="3F460482" w:rsidP="000A5B68">
      <w:pPr>
        <w:pStyle w:val="Bulletlist"/>
      </w:pPr>
      <w:r>
        <w:t>writing</w:t>
      </w:r>
    </w:p>
    <w:p w14:paraId="7FA4BC0F" w14:textId="77777777" w:rsidR="3F460482" w:rsidRDefault="3F460482" w:rsidP="000A5B68">
      <w:pPr>
        <w:pStyle w:val="Bulletlist"/>
      </w:pPr>
      <w:r>
        <w:t>printing</w:t>
      </w:r>
    </w:p>
    <w:p w14:paraId="6DCF94F1" w14:textId="77777777" w:rsidR="3F460482" w:rsidRDefault="3F460482" w:rsidP="000A5B68">
      <w:pPr>
        <w:pStyle w:val="Bulletlist"/>
      </w:pPr>
      <w:r>
        <w:t>creating an image on paper and other substrates</w:t>
      </w:r>
    </w:p>
    <w:p w14:paraId="4F91C761" w14:textId="77777777" w:rsidR="3F460482" w:rsidRDefault="3F460482" w:rsidP="000A5B68">
      <w:pPr>
        <w:pStyle w:val="Bulletlist"/>
      </w:pPr>
      <w:r>
        <w:t>applying to substrates to change their colour or hide images</w:t>
      </w:r>
    </w:p>
    <w:p w14:paraId="269AA862" w14:textId="77777777" w:rsidR="3F460482" w:rsidRDefault="3F460482" w:rsidP="5E1450C1">
      <w:r>
        <w:t>Examples of this type of product include:</w:t>
      </w:r>
    </w:p>
    <w:p w14:paraId="163A90C5" w14:textId="77777777" w:rsidR="3F460482" w:rsidRDefault="3F460482" w:rsidP="000A5B68">
      <w:pPr>
        <w:pStyle w:val="Bulletlist"/>
      </w:pPr>
      <w:r>
        <w:t>pigmented liquid</w:t>
      </w:r>
    </w:p>
    <w:p w14:paraId="5FD08EE3" w14:textId="77777777" w:rsidR="3F460482" w:rsidRDefault="3F460482" w:rsidP="000A5B68">
      <w:pPr>
        <w:pStyle w:val="Bulletlist"/>
      </w:pPr>
      <w:r>
        <w:t>toners or powders used in copy machines and toner/printer cartridges</w:t>
      </w:r>
    </w:p>
    <w:p w14:paraId="5F067294" w14:textId="77777777" w:rsidR="3F460482" w:rsidRDefault="3F460482" w:rsidP="000A5B68">
      <w:pPr>
        <w:pStyle w:val="Bulletlist"/>
      </w:pPr>
      <w:r>
        <w:t>inks used in writing equipment</w:t>
      </w:r>
    </w:p>
    <w:p w14:paraId="156688FC" w14:textId="77777777" w:rsidR="3F460482" w:rsidRDefault="3F460482" w:rsidP="000A5B68">
      <w:pPr>
        <w:pStyle w:val="Bulletlist"/>
      </w:pPr>
      <w:r>
        <w:t>inks for stamps and correction fluids and tapes</w:t>
      </w:r>
    </w:p>
    <w:p w14:paraId="19A1F0A2" w14:textId="77777777" w:rsidR="3F460482" w:rsidRDefault="3F460482" w:rsidP="5E1450C1">
      <w:r>
        <w:t xml:space="preserve">This category does </w:t>
      </w:r>
      <w:r w:rsidRPr="5E1450C1">
        <w:rPr>
          <w:b/>
          <w:bCs/>
        </w:rPr>
        <w:t>not</w:t>
      </w:r>
      <w:r>
        <w:t xml:space="preserve"> include pigments and colourants added to paints and coatings</w:t>
      </w:r>
      <w:r w:rsidR="4ED30322">
        <w:t>.</w:t>
      </w:r>
    </w:p>
    <w:p w14:paraId="74993C75" w14:textId="77777777" w:rsidR="3F460482" w:rsidRDefault="3F460482" w:rsidP="5E1450C1">
      <w:r w:rsidRPr="5E1450C1">
        <w:rPr>
          <w:b/>
          <w:bCs/>
        </w:rPr>
        <w:t>Air care products</w:t>
      </w:r>
      <w:r>
        <w:t xml:space="preserve"> </w:t>
      </w:r>
      <w:proofErr w:type="gramStart"/>
      <w:r>
        <w:t>means</w:t>
      </w:r>
      <w:proofErr w:type="gramEnd"/>
      <w:r>
        <w:t xml:space="preserve"> an end use to odorise or deodorise indoor air in homes, offices, motor vehicles, and enclosed spaces and intended for consumer or commercial use. Examples include:</w:t>
      </w:r>
    </w:p>
    <w:p w14:paraId="35B14AE4" w14:textId="77777777" w:rsidR="3F460482" w:rsidRDefault="3F460482" w:rsidP="000A5B68">
      <w:pPr>
        <w:pStyle w:val="Bulletlist"/>
      </w:pPr>
      <w:r>
        <w:t>aerosol sprays</w:t>
      </w:r>
    </w:p>
    <w:p w14:paraId="6D92E65D" w14:textId="77777777" w:rsidR="7615D6D3" w:rsidRDefault="7615D6D3" w:rsidP="000A5B68">
      <w:pPr>
        <w:pStyle w:val="Bulletlist"/>
      </w:pPr>
      <w:r>
        <w:t>liquid/solid/gel diffusers</w:t>
      </w:r>
    </w:p>
    <w:p w14:paraId="379C8050" w14:textId="77777777" w:rsidR="7615D6D3" w:rsidRDefault="7615D6D3" w:rsidP="000A5B68">
      <w:pPr>
        <w:pStyle w:val="Bulletlist"/>
      </w:pPr>
      <w:r w:rsidRPr="5E1450C1">
        <w:t>air fresheners</w:t>
      </w:r>
    </w:p>
    <w:p w14:paraId="09F340BA" w14:textId="77777777" w:rsidR="7615D6D3" w:rsidRDefault="7615D6D3" w:rsidP="000A5B68">
      <w:pPr>
        <w:pStyle w:val="Bulletlist"/>
      </w:pPr>
      <w:r w:rsidRPr="5E1450C1">
        <w:t>scented candles</w:t>
      </w:r>
    </w:p>
    <w:p w14:paraId="5406D3DF" w14:textId="0DE8858D" w:rsidR="7963E516" w:rsidRDefault="00F62433" w:rsidP="000A5B68">
      <w:pPr>
        <w:pStyle w:val="Bulletlist"/>
      </w:pPr>
      <w:r>
        <w:t>i</w:t>
      </w:r>
      <w:r w:rsidR="7615D6D3" w:rsidRPr="5E1450C1">
        <w:t>ncense</w:t>
      </w:r>
    </w:p>
    <w:p w14:paraId="24FAE39C" w14:textId="77777777" w:rsidR="00FF4171" w:rsidRDefault="70D345B6" w:rsidP="00FF4171">
      <w:r w:rsidRPr="5E1450C1">
        <w:rPr>
          <w:b/>
          <w:bCs/>
        </w:rPr>
        <w:t>Anti-freeze and de-icing products</w:t>
      </w:r>
      <w:r w:rsidRPr="5E1450C1">
        <w:t xml:space="preserve"> </w:t>
      </w:r>
      <w:proofErr w:type="gramStart"/>
      <w:r w:rsidRPr="5E1450C1">
        <w:t>means</w:t>
      </w:r>
      <w:proofErr w:type="gramEnd"/>
      <w:r w:rsidRPr="5E1450C1">
        <w:t xml:space="preserve"> an end use:</w:t>
      </w:r>
    </w:p>
    <w:p w14:paraId="47FAAA18" w14:textId="77777777" w:rsidR="70D345B6" w:rsidRDefault="70D345B6" w:rsidP="000A5B68">
      <w:pPr>
        <w:pStyle w:val="Bulletlist"/>
      </w:pPr>
      <w:r w:rsidRPr="5E1450C1">
        <w:t>as an additive to fluids, especially water, to reduce the freezing point of the mixture, or</w:t>
      </w:r>
    </w:p>
    <w:p w14:paraId="765C2D10" w14:textId="77777777" w:rsidR="5E1450C1" w:rsidRDefault="70D345B6" w:rsidP="000A5B68">
      <w:pPr>
        <w:pStyle w:val="Bulletlist"/>
      </w:pPr>
      <w:r w:rsidRPr="5E1450C1">
        <w:t>applied to surfaces to melt or prevent build-up of ice</w:t>
      </w:r>
    </w:p>
    <w:p w14:paraId="4939B08E" w14:textId="77777777" w:rsidR="70D345B6" w:rsidRDefault="70D345B6" w:rsidP="5E1450C1">
      <w:r w:rsidRPr="5E1450C1">
        <w:t>Examples of this type of product include:</w:t>
      </w:r>
    </w:p>
    <w:p w14:paraId="4537073C" w14:textId="77777777" w:rsidR="70D345B6" w:rsidRDefault="70D345B6" w:rsidP="000A5B68">
      <w:pPr>
        <w:pStyle w:val="Bulletlist"/>
      </w:pPr>
      <w:r w:rsidRPr="5E1450C1">
        <w:t>anti-freeze liquids</w:t>
      </w:r>
    </w:p>
    <w:p w14:paraId="6B1D65DB" w14:textId="77777777" w:rsidR="70D345B6" w:rsidRDefault="70D345B6" w:rsidP="000A5B68">
      <w:pPr>
        <w:pStyle w:val="Bulletlist"/>
      </w:pPr>
      <w:r w:rsidRPr="5E1450C1">
        <w:t>de-icing liquids (windshield de-icers, aircraft de-icers)</w:t>
      </w:r>
    </w:p>
    <w:p w14:paraId="61D97353" w14:textId="77777777" w:rsidR="70D345B6" w:rsidRDefault="70D345B6" w:rsidP="000A5B68">
      <w:pPr>
        <w:pStyle w:val="Bulletlist"/>
      </w:pPr>
      <w:r w:rsidRPr="5E1450C1">
        <w:t>de-icing solids (ice melting crystals)</w:t>
      </w:r>
    </w:p>
    <w:p w14:paraId="6E2A1F3A" w14:textId="77777777" w:rsidR="70D345B6" w:rsidRDefault="70D345B6" w:rsidP="000A5B68">
      <w:pPr>
        <w:pStyle w:val="Bulletlist"/>
      </w:pPr>
      <w:r w:rsidRPr="5E1450C1">
        <w:t>lock de-icers</w:t>
      </w:r>
    </w:p>
    <w:p w14:paraId="60FCD95F" w14:textId="77777777" w:rsidR="70D345B6" w:rsidRDefault="70D345B6" w:rsidP="5E1450C1">
      <w:r w:rsidRPr="5E1450C1">
        <w:rPr>
          <w:b/>
          <w:bCs/>
        </w:rPr>
        <w:t xml:space="preserve">Automotive care products </w:t>
      </w:r>
      <w:proofErr w:type="gramStart"/>
      <w:r w:rsidRPr="5E1450C1">
        <w:t>means</w:t>
      </w:r>
      <w:proofErr w:type="gramEnd"/>
      <w:r w:rsidRPr="5E1450C1">
        <w:t xml:space="preserve"> an end use (intended for consumer or commercial use) to clean and care for exterior and interior surfaces of automotive vehicles. Examples include:</w:t>
      </w:r>
    </w:p>
    <w:p w14:paraId="5F2C0187" w14:textId="77777777" w:rsidR="70D345B6" w:rsidRDefault="70D345B6" w:rsidP="000A5B68">
      <w:pPr>
        <w:pStyle w:val="Bulletlist"/>
      </w:pPr>
      <w:r w:rsidRPr="5E1450C1">
        <w:lastRenderedPageBreak/>
        <w:t>car waxes</w:t>
      </w:r>
    </w:p>
    <w:p w14:paraId="36438716" w14:textId="77777777" w:rsidR="70D345B6" w:rsidRDefault="70D345B6" w:rsidP="000A5B68">
      <w:pPr>
        <w:pStyle w:val="Bulletlist"/>
      </w:pPr>
      <w:r w:rsidRPr="5E1450C1">
        <w:t>polishes</w:t>
      </w:r>
    </w:p>
    <w:p w14:paraId="57A2382C" w14:textId="77777777" w:rsidR="70D345B6" w:rsidRDefault="70D345B6" w:rsidP="000A5B68">
      <w:pPr>
        <w:pStyle w:val="Bulletlist"/>
      </w:pPr>
      <w:r w:rsidRPr="5E1450C1">
        <w:t>waterproofing products for windshield or automotive window glass</w:t>
      </w:r>
    </w:p>
    <w:p w14:paraId="0551E061" w14:textId="77777777" w:rsidR="70D345B6" w:rsidRDefault="70D345B6" w:rsidP="000A5B68">
      <w:pPr>
        <w:pStyle w:val="Bulletlist"/>
      </w:pPr>
      <w:r w:rsidRPr="5E1450C1">
        <w:t>cleaners</w:t>
      </w:r>
    </w:p>
    <w:p w14:paraId="3119AE66" w14:textId="77777777" w:rsidR="70D345B6" w:rsidRDefault="70D345B6" w:rsidP="000A5B68">
      <w:pPr>
        <w:pStyle w:val="Bulletlist"/>
      </w:pPr>
      <w:r w:rsidRPr="5E1450C1">
        <w:t>sealers</w:t>
      </w:r>
    </w:p>
    <w:p w14:paraId="41444BA2" w14:textId="77777777" w:rsidR="70D345B6" w:rsidRDefault="70D345B6" w:rsidP="000A5B68">
      <w:pPr>
        <w:pStyle w:val="Bulletlist"/>
      </w:pPr>
      <w:r w:rsidRPr="5E1450C1">
        <w:t>car wash solutions</w:t>
      </w:r>
    </w:p>
    <w:p w14:paraId="741651C0" w14:textId="77777777" w:rsidR="70D345B6" w:rsidRDefault="70D345B6" w:rsidP="000A5B68">
      <w:pPr>
        <w:pStyle w:val="Bulletlist"/>
      </w:pPr>
      <w:r w:rsidRPr="5E1450C1">
        <w:t>vinyl/rubber/plastic protectants</w:t>
      </w:r>
    </w:p>
    <w:p w14:paraId="174B3308" w14:textId="77777777" w:rsidR="70D345B6" w:rsidRDefault="70D345B6" w:rsidP="000A5B68">
      <w:pPr>
        <w:pStyle w:val="Bulletlist"/>
      </w:pPr>
      <w:r w:rsidRPr="5E1450C1">
        <w:t>automotive carpet and upholstery cleaners</w:t>
      </w:r>
    </w:p>
    <w:p w14:paraId="3AF16C2F" w14:textId="77777777" w:rsidR="70D345B6" w:rsidRDefault="70D345B6" w:rsidP="000A5B68">
      <w:pPr>
        <w:pStyle w:val="Bulletlist"/>
      </w:pPr>
      <w:r w:rsidRPr="5E1450C1">
        <w:t>wheel and tyre care products</w:t>
      </w:r>
    </w:p>
    <w:p w14:paraId="5AD01C57" w14:textId="77777777" w:rsidR="70D345B6" w:rsidRDefault="70D345B6" w:rsidP="000A5B68">
      <w:pPr>
        <w:pStyle w:val="Bulletlist"/>
      </w:pPr>
      <w:r w:rsidRPr="5E1450C1">
        <w:t>exterior trim protectants</w:t>
      </w:r>
    </w:p>
    <w:p w14:paraId="7CDC2A91" w14:textId="77777777" w:rsidR="70D345B6" w:rsidRDefault="70D345B6" w:rsidP="000A5B68">
      <w:pPr>
        <w:pStyle w:val="Bulletlist"/>
      </w:pPr>
      <w:r w:rsidRPr="5E1450C1">
        <w:t>touch-up paint products</w:t>
      </w:r>
    </w:p>
    <w:p w14:paraId="2559EB46" w14:textId="77777777" w:rsidR="70D345B6" w:rsidRDefault="70D345B6" w:rsidP="5E1450C1">
      <w:r w:rsidRPr="5E1450C1">
        <w:rPr>
          <w:b/>
          <w:bCs/>
        </w:rPr>
        <w:t>Cleaning and furniture care products</w:t>
      </w:r>
      <w:r w:rsidRPr="5E1450C1">
        <w:t xml:space="preserve"> means an end use (intended for consumer or commercial use) to:</w:t>
      </w:r>
    </w:p>
    <w:p w14:paraId="05A393CE" w14:textId="77777777" w:rsidR="70D345B6" w:rsidRDefault="70D345B6" w:rsidP="000A5B68">
      <w:pPr>
        <w:pStyle w:val="Bulletlist"/>
      </w:pPr>
      <w:r w:rsidRPr="5E1450C1">
        <w:t>remove dirt, grease, stains, and foreign matter from furniture and furnishings</w:t>
      </w:r>
    </w:p>
    <w:p w14:paraId="6F6A023A" w14:textId="77777777" w:rsidR="70D345B6" w:rsidRDefault="70D345B6" w:rsidP="000A5B68">
      <w:pPr>
        <w:pStyle w:val="Bulletlist"/>
      </w:pPr>
      <w:r w:rsidRPr="5E1450C1">
        <w:t>cleanse, sanitise, bleach, scour, polish, protect, or improve the appearance of surfaces</w:t>
      </w:r>
    </w:p>
    <w:p w14:paraId="50E45458" w14:textId="77777777" w:rsidR="3A7E62B8" w:rsidRDefault="3A7E62B8" w:rsidP="5E1450C1">
      <w:r>
        <w:t>Examples include:</w:t>
      </w:r>
    </w:p>
    <w:p w14:paraId="628495C0" w14:textId="77777777" w:rsidR="3A7E62B8" w:rsidRDefault="3A7E62B8" w:rsidP="000A5B68">
      <w:pPr>
        <w:pStyle w:val="Bulletlist"/>
      </w:pPr>
      <w:r>
        <w:t>cleaners used on glass, floors, tub and tile, ovens and drains</w:t>
      </w:r>
    </w:p>
    <w:p w14:paraId="1371C22A" w14:textId="77777777" w:rsidR="3A7E62B8" w:rsidRDefault="3A7E62B8" w:rsidP="000A5B68">
      <w:pPr>
        <w:pStyle w:val="Bulletlist"/>
      </w:pPr>
      <w:r>
        <w:t>scouring powders</w:t>
      </w:r>
    </w:p>
    <w:p w14:paraId="0E328FD1" w14:textId="77777777" w:rsidR="3A7E62B8" w:rsidRDefault="3A7E62B8" w:rsidP="000A5B68">
      <w:pPr>
        <w:pStyle w:val="Bulletlist"/>
      </w:pPr>
      <w:r>
        <w:t>dusting products</w:t>
      </w:r>
    </w:p>
    <w:p w14:paraId="44C3EE23" w14:textId="77777777" w:rsidR="3A7E62B8" w:rsidRDefault="3A7E62B8" w:rsidP="000A5B68">
      <w:pPr>
        <w:pStyle w:val="Bulletlist"/>
      </w:pPr>
      <w:r>
        <w:t>waxes</w:t>
      </w:r>
    </w:p>
    <w:p w14:paraId="2B938ACF" w14:textId="77777777" w:rsidR="3A7E62B8" w:rsidRDefault="3A7E62B8" w:rsidP="000A5B68">
      <w:pPr>
        <w:pStyle w:val="Bulletlist"/>
      </w:pPr>
      <w:r>
        <w:t>polishes</w:t>
      </w:r>
    </w:p>
    <w:p w14:paraId="5640F5B9" w14:textId="77777777" w:rsidR="3A7E62B8" w:rsidRDefault="3A7E62B8" w:rsidP="000A5B68">
      <w:pPr>
        <w:pStyle w:val="Bulletlist"/>
      </w:pPr>
      <w:r>
        <w:t>stain repellent sprays</w:t>
      </w:r>
    </w:p>
    <w:p w14:paraId="151FA1D6" w14:textId="77777777" w:rsidR="378A65F6" w:rsidRDefault="378A65F6" w:rsidP="5E1450C1">
      <w:r w:rsidRPr="5E1450C1">
        <w:rPr>
          <w:b/>
          <w:bCs/>
        </w:rPr>
        <w:t>Laundry and dishwashing products</w:t>
      </w:r>
      <w:r>
        <w:t xml:space="preserve"> </w:t>
      </w:r>
      <w:proofErr w:type="gramStart"/>
      <w:r>
        <w:t>means</w:t>
      </w:r>
      <w:proofErr w:type="gramEnd"/>
      <w:r>
        <w:t xml:space="preserve"> an end use in liquid, granular, gel or unit dose packets/tablets to:</w:t>
      </w:r>
    </w:p>
    <w:p w14:paraId="79904A3B" w14:textId="77777777" w:rsidR="378A65F6" w:rsidRDefault="378A65F6" w:rsidP="000A5B68">
      <w:pPr>
        <w:pStyle w:val="Bulletlist"/>
      </w:pPr>
      <w:r>
        <w:t>remove food residue from dishes</w:t>
      </w:r>
    </w:p>
    <w:p w14:paraId="2F7CC22E" w14:textId="77777777" w:rsidR="378A65F6" w:rsidRDefault="378A65F6" w:rsidP="000A5B68">
      <w:pPr>
        <w:pStyle w:val="Bulletlist"/>
      </w:pPr>
      <w:r>
        <w:t>remove dirt from textiles</w:t>
      </w:r>
    </w:p>
    <w:p w14:paraId="60322538" w14:textId="77777777" w:rsidR="378A65F6" w:rsidRDefault="378A65F6" w:rsidP="000A5B68">
      <w:pPr>
        <w:pStyle w:val="Bulletlist"/>
      </w:pPr>
      <w:r>
        <w:t>enhance properties of textiles</w:t>
      </w:r>
    </w:p>
    <w:p w14:paraId="7ECAAC42" w14:textId="77777777" w:rsidR="378A65F6" w:rsidRDefault="378A65F6" w:rsidP="000A5B68">
      <w:pPr>
        <w:pStyle w:val="Bulletlist"/>
      </w:pPr>
      <w:r>
        <w:t>remove stains from textiles</w:t>
      </w:r>
    </w:p>
    <w:p w14:paraId="403F54CA" w14:textId="77777777" w:rsidR="378A65F6" w:rsidRDefault="378A65F6" w:rsidP="5E1450C1">
      <w:r>
        <w:t>Examples include:</w:t>
      </w:r>
    </w:p>
    <w:p w14:paraId="58A4AA1D" w14:textId="77777777" w:rsidR="378A65F6" w:rsidRDefault="378A65F6" w:rsidP="000A5B68">
      <w:pPr>
        <w:pStyle w:val="Bulletlist"/>
      </w:pPr>
      <w:r>
        <w:t>dishwashing detergents and laundry detergents</w:t>
      </w:r>
    </w:p>
    <w:p w14:paraId="401F077B" w14:textId="77777777" w:rsidR="378A65F6" w:rsidRDefault="378A65F6" w:rsidP="000A5B68">
      <w:pPr>
        <w:pStyle w:val="Bulletlist"/>
      </w:pPr>
      <w:r>
        <w:t>stain removers and fabric enhancers</w:t>
      </w:r>
    </w:p>
    <w:p w14:paraId="016ED793" w14:textId="77777777" w:rsidR="378A65F6" w:rsidRDefault="378A65F6" w:rsidP="000A5B68">
      <w:pPr>
        <w:pStyle w:val="Bulletlist"/>
      </w:pPr>
      <w:r>
        <w:t>bleach</w:t>
      </w:r>
    </w:p>
    <w:p w14:paraId="1450C65F" w14:textId="77777777" w:rsidR="378A65F6" w:rsidRDefault="378A65F6" w:rsidP="000A5B68">
      <w:pPr>
        <w:pStyle w:val="Bulletlist"/>
      </w:pPr>
      <w:r>
        <w:t>rinse aids</w:t>
      </w:r>
    </w:p>
    <w:p w14:paraId="79D6E52E" w14:textId="77777777" w:rsidR="378A65F6" w:rsidRDefault="378A65F6" w:rsidP="000A5B68">
      <w:pPr>
        <w:pStyle w:val="Bulletlist"/>
      </w:pPr>
      <w:r>
        <w:t>lime and rust removers</w:t>
      </w:r>
    </w:p>
    <w:p w14:paraId="442303AB" w14:textId="77777777" w:rsidR="378A65F6" w:rsidRDefault="378A65F6" w:rsidP="000A5B68">
      <w:pPr>
        <w:pStyle w:val="Bulletlist"/>
      </w:pPr>
      <w:r>
        <w:t>dry cleaning products used in non-aqueous cleaning processes</w:t>
      </w:r>
    </w:p>
    <w:p w14:paraId="0E509336" w14:textId="77777777" w:rsidR="378A65F6" w:rsidRDefault="378A65F6" w:rsidP="5E1450C1">
      <w:r w:rsidRPr="5E1450C1">
        <w:rPr>
          <w:b/>
          <w:bCs/>
        </w:rPr>
        <w:t xml:space="preserve">Extractive products not covered by other end uses </w:t>
      </w:r>
      <w:r>
        <w:t>means an end use in:</w:t>
      </w:r>
    </w:p>
    <w:p w14:paraId="442C3B29" w14:textId="77777777" w:rsidR="378A65F6" w:rsidRDefault="378A65F6" w:rsidP="000A5B68">
      <w:pPr>
        <w:pStyle w:val="Bulletlist"/>
      </w:pPr>
      <w:r>
        <w:t>mining</w:t>
      </w:r>
    </w:p>
    <w:p w14:paraId="6FE664BD" w14:textId="77777777" w:rsidR="378A65F6" w:rsidRDefault="378A65F6" w:rsidP="000A5B68">
      <w:pPr>
        <w:pStyle w:val="Bulletlist"/>
      </w:pPr>
      <w:r>
        <w:t>onshore drilling</w:t>
      </w:r>
    </w:p>
    <w:p w14:paraId="74B3A67C" w14:textId="77777777" w:rsidR="378A65F6" w:rsidRDefault="378A65F6" w:rsidP="000A5B68">
      <w:pPr>
        <w:pStyle w:val="Bulletlist"/>
      </w:pPr>
      <w:r>
        <w:t>related activities such as extraction, cementing, hydraulic fracturing, refining</w:t>
      </w:r>
    </w:p>
    <w:p w14:paraId="2B06DEC1" w14:textId="77777777" w:rsidR="378A65F6" w:rsidRDefault="378A65F6" w:rsidP="5E1450C1">
      <w:r>
        <w:t xml:space="preserve">These scenarios do </w:t>
      </w:r>
      <w:r w:rsidRPr="5E1450C1">
        <w:rPr>
          <w:b/>
          <w:bCs/>
        </w:rPr>
        <w:t>not</w:t>
      </w:r>
      <w:r>
        <w:t xml:space="preserve"> include end use in offshore drilling. This end use is a </w:t>
      </w:r>
      <w:r w:rsidRPr="00FF4171">
        <w:rPr>
          <w:i/>
          <w:iCs/>
        </w:rPr>
        <w:t>designated kind of release into the environment</w:t>
      </w:r>
      <w:r>
        <w:t xml:space="preserve"> (for which you do </w:t>
      </w:r>
      <w:r w:rsidRPr="5E1450C1">
        <w:rPr>
          <w:b/>
          <w:bCs/>
        </w:rPr>
        <w:t>not</w:t>
      </w:r>
      <w:r>
        <w:t xml:space="preserve"> calculate an ECV).</w:t>
      </w:r>
    </w:p>
    <w:p w14:paraId="419C67C2" w14:textId="77777777" w:rsidR="378A65F6" w:rsidRDefault="378A65F6" w:rsidP="5E1450C1">
      <w:r w:rsidRPr="5E1450C1">
        <w:rPr>
          <w:b/>
          <w:bCs/>
        </w:rPr>
        <w:t xml:space="preserve">Paper products </w:t>
      </w:r>
      <w:proofErr w:type="gramStart"/>
      <w:r>
        <w:t>means</w:t>
      </w:r>
      <w:proofErr w:type="gramEnd"/>
      <w:r>
        <w:t xml:space="preserve"> an end use in paper production. Examples include:</w:t>
      </w:r>
    </w:p>
    <w:p w14:paraId="2845488E" w14:textId="77777777" w:rsidR="378A65F6" w:rsidRDefault="378A65F6" w:rsidP="000A5B68">
      <w:pPr>
        <w:pStyle w:val="Bulletlist"/>
      </w:pPr>
      <w:r>
        <w:t>effluent treatment chemicals</w:t>
      </w:r>
    </w:p>
    <w:p w14:paraId="04FD4994" w14:textId="77777777" w:rsidR="378A65F6" w:rsidRDefault="378A65F6" w:rsidP="000A5B68">
      <w:pPr>
        <w:pStyle w:val="Bulletlist"/>
      </w:pPr>
      <w:r>
        <w:t>maintenance chemicals</w:t>
      </w:r>
    </w:p>
    <w:p w14:paraId="03FC6C04" w14:textId="77777777" w:rsidR="378A65F6" w:rsidRDefault="378A65F6" w:rsidP="000A5B68">
      <w:pPr>
        <w:pStyle w:val="Bulletlist"/>
      </w:pPr>
      <w:r>
        <w:lastRenderedPageBreak/>
        <w:t>deposit and cleaning agents</w:t>
      </w:r>
    </w:p>
    <w:p w14:paraId="05C8803E" w14:textId="77777777" w:rsidR="378A65F6" w:rsidRDefault="378A65F6" w:rsidP="000A5B68">
      <w:pPr>
        <w:pStyle w:val="Bulletlist"/>
      </w:pPr>
      <w:r>
        <w:t>defoamers</w:t>
      </w:r>
    </w:p>
    <w:p w14:paraId="77EC7322" w14:textId="77777777" w:rsidR="378A65F6" w:rsidRDefault="378A65F6" w:rsidP="000A5B68">
      <w:pPr>
        <w:pStyle w:val="Bulletlist"/>
      </w:pPr>
      <w:r>
        <w:t>surfactants</w:t>
      </w:r>
    </w:p>
    <w:p w14:paraId="4509CA6D" w14:textId="77777777" w:rsidR="378A65F6" w:rsidRDefault="378A65F6" w:rsidP="000A5B68">
      <w:pPr>
        <w:pStyle w:val="Bulletlist"/>
      </w:pPr>
      <w:r>
        <w:t>polymeric retention aids</w:t>
      </w:r>
    </w:p>
    <w:p w14:paraId="23A780CE" w14:textId="77777777" w:rsidR="378A65F6" w:rsidRDefault="378A65F6" w:rsidP="000A5B68">
      <w:pPr>
        <w:pStyle w:val="Bulletlist"/>
      </w:pPr>
      <w:r>
        <w:t>coagulants</w:t>
      </w:r>
    </w:p>
    <w:p w14:paraId="6C052411" w14:textId="77777777" w:rsidR="378A65F6" w:rsidRDefault="378A65F6" w:rsidP="000A5B68">
      <w:pPr>
        <w:pStyle w:val="Bulletlist"/>
      </w:pPr>
      <w:r>
        <w:t>clay</w:t>
      </w:r>
    </w:p>
    <w:p w14:paraId="1C459A16" w14:textId="77777777" w:rsidR="36606268" w:rsidRDefault="00051FE0" w:rsidP="000A5B68">
      <w:pPr>
        <w:pStyle w:val="Bulletlist"/>
      </w:pPr>
      <w:r>
        <w:t>r</w:t>
      </w:r>
      <w:r w:rsidR="378A65F6">
        <w:t>esins</w:t>
      </w:r>
    </w:p>
    <w:p w14:paraId="353505D9" w14:textId="77777777" w:rsidR="378A65F6" w:rsidRDefault="378A65F6" w:rsidP="5E1450C1">
      <w:r w:rsidRPr="5E1450C1">
        <w:rPr>
          <w:b/>
          <w:bCs/>
        </w:rPr>
        <w:t>Personal care products not covered by other end uses</w:t>
      </w:r>
      <w:r>
        <w:t xml:space="preserve"> means an end use for cosmetic</w:t>
      </w:r>
      <w:r w:rsidR="00051FE0">
        <w:t xml:space="preserve"> </w:t>
      </w:r>
      <w:r>
        <w:t xml:space="preserve">use, except those covered under the “personal care products </w:t>
      </w:r>
      <w:r w:rsidR="00FE05D5">
        <w:t>–</w:t>
      </w:r>
      <w:r>
        <w:t xml:space="preserve"> limited environmental release end use” scenario. Examples include:</w:t>
      </w:r>
    </w:p>
    <w:p w14:paraId="4E2E3717" w14:textId="77777777" w:rsidR="378A65F6" w:rsidRDefault="378A65F6" w:rsidP="000A5B68">
      <w:pPr>
        <w:pStyle w:val="Bulletlist"/>
      </w:pPr>
      <w:r>
        <w:t>bath and shower products</w:t>
      </w:r>
    </w:p>
    <w:p w14:paraId="5E043E5A" w14:textId="77777777" w:rsidR="378A65F6" w:rsidRDefault="378A65F6" w:rsidP="000A5B68">
      <w:pPr>
        <w:pStyle w:val="Bulletlist"/>
      </w:pPr>
      <w:r>
        <w:t>make-up products</w:t>
      </w:r>
    </w:p>
    <w:p w14:paraId="63D8EA18" w14:textId="77777777" w:rsidR="378A65F6" w:rsidRDefault="378A65F6" w:rsidP="000A5B68">
      <w:pPr>
        <w:pStyle w:val="Bulletlist"/>
      </w:pPr>
      <w:r>
        <w:t>hair, oral and skin care products</w:t>
      </w:r>
    </w:p>
    <w:p w14:paraId="13998E09" w14:textId="77777777" w:rsidR="378A65F6" w:rsidRDefault="378A65F6" w:rsidP="000A5B68">
      <w:pPr>
        <w:pStyle w:val="Bulletlist"/>
      </w:pPr>
      <w:r>
        <w:t>secondary sunscreen products</w:t>
      </w:r>
    </w:p>
    <w:p w14:paraId="04EAB7A7" w14:textId="77777777" w:rsidR="378A65F6" w:rsidRDefault="378A65F6" w:rsidP="000A5B68">
      <w:pPr>
        <w:pStyle w:val="Bulletlist"/>
      </w:pPr>
      <w:r>
        <w:t>deodorants</w:t>
      </w:r>
    </w:p>
    <w:p w14:paraId="3B9446FA" w14:textId="77777777" w:rsidR="72534651" w:rsidRDefault="00FE05D5" w:rsidP="000A5B68">
      <w:pPr>
        <w:pStyle w:val="Bulletlist"/>
      </w:pPr>
      <w:r>
        <w:t>p</w:t>
      </w:r>
      <w:r w:rsidR="378A65F6">
        <w:t>erfumes</w:t>
      </w:r>
    </w:p>
    <w:p w14:paraId="4273BF55" w14:textId="77777777" w:rsidR="2447F740" w:rsidRDefault="2447F740" w:rsidP="5E1450C1">
      <w:r w:rsidRPr="5E1450C1">
        <w:rPr>
          <w:b/>
          <w:bCs/>
        </w:rPr>
        <w:t xml:space="preserve">Photographic products </w:t>
      </w:r>
      <w:proofErr w:type="gramStart"/>
      <w:r>
        <w:t>means</w:t>
      </w:r>
      <w:proofErr w:type="gramEnd"/>
      <w:r>
        <w:t xml:space="preserve"> an end use (for consumer or commercial use) to take photographic images, develop and process film, and make photographic prints. Examples include:</w:t>
      </w:r>
    </w:p>
    <w:p w14:paraId="6D8009E6" w14:textId="77777777" w:rsidR="2447F740" w:rsidRDefault="2447F740" w:rsidP="000A5B68">
      <w:pPr>
        <w:pStyle w:val="Bulletlist"/>
      </w:pPr>
      <w:r>
        <w:t>processing solutions (for developing, stopping, and fixing photos)</w:t>
      </w:r>
    </w:p>
    <w:p w14:paraId="6408BD94" w14:textId="77777777" w:rsidR="2447F740" w:rsidRDefault="2447F740" w:rsidP="000A5B68">
      <w:pPr>
        <w:pStyle w:val="Bulletlist"/>
      </w:pPr>
      <w:r>
        <w:t>chemicals used in the manufacture or processing of film or photographic paper</w:t>
      </w:r>
    </w:p>
    <w:p w14:paraId="3E5DCEE0" w14:textId="77777777" w:rsidR="2447F740" w:rsidRDefault="2447F740" w:rsidP="5E1450C1">
      <w:r w:rsidRPr="5E1450C1">
        <w:rPr>
          <w:b/>
          <w:bCs/>
        </w:rPr>
        <w:t>Water treatment products</w:t>
      </w:r>
      <w:r>
        <w:t xml:space="preserve"> </w:t>
      </w:r>
      <w:proofErr w:type="gramStart"/>
      <w:r>
        <w:t>means</w:t>
      </w:r>
      <w:proofErr w:type="gramEnd"/>
      <w:r>
        <w:t xml:space="preserve"> an end use to treat water in cooling and heating systems (including industrial heat-exchanger systems) and potable water supplies. Examples include:</w:t>
      </w:r>
    </w:p>
    <w:p w14:paraId="2FD647BC" w14:textId="77777777" w:rsidR="2447F740" w:rsidRDefault="2447F740" w:rsidP="000A5B68">
      <w:pPr>
        <w:pStyle w:val="Bulletlist"/>
      </w:pPr>
      <w:r>
        <w:t>chemicals used in pH buffers</w:t>
      </w:r>
    </w:p>
    <w:p w14:paraId="4A8AC167" w14:textId="77777777" w:rsidR="2447F740" w:rsidRDefault="2447F740" w:rsidP="000A5B68">
      <w:pPr>
        <w:pStyle w:val="Bulletlist"/>
      </w:pPr>
      <w:r>
        <w:t>scale and corrosion inhibitors</w:t>
      </w:r>
    </w:p>
    <w:p w14:paraId="482A588C" w14:textId="77777777" w:rsidR="2447F740" w:rsidRDefault="2447F740" w:rsidP="000A5B68">
      <w:pPr>
        <w:pStyle w:val="Bulletlist"/>
      </w:pPr>
      <w:r>
        <w:t>flocculating agents</w:t>
      </w:r>
    </w:p>
    <w:p w14:paraId="1B93BB51" w14:textId="77777777" w:rsidR="2447F740" w:rsidRDefault="2447F740" w:rsidP="000A5B68">
      <w:pPr>
        <w:pStyle w:val="Bulletlist"/>
      </w:pPr>
      <w:r>
        <w:t>ion exchange resins</w:t>
      </w:r>
    </w:p>
    <w:p w14:paraId="0D85DEB5" w14:textId="0D3D0CDB" w:rsidR="2447F740" w:rsidRDefault="2447F740" w:rsidP="5E1450C1">
      <w:r>
        <w:t>This scenario does not include end uses to treat municipal water supplies or other large</w:t>
      </w:r>
      <w:r w:rsidR="00F62433">
        <w:t>-</w:t>
      </w:r>
      <w:r>
        <w:t xml:space="preserve">scale water supplies for human or animal consumptions or irrigation. These end uses involve a </w:t>
      </w:r>
      <w:r w:rsidRPr="0035740D">
        <w:rPr>
          <w:i/>
          <w:iCs/>
        </w:rPr>
        <w:t>designated kind of release into the environment</w:t>
      </w:r>
      <w:r>
        <w:t xml:space="preserve"> in accordance with the IC General Rules (for which you do </w:t>
      </w:r>
      <w:r w:rsidRPr="0035740D">
        <w:rPr>
          <w:b/>
          <w:bCs/>
        </w:rPr>
        <w:t>not</w:t>
      </w:r>
      <w:r>
        <w:t xml:space="preserve"> calculate an environment categorisation volume).</w:t>
      </w:r>
    </w:p>
    <w:p w14:paraId="63BD75C8" w14:textId="77777777" w:rsidR="6432AD40" w:rsidRDefault="6432AD40" w:rsidP="5E1450C1">
      <w:pPr>
        <w:pStyle w:val="Heading3"/>
      </w:pPr>
      <w:r>
        <w:t>2.1.3</w:t>
      </w:r>
      <w:r w:rsidR="005B2524">
        <w:tab/>
      </w:r>
      <w:r>
        <w:t>Human health categorisation volume</w:t>
      </w:r>
    </w:p>
    <w:p w14:paraId="765C640D" w14:textId="77777777" w:rsidR="5E1450C1" w:rsidRDefault="6432AD40" w:rsidP="5E1450C1">
      <w:r>
        <w:t xml:space="preserve">You use the human health categorisation volume (HHCV) to determine the human health exposure band for your introduction. There are two methods for working out the HHCV. You can use either method, </w:t>
      </w:r>
      <w:proofErr w:type="gramStart"/>
      <w:r>
        <w:t>and</w:t>
      </w:r>
      <w:proofErr w:type="gramEnd"/>
      <w:r>
        <w:t xml:space="preserve"> you must keep records to demonstrate how you worked out your HHCV.</w:t>
      </w:r>
    </w:p>
    <w:p w14:paraId="5177443A" w14:textId="77777777" w:rsidR="6432AD40" w:rsidRDefault="6432AD40" w:rsidP="5E1450C1">
      <w:pPr>
        <w:pStyle w:val="Heading4"/>
      </w:pPr>
      <w:r>
        <w:t>Method 1</w:t>
      </w:r>
    </w:p>
    <w:p w14:paraId="67814880" w14:textId="77777777" w:rsidR="6432AD40" w:rsidRDefault="6432AD40" w:rsidP="5E1450C1">
      <w:r>
        <w:t xml:space="preserve">The HHCV is equal to the total volume of the industrial chemical that you will introduce in a registration year. It is the total introduction volume across all </w:t>
      </w:r>
      <w:proofErr w:type="gramStart"/>
      <w:r>
        <w:t>end</w:t>
      </w:r>
      <w:proofErr w:type="gramEnd"/>
      <w:r>
        <w:t xml:space="preserve"> uses.</w:t>
      </w:r>
    </w:p>
    <w:p w14:paraId="65C731C3" w14:textId="77777777" w:rsidR="6432AD40" w:rsidRDefault="6432AD40" w:rsidP="5E1450C1">
      <w:pPr>
        <w:pStyle w:val="Heading4"/>
      </w:pPr>
      <w:r>
        <w:t>Method 2</w:t>
      </w:r>
    </w:p>
    <w:p w14:paraId="25CCE8D2" w14:textId="77777777" w:rsidR="6432AD40" w:rsidRDefault="6432AD40" w:rsidP="5E1450C1">
      <w:r>
        <w:t xml:space="preserve">In this method, the HHCV is determined by multiplying introduction volumes by a default exposure reduction factor (ERF). The way you do this depends on whether you are introducing the industrial chemical for a single end use or multiple </w:t>
      </w:r>
      <w:proofErr w:type="gramStart"/>
      <w:r>
        <w:t>end</w:t>
      </w:r>
      <w:proofErr w:type="gramEnd"/>
      <w:r>
        <w:t xml:space="preserve"> uses.</w:t>
      </w:r>
    </w:p>
    <w:p w14:paraId="410C981B" w14:textId="77777777" w:rsidR="6432AD40" w:rsidRPr="00A02C7D" w:rsidRDefault="6432AD40" w:rsidP="5E1450C1">
      <w:pPr>
        <w:rPr>
          <w:b/>
          <w:bCs/>
          <w:i/>
          <w:iCs/>
        </w:rPr>
      </w:pPr>
      <w:r w:rsidRPr="00A02C7D">
        <w:rPr>
          <w:b/>
          <w:bCs/>
          <w:i/>
          <w:iCs/>
        </w:rPr>
        <w:lastRenderedPageBreak/>
        <w:t>Single end use scenario</w:t>
      </w:r>
    </w:p>
    <w:p w14:paraId="1B341928" w14:textId="77777777" w:rsidR="6432AD40" w:rsidRDefault="6432AD40" w:rsidP="5E1450C1">
      <w:r>
        <w:t xml:space="preserve">Where the industrial chemical will have a single end use scenario, the HHCV is calculated by multiplying the total introduction volume (IV) of the industrial chemical that you will introduce in a registration year by the default exposure reduction factor (ERF) relevant for the intended end use scenario (refer to Table 2). That is, </w:t>
      </w:r>
    </w:p>
    <w:p w14:paraId="38B5C2BD" w14:textId="77777777" w:rsidR="6432AD40" w:rsidRPr="000D2E39" w:rsidRDefault="6432AD40" w:rsidP="5E1450C1">
      <w:pPr>
        <w:rPr>
          <w:b/>
          <w:bCs/>
          <w:i/>
          <w:iCs/>
        </w:rPr>
      </w:pPr>
      <w:r w:rsidRPr="000D2E39">
        <w:rPr>
          <w:b/>
          <w:bCs/>
          <w:i/>
          <w:iCs/>
        </w:rPr>
        <w:t>Human health categorisation volume (HHCV) = total introduction volume (IV)</w:t>
      </w:r>
      <w:r w:rsidR="7119E724" w:rsidRPr="000D2E39">
        <w:rPr>
          <w:b/>
          <w:bCs/>
          <w:i/>
          <w:iCs/>
        </w:rPr>
        <w:t xml:space="preserve"> x exposure reducti</w:t>
      </w:r>
      <w:r w:rsidR="671969A8" w:rsidRPr="000D2E39">
        <w:rPr>
          <w:b/>
          <w:bCs/>
          <w:i/>
          <w:iCs/>
        </w:rPr>
        <w:t>on factor (ERF)</w:t>
      </w:r>
    </w:p>
    <w:p w14:paraId="2FFC90C5" w14:textId="77777777" w:rsidR="000280A4" w:rsidRPr="000D2E39" w:rsidRDefault="000280A4" w:rsidP="5E1450C1">
      <w:pPr>
        <w:rPr>
          <w:b/>
          <w:bCs/>
          <w:i/>
          <w:iCs/>
        </w:rPr>
      </w:pPr>
      <w:r w:rsidRPr="000D2E39">
        <w:rPr>
          <w:b/>
          <w:bCs/>
          <w:i/>
          <w:iCs/>
        </w:rPr>
        <w:t xml:space="preserve">Multiple end use scenarios </w:t>
      </w:r>
    </w:p>
    <w:p w14:paraId="074AB3AE" w14:textId="77777777" w:rsidR="000280A4" w:rsidRDefault="000280A4" w:rsidP="5E1450C1">
      <w:r>
        <w:t xml:space="preserve">Where the industrial chemical will have multiple end use scenarios, there are two options to calculate the HHCV: </w:t>
      </w:r>
    </w:p>
    <w:p w14:paraId="57DBD315" w14:textId="77777777" w:rsidR="000280A4" w:rsidRDefault="000280A4" w:rsidP="000A5B68">
      <w:pPr>
        <w:pStyle w:val="Bulletlist"/>
        <w:numPr>
          <w:ilvl w:val="0"/>
          <w:numId w:val="0"/>
        </w:numPr>
      </w:pPr>
      <w:r>
        <w:t>Option 1:</w:t>
      </w:r>
    </w:p>
    <w:p w14:paraId="273DA14D" w14:textId="77777777" w:rsidR="000280A4" w:rsidRDefault="09054960" w:rsidP="000A5B68">
      <w:pPr>
        <w:pStyle w:val="Bulletlist"/>
      </w:pPr>
      <w:r>
        <w:t>Step 1 – determine the default ERFs (refer to Table 2) that are relevant to each of your end use scenarios</w:t>
      </w:r>
    </w:p>
    <w:p w14:paraId="0261C431" w14:textId="77777777" w:rsidR="000280A4" w:rsidRDefault="09054960" w:rsidP="000A5B68">
      <w:pPr>
        <w:pStyle w:val="Bulletlist"/>
      </w:pPr>
      <w:r>
        <w:t>Step 2 – of these ERFs, choose the one with the highest value</w:t>
      </w:r>
    </w:p>
    <w:p w14:paraId="7BB04EA2" w14:textId="77777777" w:rsidR="000280A4" w:rsidRDefault="09054960" w:rsidP="000A5B68">
      <w:pPr>
        <w:pStyle w:val="Bulletlist"/>
      </w:pPr>
      <w:r>
        <w:t xml:space="preserve">Step 3 </w:t>
      </w:r>
      <w:r w:rsidR="000D2E39">
        <w:t xml:space="preserve">– </w:t>
      </w:r>
      <w:r>
        <w:t>multiply the total introduction volume of the industrial chemical that you will introduce in a registration year by the ERF you chose in step 2.</w:t>
      </w:r>
    </w:p>
    <w:p w14:paraId="35C59DF5" w14:textId="77777777" w:rsidR="000280A4" w:rsidRDefault="000280A4" w:rsidP="5E1450C1">
      <w:r>
        <w:t>That is,</w:t>
      </w:r>
    </w:p>
    <w:p w14:paraId="79498935" w14:textId="77777777" w:rsidR="000280A4" w:rsidRPr="000D2E39" w:rsidRDefault="000280A4" w:rsidP="5E1450C1">
      <w:pPr>
        <w:rPr>
          <w:b/>
          <w:bCs/>
          <w:i/>
          <w:iCs/>
        </w:rPr>
      </w:pPr>
      <w:r w:rsidRPr="000D2E39">
        <w:rPr>
          <w:b/>
          <w:bCs/>
          <w:i/>
          <w:iCs/>
        </w:rPr>
        <w:t>Human health categorisation volume (HHCV) = total introduction volume (IV) x exposure reduction factor (ERF</w:t>
      </w:r>
      <w:r w:rsidR="2E3D709B" w:rsidRPr="000D2E39">
        <w:rPr>
          <w:b/>
          <w:bCs/>
          <w:i/>
          <w:iCs/>
        </w:rPr>
        <w:t>)</w:t>
      </w:r>
    </w:p>
    <w:p w14:paraId="1521A1DB" w14:textId="77777777" w:rsidR="1ED526FF" w:rsidRDefault="1ED526FF" w:rsidP="000A5B68">
      <w:pPr>
        <w:pStyle w:val="Bulletlist"/>
        <w:numPr>
          <w:ilvl w:val="0"/>
          <w:numId w:val="0"/>
        </w:numPr>
      </w:pPr>
      <w:r>
        <w:t xml:space="preserve">Option 2: </w:t>
      </w:r>
    </w:p>
    <w:p w14:paraId="464AFBBE" w14:textId="77777777" w:rsidR="1ED526FF" w:rsidRDefault="74C11FDF" w:rsidP="000A5B68">
      <w:pPr>
        <w:pStyle w:val="Bulletlist"/>
      </w:pPr>
      <w:r>
        <w:t>Step 1 – determine the introduction volume of industrial chemical in a registration year for each end use scenario (these introduction volumes should add up to the total introduction volume of the industrial chemical that you will introduce in a registration year)</w:t>
      </w:r>
    </w:p>
    <w:p w14:paraId="45A86FCE" w14:textId="77777777" w:rsidR="1ED526FF" w:rsidRDefault="74C11FDF" w:rsidP="003D7F92">
      <w:pPr>
        <w:pStyle w:val="Bulletlist"/>
      </w:pPr>
      <w:r>
        <w:t>Step 2 –</w:t>
      </w:r>
      <w:r w:rsidR="000264A5">
        <w:t xml:space="preserve"> </w:t>
      </w:r>
      <w:r>
        <w:t>determine the default ERFs (refer to Table 2) that are relevant to each end use scenario</w:t>
      </w:r>
    </w:p>
    <w:p w14:paraId="69D60C1F" w14:textId="77777777" w:rsidR="1ED526FF" w:rsidRDefault="74C11FDF" w:rsidP="000A5B68">
      <w:pPr>
        <w:pStyle w:val="Bulletlist"/>
      </w:pPr>
      <w:r>
        <w:t xml:space="preserve">Step 3 </w:t>
      </w:r>
      <w:r w:rsidR="000264A5">
        <w:t>–</w:t>
      </w:r>
      <w:r>
        <w:t xml:space="preserve"> multiply the introduction volumes allocated to each end use scenario (from Step 1) by the relevant ERF for each end use scenario (from Step 2), and then add these together to get a total HHCV, using the equation:</w:t>
      </w:r>
    </w:p>
    <w:p w14:paraId="539BFCBE" w14:textId="77777777" w:rsidR="1ED526FF" w:rsidRPr="000264A5" w:rsidRDefault="1ED526FF" w:rsidP="5E1450C1">
      <w:pPr>
        <w:rPr>
          <w:b/>
          <w:bCs/>
          <w:i/>
          <w:iCs/>
        </w:rPr>
      </w:pPr>
      <w:r w:rsidRPr="000264A5">
        <w:rPr>
          <w:b/>
          <w:bCs/>
          <w:i/>
          <w:iCs/>
        </w:rPr>
        <w:t>HHCV = (IV</w:t>
      </w:r>
      <w:r w:rsidRPr="007A553C">
        <w:rPr>
          <w:b/>
          <w:bCs/>
          <w:i/>
          <w:iCs/>
          <w:vertAlign w:val="subscript"/>
        </w:rPr>
        <w:t>1</w:t>
      </w:r>
      <w:r w:rsidRPr="000264A5">
        <w:rPr>
          <w:b/>
          <w:bCs/>
          <w:i/>
          <w:iCs/>
        </w:rPr>
        <w:t xml:space="preserve"> x ERF</w:t>
      </w:r>
      <w:r w:rsidRPr="007A553C">
        <w:rPr>
          <w:b/>
          <w:bCs/>
          <w:i/>
          <w:iCs/>
          <w:vertAlign w:val="subscript"/>
        </w:rPr>
        <w:t>1</w:t>
      </w:r>
      <w:r w:rsidRPr="000264A5">
        <w:rPr>
          <w:b/>
          <w:bCs/>
          <w:i/>
          <w:iCs/>
        </w:rPr>
        <w:t>) + (IV</w:t>
      </w:r>
      <w:r w:rsidRPr="007A553C">
        <w:rPr>
          <w:b/>
          <w:bCs/>
          <w:i/>
          <w:iCs/>
          <w:vertAlign w:val="subscript"/>
        </w:rPr>
        <w:t>2</w:t>
      </w:r>
      <w:r w:rsidRPr="000264A5">
        <w:rPr>
          <w:b/>
          <w:bCs/>
          <w:i/>
          <w:iCs/>
        </w:rPr>
        <w:t xml:space="preserve"> x ERF</w:t>
      </w:r>
      <w:r w:rsidRPr="007A553C">
        <w:rPr>
          <w:b/>
          <w:bCs/>
          <w:i/>
          <w:iCs/>
          <w:vertAlign w:val="subscript"/>
        </w:rPr>
        <w:t>2</w:t>
      </w:r>
      <w:r w:rsidRPr="000264A5">
        <w:rPr>
          <w:b/>
          <w:bCs/>
          <w:i/>
          <w:iCs/>
        </w:rPr>
        <w:t>) + … + (</w:t>
      </w:r>
      <w:proofErr w:type="spellStart"/>
      <w:r w:rsidRPr="000264A5">
        <w:rPr>
          <w:b/>
          <w:bCs/>
          <w:i/>
          <w:iCs/>
        </w:rPr>
        <w:t>IV</w:t>
      </w:r>
      <w:r w:rsidRPr="007A553C">
        <w:rPr>
          <w:b/>
          <w:bCs/>
          <w:i/>
          <w:iCs/>
          <w:vertAlign w:val="subscript"/>
        </w:rPr>
        <w:t>n</w:t>
      </w:r>
      <w:proofErr w:type="spellEnd"/>
      <w:r w:rsidRPr="000264A5">
        <w:rPr>
          <w:b/>
          <w:bCs/>
          <w:i/>
          <w:iCs/>
        </w:rPr>
        <w:t xml:space="preserve"> x </w:t>
      </w:r>
      <w:proofErr w:type="spellStart"/>
      <w:r w:rsidRPr="000264A5">
        <w:rPr>
          <w:b/>
          <w:bCs/>
          <w:i/>
          <w:iCs/>
        </w:rPr>
        <w:t>ERF</w:t>
      </w:r>
      <w:r w:rsidRPr="007A553C">
        <w:rPr>
          <w:b/>
          <w:bCs/>
          <w:i/>
          <w:iCs/>
          <w:vertAlign w:val="subscript"/>
        </w:rPr>
        <w:t>n</w:t>
      </w:r>
      <w:proofErr w:type="spellEnd"/>
      <w:r w:rsidRPr="000264A5">
        <w:rPr>
          <w:b/>
          <w:bCs/>
          <w:i/>
          <w:iCs/>
        </w:rPr>
        <w:t>)</w:t>
      </w:r>
    </w:p>
    <w:p w14:paraId="223BEC0D" w14:textId="77777777" w:rsidR="5E1450C1" w:rsidRDefault="1ED526FF" w:rsidP="5E1450C1">
      <w:r>
        <w:t>The exposure reduction factors you need to calculate your introduction’s HHCV are set out in Table 2. The end use scenarios are defined below the table.</w:t>
      </w:r>
    </w:p>
    <w:p w14:paraId="6FDB7F31" w14:textId="77777777" w:rsidR="725F2F7D" w:rsidRDefault="725F2F7D" w:rsidP="5E1450C1">
      <w:pPr>
        <w:pStyle w:val="Tableheader"/>
      </w:pPr>
      <w:r>
        <w:t>Table 2: The exposure reduction factor you need to work out HHCV, depending on end use scenario</w:t>
      </w:r>
    </w:p>
    <w:tbl>
      <w:tblPr>
        <w:tblStyle w:val="AICISTableBasic"/>
        <w:tblW w:w="9639" w:type="dxa"/>
        <w:tblLook w:val="0620" w:firstRow="1" w:lastRow="0" w:firstColumn="0" w:lastColumn="0" w:noHBand="1" w:noVBand="1"/>
      </w:tblPr>
      <w:tblGrid>
        <w:gridCol w:w="6441"/>
        <w:gridCol w:w="3198"/>
      </w:tblGrid>
      <w:tr w:rsidR="5E1450C1" w14:paraId="3A971CF0" w14:textId="77777777" w:rsidTr="00353841">
        <w:trPr>
          <w:trHeight w:val="567"/>
          <w:tblHeader/>
        </w:trPr>
        <w:tc>
          <w:tcPr>
            <w:tcW w:w="6061" w:type="dxa"/>
          </w:tcPr>
          <w:p w14:paraId="52AB7E26" w14:textId="77777777" w:rsidR="5E1450C1" w:rsidRDefault="5E1450C1" w:rsidP="5E1450C1">
            <w:pPr>
              <w:spacing w:beforeLines="60" w:before="144" w:afterLines="60" w:after="144"/>
              <w:rPr>
                <w:b/>
                <w:bCs/>
              </w:rPr>
            </w:pPr>
            <w:r w:rsidRPr="5E1450C1">
              <w:rPr>
                <w:b/>
                <w:bCs/>
              </w:rPr>
              <w:t>If your introduction's end use scenario is...</w:t>
            </w:r>
          </w:p>
        </w:tc>
        <w:tc>
          <w:tcPr>
            <w:tcW w:w="3009" w:type="dxa"/>
          </w:tcPr>
          <w:p w14:paraId="181361AE" w14:textId="70097EB2" w:rsidR="5E1450C1" w:rsidRDefault="5E1450C1" w:rsidP="5E1450C1">
            <w:pPr>
              <w:spacing w:beforeLines="60" w:before="144" w:afterLines="60" w:after="144"/>
              <w:rPr>
                <w:b/>
                <w:bCs/>
              </w:rPr>
            </w:pPr>
            <w:r w:rsidRPr="5E1450C1">
              <w:rPr>
                <w:b/>
                <w:bCs/>
              </w:rPr>
              <w:t xml:space="preserve">The </w:t>
            </w:r>
            <w:r w:rsidR="4E1BA5F6" w:rsidRPr="5E1450C1">
              <w:rPr>
                <w:b/>
                <w:bCs/>
              </w:rPr>
              <w:t>exposure reduction</w:t>
            </w:r>
            <w:r w:rsidRPr="5E1450C1">
              <w:rPr>
                <w:b/>
                <w:bCs/>
              </w:rPr>
              <w:t xml:space="preserve"> factor (</w:t>
            </w:r>
            <w:r w:rsidR="00F62433">
              <w:rPr>
                <w:b/>
                <w:bCs/>
              </w:rPr>
              <w:t>E</w:t>
            </w:r>
            <w:r w:rsidRPr="5E1450C1">
              <w:rPr>
                <w:b/>
                <w:bCs/>
              </w:rPr>
              <w:t>RF) you need to use is…</w:t>
            </w:r>
          </w:p>
        </w:tc>
      </w:tr>
      <w:tr w:rsidR="5E1450C1" w14:paraId="1787625F" w14:textId="77777777" w:rsidTr="003D7F92">
        <w:trPr>
          <w:trHeight w:val="567"/>
        </w:trPr>
        <w:tc>
          <w:tcPr>
            <w:tcW w:w="6061" w:type="dxa"/>
          </w:tcPr>
          <w:p w14:paraId="523DFD07" w14:textId="77777777" w:rsidR="5E1450C1" w:rsidRDefault="5E1450C1" w:rsidP="5E1450C1">
            <w:pPr>
              <w:spacing w:beforeLines="60" w:before="144" w:afterLines="60" w:after="144"/>
              <w:rPr>
                <w:rFonts w:cs="Segoe UI"/>
              </w:rPr>
            </w:pPr>
            <w:r w:rsidRPr="5E1450C1">
              <w:rPr>
                <w:rFonts w:cs="Segoe UI"/>
              </w:rPr>
              <w:t>Chemical imported into Australia; import containers remain closed; then exported for end use overseas</w:t>
            </w:r>
          </w:p>
        </w:tc>
        <w:tc>
          <w:tcPr>
            <w:tcW w:w="3009" w:type="dxa"/>
          </w:tcPr>
          <w:p w14:paraId="2F20C737" w14:textId="77777777" w:rsidR="5E1450C1" w:rsidRDefault="5E1450C1" w:rsidP="5E1450C1">
            <w:pPr>
              <w:spacing w:beforeLines="60" w:before="144" w:afterLines="60" w:after="144"/>
              <w:jc w:val="center"/>
              <w:rPr>
                <w:rFonts w:cs="Segoe UI"/>
              </w:rPr>
            </w:pPr>
            <w:r w:rsidRPr="5E1450C1">
              <w:rPr>
                <w:rFonts w:cs="Segoe UI"/>
              </w:rPr>
              <w:t xml:space="preserve">0 </w:t>
            </w:r>
          </w:p>
        </w:tc>
      </w:tr>
      <w:tr w:rsidR="5E1450C1" w14:paraId="4852587C" w14:textId="77777777" w:rsidTr="003D7F92">
        <w:trPr>
          <w:trHeight w:val="567"/>
        </w:trPr>
        <w:tc>
          <w:tcPr>
            <w:tcW w:w="6061" w:type="dxa"/>
          </w:tcPr>
          <w:p w14:paraId="3FD5A4BD" w14:textId="77777777" w:rsidR="5E1450C1" w:rsidRDefault="5E1450C1" w:rsidP="5E1450C1">
            <w:pPr>
              <w:spacing w:beforeLines="60" w:before="144" w:afterLines="60" w:after="144"/>
              <w:rPr>
                <w:rFonts w:cs="Segoe UI"/>
              </w:rPr>
            </w:pPr>
            <w:r w:rsidRPr="5E1450C1">
              <w:rPr>
                <w:rFonts w:cs="Segoe UI"/>
              </w:rPr>
              <w:t>Chemical imported into Australia; limited handling of the chemical (such that import containers are opened); then exported for end use overseas</w:t>
            </w:r>
          </w:p>
        </w:tc>
        <w:tc>
          <w:tcPr>
            <w:tcW w:w="3009" w:type="dxa"/>
          </w:tcPr>
          <w:p w14:paraId="021DB26B" w14:textId="77777777" w:rsidR="5E1450C1" w:rsidRDefault="5E1450C1" w:rsidP="5E1450C1">
            <w:pPr>
              <w:spacing w:beforeLines="60" w:before="144" w:afterLines="60" w:after="144"/>
              <w:jc w:val="center"/>
              <w:rPr>
                <w:rFonts w:cs="Segoe UI"/>
              </w:rPr>
            </w:pPr>
            <w:r w:rsidRPr="5E1450C1">
              <w:rPr>
                <w:rFonts w:cs="Segoe UI"/>
              </w:rPr>
              <w:t xml:space="preserve">0.05 </w:t>
            </w:r>
          </w:p>
        </w:tc>
      </w:tr>
      <w:tr w:rsidR="5E1450C1" w14:paraId="48664620" w14:textId="77777777" w:rsidTr="003D7F92">
        <w:trPr>
          <w:trHeight w:val="567"/>
        </w:trPr>
        <w:tc>
          <w:tcPr>
            <w:tcW w:w="6061" w:type="dxa"/>
          </w:tcPr>
          <w:p w14:paraId="1A196DEF" w14:textId="77777777" w:rsidR="5E1450C1" w:rsidRDefault="5E1450C1" w:rsidP="5E1450C1">
            <w:pPr>
              <w:spacing w:beforeLines="60" w:before="144" w:afterLines="60" w:after="144"/>
              <w:rPr>
                <w:rFonts w:cs="Segoe UI"/>
              </w:rPr>
            </w:pPr>
            <w:r w:rsidRPr="5E1450C1">
              <w:rPr>
                <w:rFonts w:cs="Segoe UI"/>
              </w:rPr>
              <w:t>Chemical manufactured in Australia; exported for end use overseas</w:t>
            </w:r>
          </w:p>
        </w:tc>
        <w:tc>
          <w:tcPr>
            <w:tcW w:w="3009" w:type="dxa"/>
          </w:tcPr>
          <w:p w14:paraId="5C9B2EFB" w14:textId="77777777" w:rsidR="5E1450C1" w:rsidRDefault="5E1450C1" w:rsidP="5E1450C1">
            <w:pPr>
              <w:spacing w:beforeLines="60" w:before="144" w:afterLines="60" w:after="144"/>
              <w:jc w:val="center"/>
              <w:rPr>
                <w:rFonts w:cs="Segoe UI"/>
              </w:rPr>
            </w:pPr>
            <w:r w:rsidRPr="5E1450C1">
              <w:rPr>
                <w:rFonts w:cs="Segoe UI"/>
              </w:rPr>
              <w:t xml:space="preserve">0.05 </w:t>
            </w:r>
          </w:p>
        </w:tc>
      </w:tr>
      <w:tr w:rsidR="5E1450C1" w14:paraId="4827C0A5" w14:textId="77777777" w:rsidTr="003D7F92">
        <w:trPr>
          <w:trHeight w:val="567"/>
        </w:trPr>
        <w:tc>
          <w:tcPr>
            <w:tcW w:w="6061" w:type="dxa"/>
          </w:tcPr>
          <w:p w14:paraId="169D0588" w14:textId="77777777" w:rsidR="171064F3" w:rsidRDefault="171064F3" w:rsidP="5E1450C1">
            <w:pPr>
              <w:rPr>
                <w:rFonts w:cs="Segoe UI"/>
              </w:rPr>
            </w:pPr>
            <w:r w:rsidRPr="5E1450C1">
              <w:rPr>
                <w:rFonts w:cs="Segoe UI"/>
              </w:rPr>
              <w:t>Specified consumer products with end use in Australia</w:t>
            </w:r>
            <w:r>
              <w:tab/>
            </w:r>
          </w:p>
        </w:tc>
        <w:tc>
          <w:tcPr>
            <w:tcW w:w="3009" w:type="dxa"/>
          </w:tcPr>
          <w:p w14:paraId="20E9E5F6" w14:textId="77777777" w:rsidR="0A346CAB" w:rsidRDefault="0A346CAB" w:rsidP="5E1450C1">
            <w:pPr>
              <w:jc w:val="center"/>
            </w:pPr>
            <w:r w:rsidRPr="5E1450C1">
              <w:rPr>
                <w:rFonts w:cs="Segoe UI"/>
              </w:rPr>
              <w:t>1</w:t>
            </w:r>
          </w:p>
        </w:tc>
      </w:tr>
      <w:tr w:rsidR="5E1450C1" w14:paraId="7EA7C192" w14:textId="77777777" w:rsidTr="003D7F92">
        <w:trPr>
          <w:trHeight w:val="567"/>
        </w:trPr>
        <w:tc>
          <w:tcPr>
            <w:tcW w:w="6061" w:type="dxa"/>
          </w:tcPr>
          <w:p w14:paraId="38164F36" w14:textId="77777777" w:rsidR="7DA5988D" w:rsidRDefault="7DA5988D" w:rsidP="5E1450C1">
            <w:pPr>
              <w:rPr>
                <w:rFonts w:cs="Segoe UI"/>
              </w:rPr>
            </w:pPr>
            <w:r w:rsidRPr="5E1450C1">
              <w:rPr>
                <w:rFonts w:cs="Segoe UI"/>
              </w:rPr>
              <w:lastRenderedPageBreak/>
              <w:t>All other end uses in Australia</w:t>
            </w:r>
            <w:r>
              <w:tab/>
            </w:r>
          </w:p>
        </w:tc>
        <w:tc>
          <w:tcPr>
            <w:tcW w:w="3009" w:type="dxa"/>
          </w:tcPr>
          <w:p w14:paraId="4AE99937" w14:textId="77777777" w:rsidR="5E1450C1" w:rsidRDefault="5E1450C1" w:rsidP="5E1450C1">
            <w:pPr>
              <w:spacing w:beforeLines="60" w:before="144" w:afterLines="60" w:after="144"/>
              <w:jc w:val="center"/>
              <w:rPr>
                <w:rFonts w:cs="Segoe UI"/>
              </w:rPr>
            </w:pPr>
            <w:r w:rsidRPr="5E1450C1">
              <w:rPr>
                <w:rFonts w:cs="Segoe UI"/>
              </w:rPr>
              <w:t>0.</w:t>
            </w:r>
            <w:r w:rsidR="4B7D8437" w:rsidRPr="5E1450C1">
              <w:rPr>
                <w:rFonts w:cs="Segoe UI"/>
              </w:rPr>
              <w:t>1</w:t>
            </w:r>
          </w:p>
        </w:tc>
      </w:tr>
    </w:tbl>
    <w:p w14:paraId="04BA0224" w14:textId="77777777" w:rsidR="6AF85D3B" w:rsidRDefault="6AF85D3B" w:rsidP="5E1450C1">
      <w:pPr>
        <w:rPr>
          <w:b/>
          <w:bCs/>
        </w:rPr>
      </w:pPr>
      <w:r w:rsidRPr="5E1450C1">
        <w:rPr>
          <w:b/>
          <w:bCs/>
        </w:rPr>
        <w:t>End use scenario definitions used in the above table:</w:t>
      </w:r>
    </w:p>
    <w:p w14:paraId="6EF0DB8B" w14:textId="77777777" w:rsidR="6AF85D3B" w:rsidRDefault="6AF85D3B" w:rsidP="5E1450C1">
      <w:r w:rsidRPr="5E1450C1">
        <w:rPr>
          <w:b/>
          <w:bCs/>
        </w:rPr>
        <w:t>Specified consumer products</w:t>
      </w:r>
      <w:r>
        <w:t xml:space="preserve"> means the following products intended for end use by the public:</w:t>
      </w:r>
    </w:p>
    <w:p w14:paraId="292353BE" w14:textId="77777777" w:rsidR="6AF85D3B" w:rsidRDefault="6AF85D3B" w:rsidP="000A5B68">
      <w:pPr>
        <w:pStyle w:val="Bulletlist"/>
      </w:pPr>
      <w:r>
        <w:t>cosmetics</w:t>
      </w:r>
    </w:p>
    <w:p w14:paraId="4B505765" w14:textId="77777777" w:rsidR="6AF85D3B" w:rsidRDefault="6AF85D3B" w:rsidP="000A5B68">
      <w:pPr>
        <w:pStyle w:val="Bulletlist"/>
      </w:pPr>
      <w:r>
        <w:t>nasal sprays</w:t>
      </w:r>
    </w:p>
    <w:p w14:paraId="6435A072" w14:textId="77777777" w:rsidR="6AF85D3B" w:rsidRDefault="6AF85D3B" w:rsidP="000A5B68">
      <w:pPr>
        <w:pStyle w:val="Bulletlist"/>
      </w:pPr>
      <w:r>
        <w:t>ear sprays</w:t>
      </w:r>
    </w:p>
    <w:p w14:paraId="78591EAF" w14:textId="77777777" w:rsidR="6AF85D3B" w:rsidRDefault="6AF85D3B" w:rsidP="000A5B68">
      <w:pPr>
        <w:pStyle w:val="Bulletlist"/>
      </w:pPr>
      <w:r>
        <w:t>intimate lubricants</w:t>
      </w:r>
    </w:p>
    <w:p w14:paraId="0DFB27A6" w14:textId="77777777" w:rsidR="6AF85D3B" w:rsidRDefault="6AF85D3B" w:rsidP="000A5B68">
      <w:pPr>
        <w:pStyle w:val="Bulletlist"/>
      </w:pPr>
      <w:r>
        <w:t>massage oils and gels</w:t>
      </w:r>
    </w:p>
    <w:p w14:paraId="772CB962" w14:textId="77777777" w:rsidR="6AF85D3B" w:rsidRDefault="6AF85D3B" w:rsidP="000A5B68">
      <w:pPr>
        <w:pStyle w:val="Bulletlist"/>
      </w:pPr>
      <w:r>
        <w:t>products applied to the nails to harden, or deter the biting of, nails</w:t>
      </w:r>
    </w:p>
    <w:p w14:paraId="09D0D9A5" w14:textId="77777777" w:rsidR="6AF85D3B" w:rsidRDefault="6AF85D3B" w:rsidP="5E1450C1">
      <w:r>
        <w:t xml:space="preserve">Specified consumer products do </w:t>
      </w:r>
      <w:r w:rsidRPr="5E1450C1">
        <w:rPr>
          <w:b/>
          <w:bCs/>
        </w:rPr>
        <w:t>not</w:t>
      </w:r>
      <w:r>
        <w:t xml:space="preserve"> include tattoo inks. Tattoo inks end uses involve </w:t>
      </w:r>
      <w:r w:rsidRPr="00287F32">
        <w:rPr>
          <w:i/>
          <w:iCs/>
        </w:rPr>
        <w:t>designated kind of human exposure</w:t>
      </w:r>
      <w:r>
        <w:t xml:space="preserve"> in accordance with the IC General Rules (for which you do </w:t>
      </w:r>
      <w:r w:rsidRPr="5E1450C1">
        <w:rPr>
          <w:b/>
          <w:bCs/>
        </w:rPr>
        <w:t xml:space="preserve">not </w:t>
      </w:r>
      <w:r>
        <w:t>need to calculate a human health categorisation volume).</w:t>
      </w:r>
    </w:p>
    <w:p w14:paraId="2C3A37EE" w14:textId="77777777" w:rsidR="6AF85D3B" w:rsidRDefault="6AF85D3B" w:rsidP="5E1450C1">
      <w:pPr>
        <w:pStyle w:val="Heading3"/>
      </w:pPr>
      <w:r>
        <w:t>2.1.4</w:t>
      </w:r>
      <w:r w:rsidR="00287F32">
        <w:tab/>
      </w:r>
      <w:r>
        <w:t>Known environmental degradation products</w:t>
      </w:r>
    </w:p>
    <w:p w14:paraId="508066A6" w14:textId="77777777" w:rsidR="6AF85D3B" w:rsidRDefault="6AF85D3B" w:rsidP="5E1450C1">
      <w:r>
        <w:t>Known environmental degradation products, in relation to an industrial chemical that is a polyhalogenated organic chemical, means the expected breakdown products of the chemical under environmentally relevant conditions that have been identified in information from scientific literature or studies, and the introducer is aware of this information.</w:t>
      </w:r>
    </w:p>
    <w:p w14:paraId="68EEC931" w14:textId="77777777" w:rsidR="6AF85D3B" w:rsidRDefault="6AF85D3B" w:rsidP="5E1450C1">
      <w:pPr>
        <w:pStyle w:val="Heading3"/>
      </w:pPr>
      <w:r>
        <w:t xml:space="preserve">2.1.5 </w:t>
      </w:r>
      <w:r w:rsidR="00287F32">
        <w:tab/>
      </w:r>
      <w:r>
        <w:t>Known hazard classification</w:t>
      </w:r>
    </w:p>
    <w:p w14:paraId="2BA9434E" w14:textId="77777777" w:rsidR="6AF85D3B" w:rsidRDefault="6AF85D3B" w:rsidP="5E1450C1">
      <w:r>
        <w:t>Known hazard classification, for an industrial chemical, means hazard information that the introducer is aware of in the form of one or more of the following:</w:t>
      </w:r>
    </w:p>
    <w:p w14:paraId="1787CD66" w14:textId="6870E1A6" w:rsidR="1B4939E1" w:rsidRDefault="1B4939E1" w:rsidP="000A5B68">
      <w:pPr>
        <w:pStyle w:val="Bulletlist"/>
      </w:pPr>
      <w:r>
        <w:t>A hazard class and category arising from classification under the</w:t>
      </w:r>
      <w:r w:rsidR="009A4DC6">
        <w:t xml:space="preserve"> ‘</w:t>
      </w:r>
      <w:hyperlink r:id="rId12" w:history="1">
        <w:r w:rsidR="009A4DC6" w:rsidRPr="009A4DC6">
          <w:rPr>
            <w:rStyle w:val="Hyperlink"/>
          </w:rPr>
          <w:t>Globally Harmonised System of Classification and Labelling of Chemicals</w:t>
        </w:r>
      </w:hyperlink>
      <w:r w:rsidR="009A4DC6">
        <w:t>’</w:t>
      </w:r>
      <w:r>
        <w:t xml:space="preserve"> (GHS), Seventh revised edition, published by the United Nations, or</w:t>
      </w:r>
    </w:p>
    <w:p w14:paraId="4FDF6F29" w14:textId="44F60CF3" w:rsidR="1B4939E1" w:rsidRDefault="1B4939E1" w:rsidP="000A5B68">
      <w:pPr>
        <w:pStyle w:val="Bulletlist"/>
      </w:pPr>
      <w:r>
        <w:t xml:space="preserve">A non-GHS hazard statement, assigned under the classification criteria in </w:t>
      </w:r>
      <w:r w:rsidR="006F4856">
        <w:t>‘</w:t>
      </w:r>
      <w:hyperlink r:id="rId13" w:history="1">
        <w:r w:rsidR="006F4856" w:rsidRPr="006F4856">
          <w:rPr>
            <w:rStyle w:val="Hyperlink"/>
          </w:rPr>
          <w:t>Classifying hazardous chemicals – National guide</w:t>
        </w:r>
      </w:hyperlink>
      <w:r w:rsidR="006F4856">
        <w:t xml:space="preserve">’ </w:t>
      </w:r>
      <w:r>
        <w:t>published by Safe Work Australia</w:t>
      </w:r>
    </w:p>
    <w:p w14:paraId="49B85F12" w14:textId="77777777" w:rsidR="51ECFBAE" w:rsidRDefault="51ECFBAE" w:rsidP="5E1450C1">
      <w:r w:rsidRPr="5E1450C1">
        <w:rPr>
          <w:b/>
          <w:bCs/>
        </w:rPr>
        <w:t>except</w:t>
      </w:r>
      <w:r>
        <w:t xml:space="preserve"> that it does </w:t>
      </w:r>
      <w:r w:rsidRPr="5E1450C1">
        <w:rPr>
          <w:b/>
          <w:bCs/>
        </w:rPr>
        <w:t>not</w:t>
      </w:r>
      <w:r>
        <w:t xml:space="preserve"> include any of the following hazard classes:</w:t>
      </w:r>
    </w:p>
    <w:p w14:paraId="412413F3" w14:textId="77777777" w:rsidR="51ECFBAE" w:rsidRDefault="51ECFBAE" w:rsidP="000A5B68">
      <w:pPr>
        <w:pStyle w:val="Bulletlist"/>
      </w:pPr>
      <w:r>
        <w:t>flammable gases, category 2</w:t>
      </w:r>
    </w:p>
    <w:p w14:paraId="201E2606" w14:textId="77777777" w:rsidR="51ECFBAE" w:rsidRDefault="51ECFBAE" w:rsidP="000A5B68">
      <w:pPr>
        <w:pStyle w:val="Bulletlist"/>
      </w:pPr>
      <w:r>
        <w:t>acute toxicity-oral, category 5</w:t>
      </w:r>
    </w:p>
    <w:p w14:paraId="3FA5785D" w14:textId="77777777" w:rsidR="51ECFBAE" w:rsidRDefault="51ECFBAE" w:rsidP="000A5B68">
      <w:pPr>
        <w:pStyle w:val="Bulletlist"/>
      </w:pPr>
      <w:r>
        <w:t>acute toxicity-dermal, category 5</w:t>
      </w:r>
    </w:p>
    <w:p w14:paraId="4A076CDD" w14:textId="77777777" w:rsidR="51ECFBAE" w:rsidRDefault="51ECFBAE" w:rsidP="000A5B68">
      <w:pPr>
        <w:pStyle w:val="Bulletlist"/>
      </w:pPr>
      <w:r>
        <w:t>acute toxicity-inhalation, category 5</w:t>
      </w:r>
    </w:p>
    <w:p w14:paraId="19E83567" w14:textId="77777777" w:rsidR="51ECFBAE" w:rsidRDefault="51ECFBAE" w:rsidP="000A5B68">
      <w:pPr>
        <w:pStyle w:val="Bulletlist"/>
      </w:pPr>
      <w:r>
        <w:t>skin corrosion/irritation, category 3</w:t>
      </w:r>
    </w:p>
    <w:p w14:paraId="7C555F18" w14:textId="77777777" w:rsidR="51ECFBAE" w:rsidRDefault="51ECFBAE" w:rsidP="000A5B68">
      <w:pPr>
        <w:pStyle w:val="Bulletlist"/>
      </w:pPr>
      <w:r>
        <w:t>aspiration hazard, category 2</w:t>
      </w:r>
    </w:p>
    <w:p w14:paraId="722E2223" w14:textId="77777777" w:rsidR="13711E91" w:rsidRDefault="13711E91" w:rsidP="5E1450C1">
      <w:pPr>
        <w:pStyle w:val="Heading3"/>
      </w:pPr>
      <w:r>
        <w:t>2.1.6</w:t>
      </w:r>
      <w:r w:rsidR="001E0EB7">
        <w:tab/>
      </w:r>
      <w:r>
        <w:t>Persistent</w:t>
      </w:r>
    </w:p>
    <w:p w14:paraId="6EE093D2" w14:textId="77777777" w:rsidR="13711E91" w:rsidRDefault="13711E91" w:rsidP="5E1450C1">
      <w:r w:rsidRPr="5E1450C1">
        <w:rPr>
          <w:b/>
          <w:bCs/>
        </w:rPr>
        <w:t xml:space="preserve">Persistent </w:t>
      </w:r>
      <w:r>
        <w:t>means that any of the following apply to the industrial chemical:</w:t>
      </w:r>
    </w:p>
    <w:p w14:paraId="3893C9EA" w14:textId="77777777" w:rsidR="13711E91" w:rsidRDefault="13711E91" w:rsidP="000A5B68">
      <w:pPr>
        <w:pStyle w:val="Bulletlist"/>
      </w:pPr>
      <w:r>
        <w:t>it has a degradation half-life (T½) in air of ≥ 2 days, or</w:t>
      </w:r>
    </w:p>
    <w:p w14:paraId="18B5DBC5" w14:textId="77777777" w:rsidR="13711E91" w:rsidRDefault="13711E91" w:rsidP="000A5B68">
      <w:pPr>
        <w:pStyle w:val="Bulletlist"/>
      </w:pPr>
      <w:r>
        <w:t>it has a degradation half-life (T½) in water of ≥ 2 months, or</w:t>
      </w:r>
    </w:p>
    <w:p w14:paraId="13BCCC2B" w14:textId="77777777" w:rsidR="13711E91" w:rsidRDefault="13711E91" w:rsidP="000A5B68">
      <w:pPr>
        <w:pStyle w:val="Bulletlist"/>
      </w:pPr>
      <w:r>
        <w:t>it has a degradation half-life (T½) in soil of ≥ 6 months, or</w:t>
      </w:r>
    </w:p>
    <w:p w14:paraId="4CF1388E" w14:textId="77777777" w:rsidR="13711E91" w:rsidRDefault="13711E91" w:rsidP="000A5B68">
      <w:pPr>
        <w:pStyle w:val="Bulletlist"/>
      </w:pPr>
      <w:r>
        <w:lastRenderedPageBreak/>
        <w:t>it has a degradation half-life (T½) in sediment of ≥ 6 months.</w:t>
      </w:r>
    </w:p>
    <w:p w14:paraId="5D137C7F" w14:textId="77777777" w:rsidR="13711E91" w:rsidRDefault="13711E91" w:rsidP="5E1450C1">
      <w:r>
        <w:t>To demonstrate that this definition does not apply to a polyhalogenated organic chemical, or its known environmental degradation products (for the purposes of table item 2, section 28</w:t>
      </w:r>
      <w:r w:rsidR="0070195D">
        <w:t xml:space="preserve"> </w:t>
      </w:r>
      <w:r>
        <w:t>and table item 2, section 29 of the IC General Rules) the information required is at least one of the following:</w:t>
      </w:r>
    </w:p>
    <w:p w14:paraId="4F9BF6F7" w14:textId="77777777" w:rsidR="0070195D" w:rsidRDefault="13711E91" w:rsidP="000A5B68">
      <w:pPr>
        <w:pStyle w:val="Bulletlist"/>
      </w:pPr>
      <w:r>
        <w:t>A study conducted on the industrial chemical following an acceptable test guideline for ready biodegradability resulting in one of the following:</w:t>
      </w:r>
    </w:p>
    <w:p w14:paraId="2D5E51F9" w14:textId="00AE7A5B" w:rsidR="00E71F32" w:rsidRPr="00C144B1" w:rsidRDefault="196F7803" w:rsidP="00C144B1">
      <w:pPr>
        <w:pStyle w:val="Bulletlist2"/>
      </w:pPr>
      <w:r w:rsidRPr="00C144B1">
        <w:t xml:space="preserve">the pass levels being reached within the specified </w:t>
      </w:r>
      <w:proofErr w:type="gramStart"/>
      <w:r w:rsidRPr="00C144B1">
        <w:t>time period</w:t>
      </w:r>
      <w:proofErr w:type="gramEnd"/>
      <w:r w:rsidRPr="00C144B1">
        <w:t xml:space="preserve"> such that the </w:t>
      </w:r>
      <w:r w:rsidR="00E00FCB">
        <w:t>i</w:t>
      </w:r>
      <w:r w:rsidRPr="00C144B1">
        <w:t xml:space="preserve">ndustrial chemical </w:t>
      </w:r>
      <w:proofErr w:type="gramStart"/>
      <w:r w:rsidRPr="00C144B1">
        <w:t>is considered to be</w:t>
      </w:r>
      <w:proofErr w:type="gramEnd"/>
      <w:r w:rsidRPr="00C144B1">
        <w:t xml:space="preserve"> readily biodegradable, or</w:t>
      </w:r>
    </w:p>
    <w:p w14:paraId="167B9B0C" w14:textId="77777777" w:rsidR="13711E91" w:rsidRPr="00C144B1" w:rsidRDefault="196F7803" w:rsidP="00C144B1">
      <w:pPr>
        <w:pStyle w:val="Bulletlist2"/>
      </w:pPr>
      <w:r w:rsidRPr="00C144B1">
        <w:t xml:space="preserve">the pass levels being reached within the duration of the test, but not within the specified </w:t>
      </w:r>
      <w:proofErr w:type="gramStart"/>
      <w:r w:rsidRPr="00C144B1">
        <w:t>time period</w:t>
      </w:r>
      <w:proofErr w:type="gramEnd"/>
      <w:r w:rsidRPr="00C144B1">
        <w:t xml:space="preserve"> for the industrial chemical to be considered readily biodegradable, provided</w:t>
      </w:r>
      <w:r w:rsidR="41DB55E0" w:rsidRPr="00C144B1">
        <w:t xml:space="preserve"> </w:t>
      </w:r>
      <w:r w:rsidRPr="00C144B1">
        <w:t xml:space="preserve">biodegradation has started within the specified </w:t>
      </w:r>
      <w:proofErr w:type="gramStart"/>
      <w:r w:rsidRPr="00C144B1">
        <w:t>time period</w:t>
      </w:r>
      <w:proofErr w:type="gramEnd"/>
      <w:r w:rsidRPr="00C144B1">
        <w:t>, or</w:t>
      </w:r>
    </w:p>
    <w:p w14:paraId="1EF7C9D1" w14:textId="77777777" w:rsidR="00E71F32" w:rsidRDefault="13711E91" w:rsidP="000A5B68">
      <w:pPr>
        <w:pStyle w:val="Bulletlist"/>
      </w:pPr>
      <w:r>
        <w:t>A study conducted on the industrial chemical following an acceptable test guideline for transformation in aquatic sediment systems resulting in both:</w:t>
      </w:r>
    </w:p>
    <w:p w14:paraId="23062215" w14:textId="77777777" w:rsidR="00526872" w:rsidRDefault="196F7803" w:rsidP="00C144B1">
      <w:pPr>
        <w:pStyle w:val="Bulletlist2"/>
      </w:pPr>
      <w:r>
        <w:t>a degradation half-life in water of &lt; 2 months, and</w:t>
      </w:r>
    </w:p>
    <w:p w14:paraId="3D563A39" w14:textId="77777777" w:rsidR="13711E91" w:rsidRDefault="196F7803" w:rsidP="00C144B1">
      <w:pPr>
        <w:pStyle w:val="Bulletlist2"/>
      </w:pPr>
      <w:r>
        <w:t>a degradation half-life in sediment of &lt; 6 months.</w:t>
      </w:r>
    </w:p>
    <w:p w14:paraId="30047832" w14:textId="77777777" w:rsidR="041D0ACA" w:rsidRDefault="041D0ACA" w:rsidP="5E1450C1">
      <w:pPr>
        <w:pStyle w:val="Heading2"/>
      </w:pPr>
      <w:bookmarkStart w:id="3" w:name="_Toc238816795"/>
      <w:r>
        <w:t>2.2</w:t>
      </w:r>
      <w:r w:rsidR="00E64EAF">
        <w:tab/>
      </w:r>
      <w:r>
        <w:t>Section 6 of the IC General Rules</w:t>
      </w:r>
      <w:bookmarkEnd w:id="3"/>
    </w:p>
    <w:p w14:paraId="3683E7B0" w14:textId="77777777" w:rsidR="041D0ACA" w:rsidRDefault="041D0ACA" w:rsidP="5E1450C1">
      <w:pPr>
        <w:pStyle w:val="Heading3"/>
      </w:pPr>
      <w:r>
        <w:t>2.2.1</w:t>
      </w:r>
      <w:r w:rsidR="00E64EAF">
        <w:tab/>
      </w:r>
      <w:r>
        <w:t>International parallel process</w:t>
      </w:r>
    </w:p>
    <w:p w14:paraId="7D5C1663" w14:textId="3E5E2070" w:rsidR="5E1450C1" w:rsidRDefault="041D0ACA" w:rsidP="5E1450C1">
      <w:r>
        <w:t>For the purposes of table items 8 and 9 of subsection 6(3) of the IC General Rules, an</w:t>
      </w:r>
      <w:r w:rsidR="00E64EAF">
        <w:t xml:space="preserve"> </w:t>
      </w:r>
      <w:r w:rsidRPr="00173B00">
        <w:rPr>
          <w:b/>
          <w:bCs/>
        </w:rPr>
        <w:t>international parallel process</w:t>
      </w:r>
      <w:r>
        <w:t xml:space="preserve"> means a multilateral notification arrangement that has been undertaken in accordance with the ‘Standard Operating Procedures (SOP) For </w:t>
      </w:r>
      <w:proofErr w:type="gramStart"/>
      <w:r>
        <w:t>The</w:t>
      </w:r>
      <w:proofErr w:type="gramEnd"/>
      <w:r>
        <w:t xml:space="preserve"> OECD Clearing House </w:t>
      </w:r>
      <w:proofErr w:type="gramStart"/>
      <w:r>
        <w:t>On</w:t>
      </w:r>
      <w:proofErr w:type="gramEnd"/>
      <w:r>
        <w:t xml:space="preserve"> New Chemicals Parallel Process’ (ENV/JM/</w:t>
      </w:r>
      <w:proofErr w:type="gramStart"/>
      <w:r>
        <w:t>MONO(</w:t>
      </w:r>
      <w:proofErr w:type="gramEnd"/>
      <w:r>
        <w:t>2012)26)</w:t>
      </w:r>
      <w:r w:rsidR="00C37435">
        <w:rPr>
          <w:rStyle w:val="FootnoteReference"/>
        </w:rPr>
        <w:footnoteReference w:id="2"/>
      </w:r>
    </w:p>
    <w:p w14:paraId="50D3D0CB" w14:textId="77777777" w:rsidR="5E1450C1" w:rsidRDefault="51A1F62B" w:rsidP="00772681">
      <w:pPr>
        <w:pStyle w:val="Heading1"/>
      </w:pPr>
      <w:bookmarkStart w:id="4" w:name="_Toc238816796"/>
      <w:r>
        <w:t>Definition of terms in Chapter 2, Part 2 of the IC General Rules</w:t>
      </w:r>
      <w:bookmarkEnd w:id="4"/>
    </w:p>
    <w:p w14:paraId="68FDED43" w14:textId="77777777" w:rsidR="51A1F62B" w:rsidRDefault="51A1F62B" w:rsidP="5E1450C1">
      <w:pPr>
        <w:pStyle w:val="Heading2"/>
      </w:pPr>
      <w:bookmarkStart w:id="5" w:name="_Toc238816797"/>
      <w:r>
        <w:t>3.1</w:t>
      </w:r>
      <w:r w:rsidR="00BE3DAC">
        <w:tab/>
      </w:r>
      <w:r>
        <w:t>High molecular weight polymer that has lung overloading potential</w:t>
      </w:r>
      <w:bookmarkEnd w:id="5"/>
    </w:p>
    <w:p w14:paraId="7084044B" w14:textId="77777777" w:rsidR="5E1450C1" w:rsidRDefault="51A1F62B" w:rsidP="5E1450C1">
      <w:r>
        <w:t>For the purposes of subsection 26(6) of the IC General Rules:</w:t>
      </w:r>
    </w:p>
    <w:p w14:paraId="13A5B31A" w14:textId="77777777" w:rsidR="51A1F62B" w:rsidRDefault="51A1F62B" w:rsidP="5E1450C1">
      <w:r>
        <w:t xml:space="preserve">High molecular weight polymer that has lung overloading potential means that </w:t>
      </w:r>
      <w:proofErr w:type="gramStart"/>
      <w:r>
        <w:t>all of</w:t>
      </w:r>
      <w:proofErr w:type="gramEnd"/>
      <w:r>
        <w:t xml:space="preserve"> the following apply to the industrial chemical:</w:t>
      </w:r>
    </w:p>
    <w:p w14:paraId="56D497AE" w14:textId="77777777" w:rsidR="51A1F62B" w:rsidRDefault="51A1F62B" w:rsidP="000A5B68">
      <w:pPr>
        <w:pStyle w:val="Bulletlist"/>
      </w:pPr>
      <w:r>
        <w:t>it is a polymer, and</w:t>
      </w:r>
    </w:p>
    <w:p w14:paraId="34CBC0A2" w14:textId="77777777" w:rsidR="6E9CE804" w:rsidRDefault="00C96B59" w:rsidP="000A5B68">
      <w:pPr>
        <w:pStyle w:val="Bulletlist"/>
      </w:pPr>
      <w:r>
        <w:t>i</w:t>
      </w:r>
      <w:r w:rsidR="51A1F62B">
        <w:t>t has a number average molecular weight that is &gt; 70,000 g/mol, and</w:t>
      </w:r>
    </w:p>
    <w:p w14:paraId="07A9D934" w14:textId="77777777" w:rsidR="40F40657" w:rsidRDefault="00C96B59" w:rsidP="000A5B68">
      <w:pPr>
        <w:pStyle w:val="Bulletlist"/>
      </w:pPr>
      <w:r>
        <w:t>i</w:t>
      </w:r>
      <w:r w:rsidR="51A1F62B">
        <w:t>t has a solubility in water of &lt; 0.1 mg/L, and</w:t>
      </w:r>
    </w:p>
    <w:p w14:paraId="19FE44E8" w14:textId="77777777" w:rsidR="51A1F62B" w:rsidRDefault="51A1F62B" w:rsidP="000A5B68">
      <w:pPr>
        <w:pStyle w:val="Bulletlist"/>
      </w:pPr>
      <w:r>
        <w:t>it becomes aerosolised during end use.</w:t>
      </w:r>
    </w:p>
    <w:p w14:paraId="4AA647C8" w14:textId="77777777" w:rsidR="51A1F62B" w:rsidRDefault="51A1F62B" w:rsidP="5E1450C1">
      <w:pPr>
        <w:pStyle w:val="Heading2"/>
      </w:pPr>
      <w:bookmarkStart w:id="6" w:name="_Toc238816798"/>
      <w:r>
        <w:lastRenderedPageBreak/>
        <w:t>3.2</w:t>
      </w:r>
      <w:r w:rsidR="005B2524">
        <w:tab/>
      </w:r>
      <w:r>
        <w:t>Polymer is stable</w:t>
      </w:r>
      <w:bookmarkEnd w:id="6"/>
      <w:r>
        <w:t xml:space="preserve"> </w:t>
      </w:r>
    </w:p>
    <w:p w14:paraId="681C92C7" w14:textId="77777777" w:rsidR="5E1450C1" w:rsidRDefault="51A1F62B" w:rsidP="5E1450C1">
      <w:r>
        <w:t xml:space="preserve">For the purposes of subsection 26(7) of the IC General Rules: </w:t>
      </w:r>
    </w:p>
    <w:p w14:paraId="2B37D54E" w14:textId="77777777" w:rsidR="51A1F62B" w:rsidRDefault="51A1F62B" w:rsidP="5E1450C1">
      <w:r>
        <w:t xml:space="preserve">Polymer is stable means that </w:t>
      </w:r>
      <w:proofErr w:type="gramStart"/>
      <w:r>
        <w:t>all of</w:t>
      </w:r>
      <w:proofErr w:type="gramEnd"/>
      <w:r>
        <w:t xml:space="preserve"> the following apply to the industrial chemical: </w:t>
      </w:r>
    </w:p>
    <w:p w14:paraId="17FED23A" w14:textId="77777777" w:rsidR="51A1F62B" w:rsidRDefault="5A25B2E6" w:rsidP="000A5B68">
      <w:pPr>
        <w:pStyle w:val="Bulletlist"/>
      </w:pPr>
      <w:r>
        <w:t xml:space="preserve">the chemical is a polymer, and </w:t>
      </w:r>
    </w:p>
    <w:p w14:paraId="25D3BA16" w14:textId="77777777" w:rsidR="00C96B59" w:rsidRDefault="5A25B2E6" w:rsidP="000A5B68">
      <w:pPr>
        <w:pStyle w:val="Bulletlist"/>
      </w:pPr>
      <w:r>
        <w:t>the polymer does not substantially degrade, decompose or depolymerise during use; that is, the polymer is not considerably, meaningfully or to a significantly large extent, changed into simpler, smaller molecular weight chemicals as the result of processes including, but not limited to:</w:t>
      </w:r>
    </w:p>
    <w:p w14:paraId="4696AE9D" w14:textId="77777777" w:rsidR="00C96B59" w:rsidRDefault="471651F1" w:rsidP="00C144B1">
      <w:pPr>
        <w:pStyle w:val="Bulletlist2"/>
      </w:pPr>
      <w:r>
        <w:t xml:space="preserve">oxidation </w:t>
      </w:r>
    </w:p>
    <w:p w14:paraId="1DB5A7F6" w14:textId="77777777" w:rsidR="00C96B59" w:rsidRDefault="471651F1" w:rsidP="00C144B1">
      <w:pPr>
        <w:pStyle w:val="Bulletlist2"/>
      </w:pPr>
      <w:r>
        <w:t xml:space="preserve">hydrolysis </w:t>
      </w:r>
    </w:p>
    <w:p w14:paraId="5CF9438F" w14:textId="77777777" w:rsidR="00C96B59" w:rsidRDefault="471651F1" w:rsidP="00C144B1">
      <w:pPr>
        <w:pStyle w:val="Bulletlist2"/>
      </w:pPr>
      <w:r>
        <w:t xml:space="preserve">heat </w:t>
      </w:r>
    </w:p>
    <w:p w14:paraId="61A1B1D1" w14:textId="77777777" w:rsidR="00C96B59" w:rsidRDefault="471651F1" w:rsidP="00C144B1">
      <w:pPr>
        <w:pStyle w:val="Bulletlist2"/>
      </w:pPr>
      <w:r>
        <w:t xml:space="preserve">sunlight </w:t>
      </w:r>
    </w:p>
    <w:p w14:paraId="132F9C35" w14:textId="77777777" w:rsidR="00C96B59" w:rsidRDefault="471651F1" w:rsidP="00C144B1">
      <w:pPr>
        <w:pStyle w:val="Bulletlist2"/>
      </w:pPr>
      <w:r>
        <w:t xml:space="preserve">attack by solvents </w:t>
      </w:r>
    </w:p>
    <w:p w14:paraId="24886BB5" w14:textId="77777777" w:rsidR="51A1F62B" w:rsidRDefault="471651F1" w:rsidP="00C144B1">
      <w:pPr>
        <w:pStyle w:val="Bulletlist2"/>
      </w:pPr>
      <w:r>
        <w:t>microbial action.</w:t>
      </w:r>
    </w:p>
    <w:p w14:paraId="2098B90D" w14:textId="77777777" w:rsidR="18C9E31C" w:rsidRDefault="18C9E31C" w:rsidP="00772681">
      <w:pPr>
        <w:pStyle w:val="Heading1"/>
      </w:pPr>
      <w:bookmarkStart w:id="7" w:name="_Toc238816799"/>
      <w:r>
        <w:t>Definition of terms in Chapter 2, Part 3 of the IC General Rules</w:t>
      </w:r>
      <w:bookmarkEnd w:id="7"/>
    </w:p>
    <w:p w14:paraId="1DFFE757" w14:textId="77777777" w:rsidR="18C9E31C" w:rsidRDefault="18C9E31C" w:rsidP="5E1450C1">
      <w:pPr>
        <w:pStyle w:val="Heading2"/>
      </w:pPr>
      <w:bookmarkStart w:id="8" w:name="_Toc238816800"/>
      <w:r>
        <w:t xml:space="preserve">4.1 </w:t>
      </w:r>
      <w:r w:rsidR="004F0E1E">
        <w:tab/>
      </w:r>
      <w:r>
        <w:t>Section 28 of the IC General Rules</w:t>
      </w:r>
      <w:bookmarkEnd w:id="8"/>
    </w:p>
    <w:p w14:paraId="7D5AB03F" w14:textId="77777777" w:rsidR="18C9E31C" w:rsidRDefault="18C9E31C" w:rsidP="5E1450C1">
      <w:pPr>
        <w:pStyle w:val="Heading3"/>
      </w:pPr>
      <w:r>
        <w:t xml:space="preserve">4.1.1 </w:t>
      </w:r>
      <w:r w:rsidR="004F0E1E">
        <w:tab/>
      </w:r>
      <w:r>
        <w:t>Not soluble</w:t>
      </w:r>
    </w:p>
    <w:p w14:paraId="1B285135" w14:textId="77777777" w:rsidR="18C9E31C" w:rsidRDefault="18C9E31C" w:rsidP="5E1450C1">
      <w:r>
        <w:t>For the purposes of table item 3(b) of section 28 of the IC General Rules, not soluble means</w:t>
      </w:r>
      <w:r w:rsidR="00640512">
        <w:t xml:space="preserve"> </w:t>
      </w:r>
      <w:r>
        <w:t>at least one of the following applies:</w:t>
      </w:r>
    </w:p>
    <w:p w14:paraId="74C01C84" w14:textId="77777777" w:rsidR="18C9E31C" w:rsidRDefault="18C9E31C" w:rsidP="000A5B68">
      <w:pPr>
        <w:pStyle w:val="Bulletlist"/>
      </w:pPr>
      <w:r>
        <w:t>the solubility of the chemical in water is &lt; 33.3 g/L, measured following an acceptable test guideline for water solubility, or</w:t>
      </w:r>
    </w:p>
    <w:p w14:paraId="0912F1FC" w14:textId="77777777" w:rsidR="18C9E31C" w:rsidRDefault="18C9E31C" w:rsidP="000A5B68">
      <w:pPr>
        <w:pStyle w:val="Bulletlist"/>
      </w:pPr>
      <w:r>
        <w:t>the dissolution rate of the chemical is ≤ 70%.</w:t>
      </w:r>
    </w:p>
    <w:p w14:paraId="36DA181B" w14:textId="1765B790" w:rsidR="5E1450C1" w:rsidRDefault="18C9E31C" w:rsidP="004F0E1E">
      <w:pPr>
        <w:pStyle w:val="Heading3"/>
      </w:pPr>
      <w:r>
        <w:t>4.1.2</w:t>
      </w:r>
      <w:r w:rsidR="00640512">
        <w:tab/>
      </w:r>
      <w:r>
        <w:t xml:space="preserve">The risks to human health from the introduction and use of the industrial </w:t>
      </w:r>
      <w:r w:rsidR="26DA4C9F">
        <w:t>chemical</w:t>
      </w:r>
      <w:r>
        <w:t xml:space="preserve"> are no higher in Australia than in the overseas jurisdiction </w:t>
      </w:r>
    </w:p>
    <w:p w14:paraId="67DB8931" w14:textId="77777777" w:rsidR="18C9E31C" w:rsidRDefault="18C9E31C" w:rsidP="5E1450C1">
      <w:r>
        <w:t>For the purposes of table item 6(c) of section 28 of the IC General Rules:</w:t>
      </w:r>
    </w:p>
    <w:p w14:paraId="6C2AFE48" w14:textId="77777777" w:rsidR="18C9E31C" w:rsidRDefault="18C9E31C" w:rsidP="5E1450C1">
      <w:r>
        <w:t xml:space="preserve">To work out if the risks to human health from the introduction and use of the industrial chemical are no higher in Australia than in the overseas jurisdiction, </w:t>
      </w:r>
      <w:proofErr w:type="gramStart"/>
      <w:r>
        <w:t>all of</w:t>
      </w:r>
      <w:proofErr w:type="gramEnd"/>
      <w:r>
        <w:t xml:space="preserve"> the following must be considered:</w:t>
      </w:r>
    </w:p>
    <w:p w14:paraId="4869F60F" w14:textId="77777777" w:rsidR="18C9E31C" w:rsidRDefault="18C9E31C" w:rsidP="000A5B68">
      <w:pPr>
        <w:pStyle w:val="Bulletlist"/>
      </w:pPr>
      <w:r>
        <w:t>the mode of introduction of the chemical (import or manufacture) into Australia compared to the mode of introduction of the chemical into the overseas jurisdiction, and</w:t>
      </w:r>
    </w:p>
    <w:p w14:paraId="2411787D" w14:textId="77777777" w:rsidR="18C9E31C" w:rsidRDefault="18C9E31C" w:rsidP="000A5B68">
      <w:pPr>
        <w:pStyle w:val="Bulletlist"/>
      </w:pPr>
      <w:r>
        <w:t>the concentration of the chemical when introduced into Australia compared to the concentration when introduced into the overseas jurisdiction, and</w:t>
      </w:r>
    </w:p>
    <w:p w14:paraId="4D48217C" w14:textId="77777777" w:rsidR="18C9E31C" w:rsidRDefault="18C9E31C" w:rsidP="000A5B68">
      <w:pPr>
        <w:pStyle w:val="Bulletlist"/>
      </w:pPr>
      <w:r>
        <w:t xml:space="preserve">the use of the chemical in Australia compared to the use of the chemical in the overseas jurisdiction </w:t>
      </w:r>
      <w:r w:rsidR="005B7E03">
        <w:t>–</w:t>
      </w:r>
      <w:r>
        <w:t xml:space="preserve"> note that ‘use’ is broader than ‘end use’ (refer to the IC Act for definitions of these terms), and</w:t>
      </w:r>
    </w:p>
    <w:p w14:paraId="63397639" w14:textId="77777777" w:rsidR="18C9E31C" w:rsidRDefault="18C9E31C" w:rsidP="000A5B68">
      <w:pPr>
        <w:pStyle w:val="Bulletlist"/>
      </w:pPr>
      <w:r>
        <w:t xml:space="preserve">the concentration(s) of the chemical when used in Australia compared to the concentration(s) when used in the overseas jurisdiction </w:t>
      </w:r>
      <w:r w:rsidR="005B7E03">
        <w:t>–</w:t>
      </w:r>
      <w:r>
        <w:t xml:space="preserve"> note that ‘use’ is broader than ‘end use’ so the concentration(s) during use may be different to the concentration during end use, and</w:t>
      </w:r>
    </w:p>
    <w:p w14:paraId="2E79634B" w14:textId="1D721F88" w:rsidR="18C9E31C" w:rsidRDefault="18C9E31C" w:rsidP="000A5B68">
      <w:pPr>
        <w:pStyle w:val="Bulletlist"/>
      </w:pPr>
      <w:r>
        <w:t>the route of any expected human exposure to the chemical during introduction and</w:t>
      </w:r>
      <w:r w:rsidR="000103CD">
        <w:t xml:space="preserve"> </w:t>
      </w:r>
      <w:r>
        <w:t>use (including end use) in Australia compared to the route of any expected human exposure in the overseas jurisdiction during introduction and use (including end use).</w:t>
      </w:r>
    </w:p>
    <w:p w14:paraId="01E2EE05" w14:textId="77777777" w:rsidR="18C9E31C" w:rsidRDefault="18C9E31C" w:rsidP="5E1450C1">
      <w:r>
        <w:lastRenderedPageBreak/>
        <w:t>If any of these comparisons indicate a difference between Australia and the overseas jurisdiction, it must be considered whether this increases the risk to human health in</w:t>
      </w:r>
      <w:r w:rsidR="0BFF84D1">
        <w:t xml:space="preserve"> Australia</w:t>
      </w:r>
      <w:r w:rsidR="00640512">
        <w:t>.</w:t>
      </w:r>
    </w:p>
    <w:p w14:paraId="79D1EB03" w14:textId="77777777" w:rsidR="5E1450C1" w:rsidRDefault="1DE2E6B0" w:rsidP="5598C04C">
      <w:pPr>
        <w:pStyle w:val="Heading2"/>
      </w:pPr>
      <w:bookmarkStart w:id="9" w:name="_Toc238816801"/>
      <w:r>
        <w:t>4.2</w:t>
      </w:r>
      <w:r w:rsidR="004F0E1E">
        <w:tab/>
      </w:r>
      <w:r>
        <w:t>Section 29 of the IC General Rules</w:t>
      </w:r>
      <w:bookmarkEnd w:id="9"/>
    </w:p>
    <w:p w14:paraId="0531D0F3" w14:textId="77777777" w:rsidR="5E1450C1" w:rsidRDefault="1DE2E6B0" w:rsidP="5598C04C">
      <w:pPr>
        <w:pStyle w:val="Heading3"/>
      </w:pPr>
      <w:r>
        <w:t xml:space="preserve">4.2.1 </w:t>
      </w:r>
      <w:r w:rsidR="004F0E1E">
        <w:tab/>
      </w:r>
      <w:r>
        <w:t>Not soluble</w:t>
      </w:r>
    </w:p>
    <w:p w14:paraId="6329B23F" w14:textId="77777777" w:rsidR="5E1450C1" w:rsidRDefault="1DE2E6B0" w:rsidP="5E1450C1">
      <w:r>
        <w:t>For the purposes of table item 3(b) of section 29 of the IC General Rules, not soluble means at least one of the following applies:</w:t>
      </w:r>
    </w:p>
    <w:p w14:paraId="51A80F06" w14:textId="77777777" w:rsidR="5E1450C1" w:rsidRDefault="1DE2E6B0" w:rsidP="000A5B68">
      <w:pPr>
        <w:pStyle w:val="Bulletlist"/>
      </w:pPr>
      <w:r>
        <w:t>the solubility of the chemical in water is &lt; 33.3 g/L, measured following an acceptable test guideline for water solubility, or</w:t>
      </w:r>
    </w:p>
    <w:p w14:paraId="375547DA" w14:textId="77777777" w:rsidR="5E1450C1" w:rsidRDefault="1DE2E6B0" w:rsidP="000A5B68">
      <w:pPr>
        <w:pStyle w:val="Bulletlist"/>
      </w:pPr>
      <w:r>
        <w:t>the dissolution rate of the chemical is ≤ 70%.</w:t>
      </w:r>
    </w:p>
    <w:p w14:paraId="5DB23489" w14:textId="77777777" w:rsidR="5E1450C1" w:rsidRDefault="1DE2E6B0" w:rsidP="5598C04C">
      <w:pPr>
        <w:pStyle w:val="Heading3"/>
      </w:pPr>
      <w:r>
        <w:t>4.2.2</w:t>
      </w:r>
      <w:r w:rsidR="000C04BD">
        <w:tab/>
      </w:r>
      <w:r>
        <w:t xml:space="preserve">The risks to the environment from the introduction and use of the industrial chemical are no higher in Australia than in the overseas jurisdiction </w:t>
      </w:r>
    </w:p>
    <w:p w14:paraId="18964A68" w14:textId="77777777" w:rsidR="5E1450C1" w:rsidRDefault="1DE2E6B0" w:rsidP="5E1450C1">
      <w:r>
        <w:t>For the purposes of table item 9(c) of section 29 of the IC General Rules:</w:t>
      </w:r>
    </w:p>
    <w:p w14:paraId="58B13B11" w14:textId="77777777" w:rsidR="5E1450C1" w:rsidRDefault="1DE2E6B0" w:rsidP="5E1450C1">
      <w:r>
        <w:t xml:space="preserve">To work out if the risks to the environment from the introduction and use of the industrial chemical are no higher in Australia than in the overseas jurisdiction, </w:t>
      </w:r>
      <w:proofErr w:type="gramStart"/>
      <w:r>
        <w:t>all of</w:t>
      </w:r>
      <w:proofErr w:type="gramEnd"/>
      <w:r>
        <w:t xml:space="preserve"> the following must be considered:</w:t>
      </w:r>
    </w:p>
    <w:p w14:paraId="2233D95D" w14:textId="77777777" w:rsidR="5E1450C1" w:rsidRDefault="1DE2E6B0" w:rsidP="000A5B68">
      <w:pPr>
        <w:pStyle w:val="Bulletlist"/>
      </w:pPr>
      <w:r>
        <w:t xml:space="preserve">the mode of introduction of the chemical (import or manufacture) into Australia compared to the mode of introduction of the chemical into the overseas jurisdiction, </w:t>
      </w:r>
      <w:r w:rsidR="37EC02F9">
        <w:t>a</w:t>
      </w:r>
      <w:r>
        <w:t>nd</w:t>
      </w:r>
    </w:p>
    <w:p w14:paraId="3A2684A0" w14:textId="77777777" w:rsidR="5E1450C1" w:rsidRDefault="1DE2E6B0" w:rsidP="000A5B68">
      <w:pPr>
        <w:pStyle w:val="Bulletlist"/>
      </w:pPr>
      <w:r>
        <w:t xml:space="preserve">the use of the chemical in Australia compared to the use of the chemical in the overseas jurisdiction </w:t>
      </w:r>
      <w:r w:rsidR="005B7E03">
        <w:t>–</w:t>
      </w:r>
      <w:r>
        <w:t xml:space="preserve"> note that ‘use’ is broader than ‘end use’ and includes release into the environment (such as waste disposal), and</w:t>
      </w:r>
    </w:p>
    <w:p w14:paraId="72BABEAC" w14:textId="77777777" w:rsidR="5E1450C1" w:rsidRDefault="1DE2E6B0" w:rsidP="000A5B68">
      <w:pPr>
        <w:pStyle w:val="Bulletlist"/>
      </w:pPr>
      <w:r>
        <w:t>the environment risk assessment assumptions used by the international assessment</w:t>
      </w:r>
      <w:r w:rsidR="4DA6EAC6">
        <w:t xml:space="preserve"> </w:t>
      </w:r>
      <w:r>
        <w:t>body compared to the environment risk assessment assumptions that would be used in Australia.</w:t>
      </w:r>
    </w:p>
    <w:p w14:paraId="0131B071" w14:textId="77777777" w:rsidR="5E1450C1" w:rsidRDefault="1DE2E6B0" w:rsidP="5E1450C1">
      <w:r>
        <w:t>If any of these comparisons indicate a difference between Australia and the overseas jurisdiction, it must be considered whether this increases the risk to the environment in Australia (for example, if the risk quotient (RQ) value would be higher in Australia).</w:t>
      </w:r>
    </w:p>
    <w:p w14:paraId="6A4A9E83" w14:textId="77777777" w:rsidR="5E1450C1" w:rsidRDefault="1DE2E6B0" w:rsidP="5E1450C1">
      <w:r>
        <w:t>The environment risk assessment assumptions that must be considered include:</w:t>
      </w:r>
    </w:p>
    <w:p w14:paraId="4BB00206" w14:textId="77777777" w:rsidR="5E1450C1" w:rsidRDefault="1DE2E6B0" w:rsidP="000A5B68">
      <w:pPr>
        <w:pStyle w:val="Bulletlist"/>
      </w:pPr>
      <w:r>
        <w:t>PBT (persistence, bioaccumulation and toxicity) criteria (each of persistence, bioaccumulation and toxicity must be considered)</w:t>
      </w:r>
    </w:p>
    <w:p w14:paraId="3A4A7DD7" w14:textId="77777777" w:rsidR="5E1450C1" w:rsidRDefault="1DE2E6B0" w:rsidP="000A5B68">
      <w:pPr>
        <w:pStyle w:val="Bulletlist"/>
      </w:pPr>
      <w:r>
        <w:t>factors used to estimate environmental exposure</w:t>
      </w:r>
    </w:p>
    <w:p w14:paraId="56CA7CE4" w14:textId="77777777" w:rsidR="5E1450C1" w:rsidRDefault="1DE2E6B0" w:rsidP="000A5B68">
      <w:pPr>
        <w:pStyle w:val="Bulletlist"/>
      </w:pPr>
      <w:r>
        <w:t>size of the population</w:t>
      </w:r>
    </w:p>
    <w:p w14:paraId="3126243A" w14:textId="77777777" w:rsidR="5E1450C1" w:rsidRDefault="1DE2E6B0" w:rsidP="000A5B68">
      <w:pPr>
        <w:pStyle w:val="Bulletlist"/>
      </w:pPr>
      <w:r>
        <w:t>dilution factors during disposal</w:t>
      </w:r>
    </w:p>
    <w:p w14:paraId="1F48800B" w14:textId="77777777" w:rsidR="5E1450C1" w:rsidRDefault="1DE2E6B0" w:rsidP="000A5B68">
      <w:pPr>
        <w:pStyle w:val="Bulletlist"/>
      </w:pPr>
      <w:r>
        <w:t>efficiency of sewage treatment plant (STP) removal</w:t>
      </w:r>
    </w:p>
    <w:p w14:paraId="3B64D799" w14:textId="77777777" w:rsidR="5E1450C1" w:rsidRDefault="02AE9BB5" w:rsidP="00772681">
      <w:pPr>
        <w:pStyle w:val="Heading1"/>
      </w:pPr>
      <w:bookmarkStart w:id="10" w:name="_Toc238816802"/>
      <w:r>
        <w:lastRenderedPageBreak/>
        <w:t>Definitions of terms in Chapter 4, Part 4 of the IC General Rules</w:t>
      </w:r>
      <w:bookmarkEnd w:id="10"/>
    </w:p>
    <w:p w14:paraId="26AFEBDD" w14:textId="77777777" w:rsidR="5E1450C1" w:rsidRDefault="02AE9BB5" w:rsidP="004F0E1E">
      <w:pPr>
        <w:pStyle w:val="Heading2"/>
      </w:pPr>
      <w:bookmarkStart w:id="11" w:name="_Toc238816803"/>
      <w:r>
        <w:t>5.1</w:t>
      </w:r>
      <w:r w:rsidR="004F0E1E">
        <w:tab/>
      </w:r>
      <w:r>
        <w:t>The potential for the industrial chemical to migrate to food</w:t>
      </w:r>
      <w:bookmarkEnd w:id="11"/>
    </w:p>
    <w:p w14:paraId="45F84A9C" w14:textId="77777777" w:rsidR="5E1450C1" w:rsidRDefault="02AE9BB5" w:rsidP="5E1450C1">
      <w:r>
        <w:t>For the purposes of table item 4 of subsection 51(4), table item 4 of subsection 54(4), and table item 5 of subsection 57(3) of the IC General Rules:</w:t>
      </w:r>
    </w:p>
    <w:p w14:paraId="61532DE4" w14:textId="77777777" w:rsidR="5E1450C1" w:rsidRDefault="02AE9BB5" w:rsidP="5E1450C1">
      <w:r w:rsidRPr="5598C04C">
        <w:rPr>
          <w:b/>
          <w:bCs/>
        </w:rPr>
        <w:t>The potential for the industrial chemical to migrate to food</w:t>
      </w:r>
      <w:r>
        <w:t>, in relation to the introduction of an industrial chemical that has an end use in an article with food contact, means quantitative information on the extent of the chemical’s transfer from the article to food. This is not required if any of the following apply to the industrial chemical:</w:t>
      </w:r>
    </w:p>
    <w:p w14:paraId="4F148142" w14:textId="77777777" w:rsidR="5E1450C1" w:rsidRDefault="02AE9BB5" w:rsidP="000A5B68">
      <w:pPr>
        <w:pStyle w:val="Bulletlist"/>
      </w:pPr>
      <w:r>
        <w:t>it has an estimated dietary exposure value less than the threshold of toxicological concern (TTC) for the industrial chemical based on its structural class categorisation according to Cramer</w:t>
      </w:r>
      <w:r w:rsidR="00D710B1">
        <w:rPr>
          <w:rStyle w:val="FootnoteReference"/>
        </w:rPr>
        <w:footnoteReference w:id="3"/>
      </w:r>
    </w:p>
    <w:p w14:paraId="60AF9D5D" w14:textId="77777777" w:rsidR="5E1450C1" w:rsidRDefault="02AE9BB5" w:rsidP="5E1450C1">
      <w:r>
        <w:t>or</w:t>
      </w:r>
    </w:p>
    <w:p w14:paraId="4C34D133" w14:textId="77777777" w:rsidR="0036601B" w:rsidRDefault="02AE9BB5" w:rsidP="000A5B68">
      <w:pPr>
        <w:pStyle w:val="Bulletlist"/>
      </w:pPr>
      <w:r>
        <w:t>its end use, concentration at the end use, and dietary concentration associated with</w:t>
      </w:r>
      <w:r w:rsidR="02F3C656">
        <w:t xml:space="preserve"> </w:t>
      </w:r>
      <w:r>
        <w:t>the end use, as applicable, are consistent with one or more of the following:</w:t>
      </w:r>
    </w:p>
    <w:p w14:paraId="214A7842" w14:textId="77777777" w:rsidR="0036601B" w:rsidRPr="00BC4335" w:rsidRDefault="2E2B5C9F" w:rsidP="00C144B1">
      <w:pPr>
        <w:pStyle w:val="Bulletlist2"/>
      </w:pPr>
      <w:r w:rsidRPr="00BC4335">
        <w:t>the listing of the industrial chemical under Annexes I or II to Regulation (EC) No 10/2011 or Annex I to Regulation (EC) No 1935/2004 and any applicable restrictions, or</w:t>
      </w:r>
    </w:p>
    <w:p w14:paraId="40F43094" w14:textId="77777777" w:rsidR="0036601B" w:rsidRPr="00BC4335" w:rsidRDefault="2E2B5C9F" w:rsidP="00C144B1">
      <w:pPr>
        <w:pStyle w:val="Bulletlist2"/>
      </w:pPr>
      <w:r w:rsidRPr="00BC4335">
        <w:t>an adopted opinion on the industrial chemical by the European Food Safety Authority that is in favour of authorising the evaluated substance, or</w:t>
      </w:r>
    </w:p>
    <w:p w14:paraId="72F864DF" w14:textId="77777777" w:rsidR="5E1450C1" w:rsidRPr="00BC4335" w:rsidRDefault="2E2B5C9F" w:rsidP="00C144B1">
      <w:pPr>
        <w:pStyle w:val="Bulletlist2"/>
      </w:pPr>
      <w:r w:rsidRPr="00BC4335">
        <w:t>use of the industrial chemical authorised under the United States Food and Drug Administration (US FDA) regulations, 21 CFR.170-199</w:t>
      </w:r>
    </w:p>
    <w:p w14:paraId="3E42A750" w14:textId="77777777" w:rsidR="5E1450C1" w:rsidRDefault="02AE9BB5" w:rsidP="5E1450C1">
      <w:r>
        <w:t>or</w:t>
      </w:r>
    </w:p>
    <w:p w14:paraId="1E197BE9" w14:textId="31BFA3FD" w:rsidR="5E1450C1" w:rsidRDefault="02AE9BB5" w:rsidP="000A5B68">
      <w:pPr>
        <w:pStyle w:val="Bulletlist"/>
      </w:pPr>
      <w:r>
        <w:t>it is a permitted flavouring substance as defined by</w:t>
      </w:r>
      <w:r w:rsidR="00F03269">
        <w:t xml:space="preserve"> </w:t>
      </w:r>
      <w:hyperlink r:id="rId14" w:history="1">
        <w:r w:rsidR="00F03269" w:rsidRPr="00360031">
          <w:rPr>
            <w:rStyle w:val="Hyperlink"/>
          </w:rPr>
          <w:t>Standard 1.1.2 of the Food Standards Australia New Zealand Act 1991</w:t>
        </w:r>
      </w:hyperlink>
      <w:r>
        <w:t>, with the dietary concentration associated with the end use of the industrial chemical in an article with food contact less than that associated with end use as a flavouring substance</w:t>
      </w:r>
    </w:p>
    <w:p w14:paraId="52B356EF" w14:textId="77777777" w:rsidR="5E1450C1" w:rsidRDefault="02AE9BB5" w:rsidP="5E1450C1">
      <w:r>
        <w:t>or</w:t>
      </w:r>
    </w:p>
    <w:p w14:paraId="451AFEFE" w14:textId="77777777" w:rsidR="00230FBF" w:rsidRDefault="02AE9BB5" w:rsidP="000A5B68">
      <w:pPr>
        <w:pStyle w:val="Bulletlist"/>
      </w:pPr>
      <w:r>
        <w:t>the extent of its migration was below the level of detection in a migration study conducted under conditions that simulated:</w:t>
      </w:r>
    </w:p>
    <w:p w14:paraId="37B52CE4" w14:textId="77777777" w:rsidR="00230FBF" w:rsidRDefault="2E2B5C9F" w:rsidP="00C144B1">
      <w:pPr>
        <w:pStyle w:val="Bulletlist2"/>
      </w:pPr>
      <w:r>
        <w:t>the food types that will be contacted at end use, and</w:t>
      </w:r>
    </w:p>
    <w:p w14:paraId="3C87FFC5" w14:textId="77777777" w:rsidR="5E1450C1" w:rsidRDefault="2E2B5C9F" w:rsidP="00C144B1">
      <w:pPr>
        <w:pStyle w:val="Bulletlist2"/>
      </w:pPr>
      <w:r>
        <w:t>the food contact conditions that are relevant for the end use</w:t>
      </w:r>
    </w:p>
    <w:p w14:paraId="486BF358" w14:textId="77777777" w:rsidR="5E1450C1" w:rsidRDefault="02AE9BB5" w:rsidP="5E1450C1">
      <w:r>
        <w:t>or</w:t>
      </w:r>
    </w:p>
    <w:p w14:paraId="70635B72" w14:textId="77777777" w:rsidR="5E1450C1" w:rsidRDefault="4875D0C4" w:rsidP="000A5B68">
      <w:pPr>
        <w:pStyle w:val="Bulletlist"/>
      </w:pPr>
      <w:r>
        <w:t>the N</w:t>
      </w:r>
      <w:r w:rsidR="00230FBF">
        <w:t>o</w:t>
      </w:r>
      <w:r>
        <w:t xml:space="preserve"> Observed Adverse Effect Level (NOAEL) in an in vivo study on the industrial chemical or from suitable read-across information conducted:</w:t>
      </w:r>
    </w:p>
    <w:p w14:paraId="2EB81482" w14:textId="77777777" w:rsidR="5E1450C1" w:rsidRDefault="4875D0C4" w:rsidP="00C144B1">
      <w:pPr>
        <w:pStyle w:val="Bulletlist2"/>
      </w:pPr>
      <w:r>
        <w:lastRenderedPageBreak/>
        <w:t>for an acceptable test guideline for subacute oral toxicity – in vivo ≥ 1000 mg/kg bw/day</w:t>
      </w:r>
    </w:p>
    <w:p w14:paraId="66F78EE0" w14:textId="049C8610" w:rsidR="5E1450C1" w:rsidRDefault="4875D0C4" w:rsidP="00C144B1">
      <w:pPr>
        <w:pStyle w:val="Bulletlist2"/>
      </w:pPr>
      <w:r>
        <w:t>for an acceptable test guideline for subchronic oral toxicity – in vivo ≥</w:t>
      </w:r>
      <w:r w:rsidR="000103CD">
        <w:t xml:space="preserve"> </w:t>
      </w:r>
      <w:r>
        <w:t>300 mg/kg bw/da</w:t>
      </w:r>
      <w:r w:rsidR="000103CD">
        <w:t>y</w:t>
      </w:r>
    </w:p>
    <w:p w14:paraId="42310470" w14:textId="77777777" w:rsidR="5E1450C1" w:rsidRDefault="5117E453" w:rsidP="5598C04C">
      <w:pPr>
        <w:pStyle w:val="Heading2"/>
      </w:pPr>
      <w:bookmarkStart w:id="12" w:name="_Toc238816804"/>
      <w:r>
        <w:t>5.2</w:t>
      </w:r>
      <w:r w:rsidR="004F0E1E">
        <w:tab/>
      </w:r>
      <w:r>
        <w:t>The potential for the industrial chemical to be released into the mouth during end use or mouthing</w:t>
      </w:r>
      <w:bookmarkEnd w:id="12"/>
    </w:p>
    <w:p w14:paraId="6D840717" w14:textId="77777777" w:rsidR="5E1450C1" w:rsidRDefault="5117E453" w:rsidP="5E1450C1">
      <w:r>
        <w:t>For the purposes of table item 5 of subsection 51(4), table item 5 of subsection 54(4), and table item 6 of subsection 57(3) of the IC General Rules:</w:t>
      </w:r>
    </w:p>
    <w:p w14:paraId="7D10E55A" w14:textId="77777777" w:rsidR="5E1450C1" w:rsidRDefault="5117E453" w:rsidP="5E1450C1">
      <w:r w:rsidRPr="5598C04C">
        <w:rPr>
          <w:b/>
          <w:bCs/>
        </w:rPr>
        <w:t>The potential for the industrial chemical to be released into the mouth during end use or mouthin</w:t>
      </w:r>
      <w:r w:rsidRPr="004B0E1C">
        <w:rPr>
          <w:b/>
          <w:bCs/>
        </w:rPr>
        <w:t>g</w:t>
      </w:r>
      <w:r>
        <w:t>, in relation to the introduction of an industrial chemical that has an end use in an article that is a children’s toy or a children’s care product, means quantitative information on the extent of the chemical’s transfer from the article to the mouth.</w:t>
      </w:r>
    </w:p>
    <w:p w14:paraId="0C3BB266" w14:textId="77777777" w:rsidR="5E1450C1" w:rsidRDefault="5117E453" w:rsidP="5598C04C">
      <w:pPr>
        <w:pStyle w:val="Heading2"/>
      </w:pPr>
      <w:bookmarkStart w:id="13" w:name="_Toc238816805"/>
      <w:r>
        <w:t>5.3</w:t>
      </w:r>
      <w:r w:rsidR="004F0E1E">
        <w:tab/>
      </w:r>
      <w:proofErr w:type="spellStart"/>
      <w:r>
        <w:t>Toxicokinetics</w:t>
      </w:r>
      <w:proofErr w:type="spellEnd"/>
      <w:r>
        <w:t xml:space="preserve"> information</w:t>
      </w:r>
      <w:bookmarkEnd w:id="13"/>
    </w:p>
    <w:p w14:paraId="69379A8A" w14:textId="77777777" w:rsidR="5E1450C1" w:rsidRDefault="5117E453" w:rsidP="5E1450C1">
      <w:r>
        <w:t>For the purposes of table item 3 of subsection 54(4) and table item 4 of subsection 57(3) of the IC General Rules:</w:t>
      </w:r>
    </w:p>
    <w:p w14:paraId="153095C6" w14:textId="77777777" w:rsidR="5E1450C1" w:rsidRDefault="5117E453" w:rsidP="5E1450C1">
      <w:proofErr w:type="spellStart"/>
      <w:r w:rsidRPr="5598C04C">
        <w:rPr>
          <w:b/>
          <w:bCs/>
        </w:rPr>
        <w:t>Toxicokinetics</w:t>
      </w:r>
      <w:proofErr w:type="spellEnd"/>
      <w:r w:rsidRPr="5598C04C">
        <w:rPr>
          <w:b/>
          <w:bCs/>
        </w:rPr>
        <w:t xml:space="preserve"> information</w:t>
      </w:r>
      <w:r>
        <w:t>, in relation to an industrial chemical that is a UV filter, means information for both of the following:</w:t>
      </w:r>
    </w:p>
    <w:p w14:paraId="03EE8727" w14:textId="77777777" w:rsidR="00F14737" w:rsidRDefault="5117E453" w:rsidP="000A5B68">
      <w:pPr>
        <w:pStyle w:val="Bulletlist"/>
      </w:pPr>
      <w:r>
        <w:t>the bioavailability of the chemical by the dermal route, which may be determined using any of the following:</w:t>
      </w:r>
    </w:p>
    <w:p w14:paraId="70C39BD0" w14:textId="77777777" w:rsidR="00F14737" w:rsidRPr="00FB43EB" w:rsidRDefault="3A657AD9" w:rsidP="00C144B1">
      <w:pPr>
        <w:pStyle w:val="Bulletlist2"/>
      </w:pPr>
      <w:r w:rsidRPr="00FB43EB">
        <w:t>an in vitro study on the chemical conducted following OECD test guideline</w:t>
      </w:r>
      <w:r w:rsidR="2C7B5FD4" w:rsidRPr="00FB43EB">
        <w:t xml:space="preserve"> </w:t>
      </w:r>
      <w:r w:rsidRPr="00FB43EB">
        <w:t>428 (to predict skin absorption), or</w:t>
      </w:r>
    </w:p>
    <w:p w14:paraId="1B3D60B1" w14:textId="77777777" w:rsidR="00F14737" w:rsidRPr="00FB43EB" w:rsidRDefault="3A657AD9" w:rsidP="00C144B1">
      <w:pPr>
        <w:pStyle w:val="Bulletlist2"/>
      </w:pPr>
      <w:r w:rsidRPr="00FB43EB">
        <w:t>an in vivo study on the chemical or suitable read-across information conducted following OECD test guideline 417, or</w:t>
      </w:r>
    </w:p>
    <w:p w14:paraId="1CB32FF5" w14:textId="77777777" w:rsidR="00F14737" w:rsidRPr="00FB43EB" w:rsidRDefault="3A657AD9" w:rsidP="00C144B1">
      <w:pPr>
        <w:pStyle w:val="Bulletlist2"/>
      </w:pPr>
      <w:r w:rsidRPr="00FB43EB">
        <w:t>an in vivo study on the chemical or suitable read-across information conducted following OECD test guideline 427 (to predict skin absorption), or</w:t>
      </w:r>
    </w:p>
    <w:p w14:paraId="214392B0" w14:textId="77777777" w:rsidR="5E1450C1" w:rsidRPr="00FB43EB" w:rsidRDefault="3A657AD9" w:rsidP="00C144B1">
      <w:pPr>
        <w:pStyle w:val="Bulletlist2"/>
      </w:pPr>
      <w:r w:rsidRPr="00FB43EB">
        <w:t>an in vivo study on the chemical or suitable read-across information that tests for specific target organ toxicity following repeated dermal exposure in which toxicokinetic parameters are also measured</w:t>
      </w:r>
    </w:p>
    <w:p w14:paraId="385F24C2" w14:textId="77777777" w:rsidR="5E1450C1" w:rsidRDefault="5117E453" w:rsidP="5E1450C1">
      <w:r>
        <w:t>and</w:t>
      </w:r>
    </w:p>
    <w:p w14:paraId="3511F082" w14:textId="77777777" w:rsidR="5E1450C1" w:rsidRDefault="5117E453" w:rsidP="000A5B68">
      <w:pPr>
        <w:pStyle w:val="Bulletlist"/>
      </w:pPr>
      <w:r>
        <w:t xml:space="preserve">any available information on the </w:t>
      </w:r>
      <w:proofErr w:type="spellStart"/>
      <w:r>
        <w:t>toxicokinetics</w:t>
      </w:r>
      <w:proofErr w:type="spellEnd"/>
      <w:r>
        <w:t xml:space="preserve"> of the chemical, which may include</w:t>
      </w:r>
      <w:r w:rsidR="3CB30EB7">
        <w:t xml:space="preserve"> </w:t>
      </w:r>
      <w:r>
        <w:t>information on:</w:t>
      </w:r>
    </w:p>
    <w:p w14:paraId="0C447064" w14:textId="77777777" w:rsidR="5E1450C1" w:rsidRDefault="3A657AD9" w:rsidP="00C144B1">
      <w:pPr>
        <w:pStyle w:val="Bulletlist2"/>
      </w:pPr>
      <w:r>
        <w:t>the absorption of the chemical into the body</w:t>
      </w:r>
    </w:p>
    <w:p w14:paraId="3898528B" w14:textId="77777777" w:rsidR="5E1450C1" w:rsidRDefault="3A657AD9" w:rsidP="00C144B1">
      <w:pPr>
        <w:pStyle w:val="Bulletlist2"/>
      </w:pPr>
      <w:r>
        <w:t>the distribution of the chemical within the body</w:t>
      </w:r>
    </w:p>
    <w:p w14:paraId="46A36A66" w14:textId="77777777" w:rsidR="5E1450C1" w:rsidRDefault="3A657AD9" w:rsidP="00C144B1">
      <w:pPr>
        <w:pStyle w:val="Bulletlist2"/>
      </w:pPr>
      <w:r>
        <w:t>the metabolism of the chemical within the body</w:t>
      </w:r>
    </w:p>
    <w:p w14:paraId="0635A4F9" w14:textId="77777777" w:rsidR="5117E453" w:rsidRDefault="3A657AD9" w:rsidP="00C144B1">
      <w:pPr>
        <w:pStyle w:val="Bulletlist2"/>
      </w:pPr>
      <w:r>
        <w:t>the excretion of the chemical from the body.</w:t>
      </w:r>
    </w:p>
    <w:p w14:paraId="530696BC" w14:textId="77777777" w:rsidR="40583B23" w:rsidRDefault="40583B23" w:rsidP="5598C04C">
      <w:pPr>
        <w:pStyle w:val="Heading2"/>
      </w:pPr>
      <w:bookmarkStart w:id="14" w:name="_Toc238816806"/>
      <w:r>
        <w:t>5.4</w:t>
      </w:r>
      <w:r w:rsidR="004F0E1E">
        <w:tab/>
      </w:r>
      <w:r>
        <w:t>Photostability information</w:t>
      </w:r>
      <w:bookmarkEnd w:id="14"/>
    </w:p>
    <w:p w14:paraId="3ED17F91" w14:textId="77777777" w:rsidR="40583B23" w:rsidRDefault="40583B23" w:rsidP="5598C04C">
      <w:r>
        <w:t>For the purposes of table item 3 of subsection 54(4) and table item 4 of subsection 57(3) of the IC General Rules:</w:t>
      </w:r>
    </w:p>
    <w:p w14:paraId="0617AC48" w14:textId="77777777" w:rsidR="40583B23" w:rsidRDefault="40583B23" w:rsidP="5598C04C">
      <w:r w:rsidRPr="5598C04C">
        <w:rPr>
          <w:b/>
          <w:bCs/>
        </w:rPr>
        <w:t>Photostability information</w:t>
      </w:r>
      <w:r>
        <w:t>, in relation to an industrial chemical that is a UV filter, means information on the chemical to demonstrate its stability in light, including the degree to which it degrades after exposure to UV light.</w:t>
      </w:r>
    </w:p>
    <w:p w14:paraId="5538E806" w14:textId="77777777" w:rsidR="37A5E900" w:rsidRDefault="37A5E900" w:rsidP="00772681">
      <w:pPr>
        <w:pStyle w:val="Heading1"/>
      </w:pPr>
      <w:bookmarkStart w:id="15" w:name="_Toc238816807"/>
      <w:r>
        <w:lastRenderedPageBreak/>
        <w:t>Definitions of terms and concepts relating to Schedule 1 to the IC General Rules</w:t>
      </w:r>
      <w:bookmarkEnd w:id="15"/>
    </w:p>
    <w:p w14:paraId="032A0BEB" w14:textId="44F169CA" w:rsidR="37A5E900" w:rsidRDefault="37A5E900" w:rsidP="00E451B6">
      <w:pPr>
        <w:pStyle w:val="Heading2"/>
        <w:spacing w:before="100" w:after="100"/>
      </w:pPr>
      <w:bookmarkStart w:id="16" w:name="_Toc238816808"/>
      <w:r>
        <w:t>6.1</w:t>
      </w:r>
      <w:r w:rsidR="004F0E1E">
        <w:tab/>
      </w:r>
      <w:r>
        <w:t xml:space="preserve">Definitions of additional terms used within this </w:t>
      </w:r>
      <w:r w:rsidR="000103CD">
        <w:t>P</w:t>
      </w:r>
      <w:r>
        <w:t>art of the Guidelines</w:t>
      </w:r>
      <w:bookmarkEnd w:id="16"/>
    </w:p>
    <w:p w14:paraId="432BC10B" w14:textId="77777777" w:rsidR="001507F8" w:rsidRDefault="001507F8" w:rsidP="001507F8">
      <w:r w:rsidRPr="5598C04C">
        <w:rPr>
          <w:b/>
          <w:bCs/>
        </w:rPr>
        <w:t>Acceptable test guideline</w:t>
      </w:r>
      <w:r>
        <w:t xml:space="preserve"> means a test guideline set out in Appendix 8.4 of these Guidelines for the hazard characteristic.</w:t>
      </w:r>
    </w:p>
    <w:p w14:paraId="3AF09ADE" w14:textId="77777777" w:rsidR="001507F8" w:rsidRDefault="001507F8" w:rsidP="001507F8">
      <w:r w:rsidRPr="5598C04C">
        <w:rPr>
          <w:b/>
          <w:bCs/>
        </w:rPr>
        <w:t>Ester</w:t>
      </w:r>
      <w:r>
        <w:t xml:space="preserve"> means a chemical that can form alcohols and acids by the action of water, dilute acid or dilute alkali.</w:t>
      </w:r>
    </w:p>
    <w:p w14:paraId="7F17F2C3" w14:textId="2B85DE81" w:rsidR="37A5E900" w:rsidRDefault="37A5E900" w:rsidP="5598C04C">
      <w:r w:rsidRPr="5598C04C">
        <w:rPr>
          <w:b/>
          <w:bCs/>
        </w:rPr>
        <w:t>GHS</w:t>
      </w:r>
      <w:r>
        <w:t xml:space="preserve"> means the ‘</w:t>
      </w:r>
      <w:hyperlink r:id="rId15" w:history="1">
        <w:r w:rsidRPr="00BD7CFB">
          <w:rPr>
            <w:rStyle w:val="Hyperlink"/>
          </w:rPr>
          <w:t>Globally Harmonized System of Classification and Labelling of Chemicals</w:t>
        </w:r>
      </w:hyperlink>
      <w:r>
        <w:t>’ (GHS), Seventh revised edition</w:t>
      </w:r>
    </w:p>
    <w:p w14:paraId="54C90C1E" w14:textId="77777777" w:rsidR="37A5E900" w:rsidRDefault="37A5E900" w:rsidP="5598C04C">
      <w:r w:rsidRPr="5598C04C">
        <w:rPr>
          <w:b/>
          <w:bCs/>
        </w:rPr>
        <w:t>List of chemicals with high hazards for categorisation</w:t>
      </w:r>
      <w:r>
        <w:t xml:space="preserve"> means a list of chemicals that have hazard characteristics in human health hazard band C or environment hazard bands D or C</w:t>
      </w:r>
      <w:r w:rsidR="00342D8D">
        <w:t xml:space="preserve"> </w:t>
      </w:r>
      <w:r>
        <w:t>based on at least one of the information sources shown in Appendix 8.1 of these Guidelines.</w:t>
      </w:r>
    </w:p>
    <w:p w14:paraId="3FE2AD3F" w14:textId="77777777" w:rsidR="37A5E900" w:rsidRDefault="37A5E900" w:rsidP="5598C04C">
      <w:r>
        <w:t xml:space="preserve">This list is part of Appendix 8.1 of these Guidelines and is published as an Excel spreadsheet on the AICIS website. It is used as a screening tool for categorisation. </w:t>
      </w:r>
    </w:p>
    <w:p w14:paraId="54C5A133" w14:textId="77777777" w:rsidR="37A5E900" w:rsidRDefault="37A5E900" w:rsidP="5598C04C">
      <w:r w:rsidRPr="5598C04C">
        <w:rPr>
          <w:b/>
          <w:bCs/>
        </w:rPr>
        <w:t>Low levels of low molecular weight species</w:t>
      </w:r>
      <w:r>
        <w:t xml:space="preserve"> (in relation to a polymer) means less than 10% (by mass) of molecules with a molecular weight that is less than 500 g/mol and less than 25% (by mass) of molecules with a molecular weight that is less than 1,000 g/mol.</w:t>
      </w:r>
    </w:p>
    <w:p w14:paraId="2927312E" w14:textId="77777777" w:rsidR="00AB0752" w:rsidRDefault="00AB0752" w:rsidP="00AB0752">
      <w:r w:rsidRPr="5598C04C">
        <w:rPr>
          <w:b/>
          <w:bCs/>
        </w:rPr>
        <w:t>Read</w:t>
      </w:r>
      <w:r>
        <w:rPr>
          <w:b/>
          <w:bCs/>
        </w:rPr>
        <w:t xml:space="preserve"> </w:t>
      </w:r>
      <w:r w:rsidRPr="5598C04C">
        <w:rPr>
          <w:b/>
          <w:bCs/>
        </w:rPr>
        <w:t>across approach</w:t>
      </w:r>
      <w:r>
        <w:t xml:space="preserve"> means an approach to predict the hazard characteristics of a chemical (target chemical) and fill information gaps by using information from one or more other chemicals (source chemicals). There are two read-across techniques:</w:t>
      </w:r>
    </w:p>
    <w:p w14:paraId="5F967645" w14:textId="77777777" w:rsidR="00AB0752" w:rsidRDefault="00AB0752" w:rsidP="00AB0752">
      <w:pPr>
        <w:pStyle w:val="Bulletlist"/>
      </w:pPr>
      <w:r>
        <w:t>Analogue approach – a single chemical is used as the source chemical (this single chemical is then known as the ‘analogue chemical’)</w:t>
      </w:r>
    </w:p>
    <w:p w14:paraId="2A4416A0" w14:textId="77777777" w:rsidR="00AB0752" w:rsidRDefault="00AB0752" w:rsidP="00AB0752">
      <w:pPr>
        <w:pStyle w:val="Bulletlist"/>
      </w:pPr>
      <w:r>
        <w:t>Category approach – a group of chemicals are used as the source chemicals.</w:t>
      </w:r>
    </w:p>
    <w:p w14:paraId="3CC61717" w14:textId="77777777" w:rsidR="37A5E900" w:rsidRDefault="37A5E900" w:rsidP="5598C04C">
      <w:r w:rsidRPr="5598C04C">
        <w:rPr>
          <w:b/>
          <w:bCs/>
        </w:rPr>
        <w:t>Suitable in silico prediction</w:t>
      </w:r>
      <w:r>
        <w:t xml:space="preserve"> means a prediction of the hazard characteristics of an industrial chemical using a computational approach (either a quantitative prediction or a prediction indicating the absence or presence of alerting groups) for which </w:t>
      </w:r>
      <w:proofErr w:type="gramStart"/>
      <w:r>
        <w:t>all of</w:t>
      </w:r>
      <w:proofErr w:type="gramEnd"/>
      <w:r>
        <w:t xml:space="preserve"> the following apply:</w:t>
      </w:r>
    </w:p>
    <w:p w14:paraId="1670A6F9" w14:textId="77777777" w:rsidR="37A5E900" w:rsidRDefault="37A5E900" w:rsidP="000A5B68">
      <w:pPr>
        <w:pStyle w:val="Bulletlist"/>
      </w:pPr>
      <w:r>
        <w:t>the prediction is for the industrial chemical itself</w:t>
      </w:r>
    </w:p>
    <w:p w14:paraId="7AC25B38" w14:textId="77777777" w:rsidR="37A5E900" w:rsidRDefault="37A5E900" w:rsidP="000A5B68">
      <w:pPr>
        <w:pStyle w:val="Bulletlist"/>
      </w:pPr>
      <w:proofErr w:type="spellStart"/>
      <w:r>
        <w:t>the</w:t>
      </w:r>
      <w:proofErr w:type="spellEnd"/>
      <w:r>
        <w:t xml:space="preserve"> </w:t>
      </w:r>
      <w:proofErr w:type="gramStart"/>
      <w:r>
        <w:t>in silico</w:t>
      </w:r>
      <w:proofErr w:type="gramEnd"/>
      <w:r>
        <w:t xml:space="preserve"> model used for the prediction is listed in Appendix 8.2 of these Guidelines as acceptable for the hazard characteristic</w:t>
      </w:r>
    </w:p>
    <w:p w14:paraId="0D327F77" w14:textId="77777777" w:rsidR="37A5E900" w:rsidRDefault="37A5E900" w:rsidP="000A5B68">
      <w:pPr>
        <w:pStyle w:val="Bulletlist"/>
      </w:pPr>
      <w:r>
        <w:t xml:space="preserve">the industrial chemical is within the chemical space for which the </w:t>
      </w:r>
      <w:proofErr w:type="gramStart"/>
      <w:r>
        <w:t>in silico</w:t>
      </w:r>
      <w:proofErr w:type="gramEnd"/>
      <w:r>
        <w:t xml:space="preserve"> model gives reliable predictions (the applicability domain) </w:t>
      </w:r>
      <w:r w:rsidR="005B7E03">
        <w:t>–</w:t>
      </w:r>
      <w:r>
        <w:t xml:space="preserve"> the model applicability could be in relation to any of:</w:t>
      </w:r>
    </w:p>
    <w:p w14:paraId="65509F1E" w14:textId="77777777" w:rsidR="0132C9B4" w:rsidRDefault="4360DAF4" w:rsidP="00C144B1">
      <w:pPr>
        <w:pStyle w:val="Bulletlist2"/>
      </w:pPr>
      <w:r>
        <w:t>(sub)structures present in the training set</w:t>
      </w:r>
    </w:p>
    <w:p w14:paraId="60F52627" w14:textId="77777777" w:rsidR="0132C9B4" w:rsidRDefault="4360DAF4" w:rsidP="00C144B1">
      <w:pPr>
        <w:pStyle w:val="Bulletlist2"/>
      </w:pPr>
      <w:r>
        <w:t xml:space="preserve">a range of molecular descriptors </w:t>
      </w:r>
    </w:p>
    <w:p w14:paraId="37C5815B" w14:textId="77777777" w:rsidR="0132C9B4" w:rsidRDefault="4360DAF4" w:rsidP="00C144B1">
      <w:pPr>
        <w:pStyle w:val="Bulletlist2"/>
      </w:pPr>
      <w:r>
        <w:t xml:space="preserve">metabolites/degradation products </w:t>
      </w:r>
    </w:p>
    <w:p w14:paraId="2F005C12" w14:textId="77777777" w:rsidR="0132C9B4" w:rsidRDefault="4360DAF4" w:rsidP="00C144B1">
      <w:pPr>
        <w:pStyle w:val="Bulletlist2"/>
      </w:pPr>
      <w:r>
        <w:t>mechanisms of action</w:t>
      </w:r>
    </w:p>
    <w:p w14:paraId="3BD8FA7A" w14:textId="77777777" w:rsidR="3FA3AAFA" w:rsidRDefault="3FA3AAFA" w:rsidP="000A5B68">
      <w:pPr>
        <w:pStyle w:val="Bulletlist"/>
      </w:pPr>
      <w:r>
        <w:t xml:space="preserve">the guidelines, instructions and parameters for the </w:t>
      </w:r>
      <w:proofErr w:type="gramStart"/>
      <w:r>
        <w:t>in silico</w:t>
      </w:r>
      <w:proofErr w:type="gramEnd"/>
      <w:r>
        <w:t xml:space="preserve"> model have been followed </w:t>
      </w:r>
      <w:proofErr w:type="gramStart"/>
      <w:r>
        <w:t>in order to</w:t>
      </w:r>
      <w:proofErr w:type="gramEnd"/>
      <w:r>
        <w:t xml:space="preserve"> get the prediction </w:t>
      </w:r>
    </w:p>
    <w:p w14:paraId="0E0DEF4B" w14:textId="77777777" w:rsidR="3FA3AAFA" w:rsidRDefault="3FA3AAFA" w:rsidP="000A5B68">
      <w:pPr>
        <w:pStyle w:val="Bulletlist"/>
      </w:pPr>
      <w:r>
        <w:t>the industrial chemical is not any of the following types of chemicals:</w:t>
      </w:r>
    </w:p>
    <w:p w14:paraId="47A1C2F9" w14:textId="77777777" w:rsidR="3FA3AAFA" w:rsidRDefault="1A75065D" w:rsidP="00C144B1">
      <w:pPr>
        <w:pStyle w:val="Bulletlist2"/>
      </w:pPr>
      <w:r>
        <w:t>UVCB substance</w:t>
      </w:r>
    </w:p>
    <w:p w14:paraId="23C1A32D" w14:textId="77777777" w:rsidR="3FA3AAFA" w:rsidRDefault="1A75065D" w:rsidP="00C144B1">
      <w:pPr>
        <w:pStyle w:val="Bulletlist2"/>
      </w:pPr>
      <w:r>
        <w:t>polymer</w:t>
      </w:r>
    </w:p>
    <w:p w14:paraId="569DAB38" w14:textId="77777777" w:rsidR="3FA3AAFA" w:rsidRDefault="1A75065D" w:rsidP="00C144B1">
      <w:pPr>
        <w:pStyle w:val="Bulletlist2"/>
      </w:pPr>
      <w:r>
        <w:t>surfactant</w:t>
      </w:r>
    </w:p>
    <w:p w14:paraId="79BE742F" w14:textId="77777777" w:rsidR="3FA3AAFA" w:rsidRDefault="1A75065D" w:rsidP="00C144B1">
      <w:pPr>
        <w:pStyle w:val="Bulletlist2"/>
      </w:pPr>
      <w:r>
        <w:t>inorganic chemical</w:t>
      </w:r>
    </w:p>
    <w:p w14:paraId="1A7C1E0C" w14:textId="77777777" w:rsidR="3FA3AAFA" w:rsidRDefault="1A75065D" w:rsidP="00C144B1">
      <w:pPr>
        <w:pStyle w:val="Bulletlist2"/>
      </w:pPr>
      <w:r>
        <w:t>organometallic chemical</w:t>
      </w:r>
    </w:p>
    <w:p w14:paraId="26996649" w14:textId="77777777" w:rsidR="3FA3AAFA" w:rsidRDefault="1A75065D" w:rsidP="00C144B1">
      <w:pPr>
        <w:pStyle w:val="Bulletlist2"/>
      </w:pPr>
      <w:r>
        <w:lastRenderedPageBreak/>
        <w:t>a chemical that:</w:t>
      </w:r>
    </w:p>
    <w:p w14:paraId="65F5D3A3" w14:textId="77777777" w:rsidR="3FA3AAFA" w:rsidRPr="000F6068" w:rsidRDefault="1A75065D" w:rsidP="00103519">
      <w:pPr>
        <w:pStyle w:val="Bulletlist3"/>
      </w:pPr>
      <w:r w:rsidRPr="000F6068">
        <w:t>is a solid or in a dispersion, at the time of introduction; and</w:t>
      </w:r>
    </w:p>
    <w:p w14:paraId="22C4FB3E" w14:textId="77777777" w:rsidR="3FA3AAFA" w:rsidRPr="000F6068" w:rsidRDefault="1A75065D" w:rsidP="00103519">
      <w:pPr>
        <w:pStyle w:val="Bulletlist3"/>
      </w:pPr>
      <w:r w:rsidRPr="000F6068">
        <w:t>consists of solid particles in an unbound state or as an aggregate or agglomerate, where at least 50% (by number size distribution) of the particles have at least one external dimension in the nanoscale, and</w:t>
      </w:r>
    </w:p>
    <w:p w14:paraId="79E749FE" w14:textId="77777777" w:rsidR="3FA3AAFA" w:rsidRPr="000F6068" w:rsidRDefault="1A75065D" w:rsidP="00103519">
      <w:pPr>
        <w:pStyle w:val="Bulletlist3"/>
      </w:pPr>
      <w:r w:rsidRPr="000F6068">
        <w:t>is not soluble</w:t>
      </w:r>
    </w:p>
    <w:p w14:paraId="3C970964" w14:textId="32ABC108" w:rsidR="3FA3AAFA" w:rsidRDefault="3FA3AAFA" w:rsidP="5598C04C">
      <w:r w:rsidRPr="5598C04C">
        <w:rPr>
          <w:b/>
          <w:bCs/>
        </w:rPr>
        <w:t>Suitable read</w:t>
      </w:r>
      <w:r w:rsidR="0035708E">
        <w:rPr>
          <w:b/>
          <w:bCs/>
        </w:rPr>
        <w:t xml:space="preserve"> </w:t>
      </w:r>
      <w:r w:rsidRPr="5598C04C">
        <w:rPr>
          <w:b/>
          <w:bCs/>
        </w:rPr>
        <w:t>across information</w:t>
      </w:r>
      <w:r>
        <w:t xml:space="preserve"> means that the read across approach is acceptable to fill an information gap for a hazard characteristic because </w:t>
      </w:r>
      <w:proofErr w:type="gramStart"/>
      <w:r>
        <w:t>all of</w:t>
      </w:r>
      <w:proofErr w:type="gramEnd"/>
      <w:r>
        <w:t xml:space="preserve"> the aspects outlined in Appendix 8.3 of these Guidelines have been considered, justified and documented.</w:t>
      </w:r>
    </w:p>
    <w:p w14:paraId="62098876" w14:textId="77777777" w:rsidR="3FA3AAFA" w:rsidRDefault="3FA3AAFA" w:rsidP="5598C04C">
      <w:pPr>
        <w:pStyle w:val="Heading2"/>
      </w:pPr>
      <w:bookmarkStart w:id="17" w:name="_Toc238816809"/>
      <w:r>
        <w:t>6.2</w:t>
      </w:r>
      <w:r w:rsidR="001D6472">
        <w:tab/>
      </w:r>
      <w:r>
        <w:t>Use of animal test data for demonstrating the absence of hazard characteristics</w:t>
      </w:r>
      <w:bookmarkEnd w:id="17"/>
    </w:p>
    <w:p w14:paraId="22C51054" w14:textId="77777777" w:rsidR="3FA3AAFA" w:rsidRDefault="3FA3AAFA" w:rsidP="5598C04C">
      <w:r>
        <w:t>Part 6 of these Guidelines sets out the information needed to demonstrate the absence of each hazard characteristic, for the purpose of section 30 of the IC General Rules.</w:t>
      </w:r>
    </w:p>
    <w:p w14:paraId="7D102AD9" w14:textId="77777777" w:rsidR="3FA3AAFA" w:rsidRDefault="3FA3AAFA" w:rsidP="5598C04C">
      <w:r>
        <w:t xml:space="preserve">For many hazard characteristics, there are options for the type of information that can be used, including both animal test data and non-animal test data. </w:t>
      </w:r>
    </w:p>
    <w:p w14:paraId="7048B9D8" w14:textId="77777777" w:rsidR="5598C04C" w:rsidRDefault="3FA3AAFA" w:rsidP="5598C04C">
      <w:r>
        <w:t>The first step should be considering all existing information that is available to an introducer to determine whether it meets the requirements set out in Part 6 of these Guidelines. If it does not meet the requirements in this Part, information may need to be generated to demonstrate the absence of a hazard characteristic.</w:t>
      </w:r>
    </w:p>
    <w:p w14:paraId="310E8CC7" w14:textId="77777777" w:rsidR="41C03272" w:rsidRDefault="41C03272" w:rsidP="5598C04C">
      <w:r>
        <w:t>If new data needs to be generated, the options for non-animal test data should be considered first. The generation of new animal test data should be considered as a last resort.</w:t>
      </w:r>
    </w:p>
    <w:p w14:paraId="163B8B22" w14:textId="77777777" w:rsidR="41C03272" w:rsidRDefault="41C03272" w:rsidP="5598C04C">
      <w:pPr>
        <w:pStyle w:val="Heading2"/>
      </w:pPr>
      <w:bookmarkStart w:id="18" w:name="_Toc238816810"/>
      <w:r>
        <w:t>6.3</w:t>
      </w:r>
      <w:r w:rsidR="001D6472">
        <w:tab/>
      </w:r>
      <w:r>
        <w:t>Carcinogenicity – Human health hazard band C</w:t>
      </w:r>
      <w:bookmarkEnd w:id="18"/>
      <w:r>
        <w:t xml:space="preserve"> </w:t>
      </w:r>
    </w:p>
    <w:p w14:paraId="05554CDB" w14:textId="77777777" w:rsidR="41C03272" w:rsidRDefault="41C03272" w:rsidP="5598C04C">
      <w:pPr>
        <w:pStyle w:val="Heading3"/>
      </w:pPr>
      <w:r>
        <w:t>6.3.1</w:t>
      </w:r>
      <w:r w:rsidR="001D6472">
        <w:tab/>
      </w:r>
      <w:r>
        <w:t>Clause 2 of Part 1, Schedule 1 to the IC General Rules</w:t>
      </w:r>
    </w:p>
    <w:p w14:paraId="34721532" w14:textId="77777777" w:rsidR="41C03272" w:rsidRDefault="41C03272" w:rsidP="5598C04C">
      <w:r>
        <w:t>For the purposes of table item 1 of Clause 2, Part 1, Schedule 1 to the IC General Rules:</w:t>
      </w:r>
    </w:p>
    <w:p w14:paraId="17A3FC61" w14:textId="77777777" w:rsidR="41C03272" w:rsidRDefault="41C03272" w:rsidP="5598C04C">
      <w:r w:rsidRPr="5598C04C">
        <w:rPr>
          <w:b/>
          <w:bCs/>
        </w:rPr>
        <w:t>Carcinogenicity means</w:t>
      </w:r>
      <w:r>
        <w:t xml:space="preserve"> that any of the following apply to the industrial chemical:</w:t>
      </w:r>
    </w:p>
    <w:p w14:paraId="0915C738" w14:textId="77777777" w:rsidR="41C03272" w:rsidRDefault="41C03272" w:rsidP="000A5B68">
      <w:pPr>
        <w:pStyle w:val="Bulletlist"/>
      </w:pPr>
      <w:r>
        <w:t>the chemical is a known, presumed or suspected human carcinogen, as described in chapter 3.6 of the GHS, with the chemical classified as carcinogenicity (category 1 or 2), or</w:t>
      </w:r>
    </w:p>
    <w:p w14:paraId="238868BE" w14:textId="77777777" w:rsidR="41C03272" w:rsidRDefault="41C03272" w:rsidP="000A5B68">
      <w:pPr>
        <w:pStyle w:val="Bulletlist"/>
      </w:pPr>
      <w:r>
        <w:t>the chemical is on the list of chemicals with high hazards for categorisation based on its carcinogenicity, or</w:t>
      </w:r>
    </w:p>
    <w:p w14:paraId="4326F9BF" w14:textId="77777777" w:rsidR="41C03272" w:rsidRDefault="41C03272" w:rsidP="000A5B68">
      <w:pPr>
        <w:pStyle w:val="Bulletlist"/>
      </w:pPr>
      <w:r>
        <w:t xml:space="preserve">the chemical is an ester or salt of specified chemicals in Part 6.3.2 of these Guidelines, which are on the list of chemicals with high hazards for categorisation based on carcinogenicity unless an exception, as identified in Part 6.3.2, is met for that </w:t>
      </w:r>
      <w:r w:rsidR="773824AE">
        <w:t>c</w:t>
      </w:r>
      <w:r>
        <w:t>hemical, or</w:t>
      </w:r>
    </w:p>
    <w:p w14:paraId="4947DB1E" w14:textId="3E3EBF2A" w:rsidR="41C03272" w:rsidRDefault="41C03272" w:rsidP="000A5B68">
      <w:pPr>
        <w:pStyle w:val="Bulletlist"/>
      </w:pPr>
      <w:r>
        <w:t>an in vivo study on the chemical conducted following an acceptable test guideline for</w:t>
      </w:r>
      <w:r w:rsidR="6B69D2D1">
        <w:t xml:space="preserve"> </w:t>
      </w:r>
      <w:r>
        <w:t>carcinogenicity, chronic toxicity, subchronic oral toxicity, subchronic dermal toxicity or subchronic inhalation toxicity results in the induction of cancer, or an increase in the incidence of cancer.</w:t>
      </w:r>
    </w:p>
    <w:p w14:paraId="64ADF9B8" w14:textId="77777777" w:rsidR="6448AFB9" w:rsidRDefault="6448AFB9" w:rsidP="5598C04C">
      <w:pPr>
        <w:pStyle w:val="Heading3"/>
      </w:pPr>
      <w:r>
        <w:t>6.3.2</w:t>
      </w:r>
      <w:r w:rsidR="00F54F51">
        <w:tab/>
      </w:r>
      <w:r>
        <w:t xml:space="preserve">Section 30 of the IC General Rules </w:t>
      </w:r>
      <w:r w:rsidR="005B7E03">
        <w:t>–</w:t>
      </w:r>
      <w:r>
        <w:t xml:space="preserve"> Information required to demonstrate the absence of hazard characteristics </w:t>
      </w:r>
    </w:p>
    <w:p w14:paraId="0151F04C" w14:textId="77777777" w:rsidR="6448AFB9" w:rsidRDefault="6448AFB9" w:rsidP="5598C04C">
      <w:r>
        <w:t xml:space="preserve">For the purposes of paragraph 30(2)(b) and subparagraph 30(2)(c)(iv) of the IC General Rules, the information required to demonstrate that a chemical does not have the hazard characteristic, </w:t>
      </w:r>
      <w:r w:rsidRPr="5598C04C">
        <w:rPr>
          <w:b/>
          <w:bCs/>
        </w:rPr>
        <w:t>carcinogenicity</w:t>
      </w:r>
      <w:r>
        <w:t xml:space="preserve">, is confirmation that the chemical is not on the </w:t>
      </w:r>
      <w:r w:rsidRPr="5598C04C">
        <w:rPr>
          <w:b/>
          <w:bCs/>
        </w:rPr>
        <w:t>list of chemicals with high hazards for categorisation</w:t>
      </w:r>
      <w:r>
        <w:t>, based on its carcinogenicity, and</w:t>
      </w:r>
      <w:r w:rsidR="00916F43">
        <w:t xml:space="preserve"> </w:t>
      </w:r>
      <w:r>
        <w:t xml:space="preserve">confirmation that the chemical is </w:t>
      </w:r>
      <w:r w:rsidRPr="5598C04C">
        <w:rPr>
          <w:b/>
          <w:bCs/>
        </w:rPr>
        <w:t>not</w:t>
      </w:r>
      <w:r>
        <w:t xml:space="preserve"> an ester or salt of the </w:t>
      </w:r>
      <w:r>
        <w:lastRenderedPageBreak/>
        <w:t xml:space="preserve">specified chemicals shown in the below table, which are on the list of chemicals with high hazards for categorisation, based on </w:t>
      </w:r>
      <w:r w:rsidR="197A675E">
        <w:t>carcinogenicity:</w:t>
      </w:r>
    </w:p>
    <w:tbl>
      <w:tblPr>
        <w:tblStyle w:val="AICISTableBasic"/>
        <w:tblW w:w="9071" w:type="dxa"/>
        <w:tblLayout w:type="fixed"/>
        <w:tblLook w:val="06A0" w:firstRow="1" w:lastRow="0" w:firstColumn="1" w:lastColumn="0" w:noHBand="1" w:noVBand="1"/>
      </w:tblPr>
      <w:tblGrid>
        <w:gridCol w:w="2268"/>
        <w:gridCol w:w="3118"/>
        <w:gridCol w:w="3685"/>
      </w:tblGrid>
      <w:tr w:rsidR="5598C04C" w:rsidRPr="00C2550A" w14:paraId="2996D0BD" w14:textId="77777777" w:rsidTr="00C2550A">
        <w:trPr>
          <w:trHeight w:val="1191"/>
        </w:trPr>
        <w:tc>
          <w:tcPr>
            <w:tcW w:w="2268" w:type="dxa"/>
          </w:tcPr>
          <w:p w14:paraId="3F7C4F07" w14:textId="77777777" w:rsidR="5598C04C" w:rsidRPr="00C2550A" w:rsidRDefault="70D16F0D" w:rsidP="00437F44">
            <w:pPr>
              <w:rPr>
                <w:b/>
                <w:bCs/>
              </w:rPr>
            </w:pPr>
            <w:r w:rsidRPr="00C2550A">
              <w:rPr>
                <w:b/>
                <w:bCs/>
              </w:rPr>
              <w:t>CAS number</w:t>
            </w:r>
          </w:p>
        </w:tc>
        <w:tc>
          <w:tcPr>
            <w:tcW w:w="3118" w:type="dxa"/>
          </w:tcPr>
          <w:p w14:paraId="1EF09AF6" w14:textId="77777777" w:rsidR="5598C04C" w:rsidRPr="00C2550A" w:rsidRDefault="70D16F0D" w:rsidP="00437F44">
            <w:pPr>
              <w:rPr>
                <w:b/>
                <w:bCs/>
              </w:rPr>
            </w:pPr>
            <w:r w:rsidRPr="00C2550A">
              <w:rPr>
                <w:b/>
                <w:bCs/>
              </w:rPr>
              <w:t>Chemical name</w:t>
            </w:r>
          </w:p>
        </w:tc>
        <w:tc>
          <w:tcPr>
            <w:tcW w:w="3685" w:type="dxa"/>
          </w:tcPr>
          <w:p w14:paraId="0F757F06" w14:textId="77777777" w:rsidR="5598C04C" w:rsidRPr="00C2550A" w:rsidRDefault="70D16F0D" w:rsidP="00437F44">
            <w:pPr>
              <w:tabs>
                <w:tab w:val="left" w:pos="864"/>
              </w:tabs>
              <w:rPr>
                <w:b/>
                <w:bCs/>
              </w:rPr>
            </w:pPr>
            <w:r w:rsidRPr="00C2550A">
              <w:rPr>
                <w:b/>
                <w:bCs/>
              </w:rPr>
              <w:t>An ester or salt of the chemical has the carcinogenicity hazard characteristic, unless one or</w:t>
            </w:r>
            <w:r w:rsidR="00916F43" w:rsidRPr="00C2550A">
              <w:rPr>
                <w:b/>
                <w:bCs/>
              </w:rPr>
              <w:t xml:space="preserve"> </w:t>
            </w:r>
            <w:r w:rsidRPr="00C2550A">
              <w:rPr>
                <w:b/>
                <w:bCs/>
              </w:rPr>
              <w:t>more of the below exception</w:t>
            </w:r>
            <w:r w:rsidR="00916F43" w:rsidRPr="00C2550A">
              <w:rPr>
                <w:b/>
                <w:bCs/>
              </w:rPr>
              <w:t xml:space="preserve"> </w:t>
            </w:r>
            <w:r w:rsidRPr="00C2550A">
              <w:rPr>
                <w:b/>
                <w:bCs/>
              </w:rPr>
              <w:t>criteria appl</w:t>
            </w:r>
            <w:r w:rsidR="00916F43" w:rsidRPr="00C2550A">
              <w:rPr>
                <w:b/>
                <w:bCs/>
              </w:rPr>
              <w:t>y</w:t>
            </w:r>
          </w:p>
        </w:tc>
      </w:tr>
      <w:tr w:rsidR="5598C04C" w14:paraId="71D51E0B" w14:textId="77777777" w:rsidTr="00C2550A">
        <w:trPr>
          <w:trHeight w:val="300"/>
        </w:trPr>
        <w:tc>
          <w:tcPr>
            <w:tcW w:w="2268" w:type="dxa"/>
          </w:tcPr>
          <w:p w14:paraId="19D2A80C" w14:textId="77777777" w:rsidR="5598C04C" w:rsidRDefault="07AC9166" w:rsidP="00437F44">
            <w:r>
              <w:t>108-78-1</w:t>
            </w:r>
          </w:p>
        </w:tc>
        <w:tc>
          <w:tcPr>
            <w:tcW w:w="3118" w:type="dxa"/>
          </w:tcPr>
          <w:p w14:paraId="41858F7A" w14:textId="77777777" w:rsidR="5598C04C" w:rsidRDefault="07AC9166" w:rsidP="00437F44">
            <w:r>
              <w:t>1,3,5-Triazine-2,4,6-triamine</w:t>
            </w:r>
            <w:r w:rsidR="00F54F51">
              <w:t xml:space="preserve"> </w:t>
            </w:r>
            <w:r>
              <w:t>(Melamine)</w:t>
            </w:r>
          </w:p>
          <w:p w14:paraId="3BDE2139" w14:textId="77777777" w:rsidR="5598C04C" w:rsidRDefault="5598C04C" w:rsidP="00437F44"/>
        </w:tc>
        <w:tc>
          <w:tcPr>
            <w:tcW w:w="3685" w:type="dxa"/>
          </w:tcPr>
          <w:p w14:paraId="53AD62BE" w14:textId="77777777" w:rsidR="5598C04C" w:rsidRPr="000D5816" w:rsidRDefault="07AC9166" w:rsidP="000A5B68">
            <w:pPr>
              <w:pStyle w:val="Tablebullet"/>
            </w:pPr>
            <w:r w:rsidRPr="000D5816">
              <w:t>the salt is a high molecular weight polymer, with low levels</w:t>
            </w:r>
            <w:r w:rsidR="1D01300F" w:rsidRPr="000D5816">
              <w:t xml:space="preserve"> </w:t>
            </w:r>
            <w:r w:rsidRPr="000D5816">
              <w:t>of low molecular weight species</w:t>
            </w:r>
          </w:p>
          <w:p w14:paraId="3DB20776" w14:textId="77777777" w:rsidR="5598C04C" w:rsidRDefault="07AC9166" w:rsidP="000A5B68">
            <w:pPr>
              <w:pStyle w:val="Tablebullet"/>
            </w:pPr>
            <w:r w:rsidRPr="000D5816">
              <w:t>the molecular weight of</w:t>
            </w:r>
            <w:r w:rsidR="08809D63" w:rsidRPr="000D5816">
              <w:t xml:space="preserve"> </w:t>
            </w:r>
            <w:r w:rsidRPr="000D5816">
              <w:t>the salt is greater than or equal to 1,000 g/mol</w:t>
            </w:r>
          </w:p>
        </w:tc>
      </w:tr>
      <w:tr w:rsidR="5598C04C" w14:paraId="1B3E30AA" w14:textId="77777777" w:rsidTr="00C2550A">
        <w:trPr>
          <w:trHeight w:val="300"/>
        </w:trPr>
        <w:tc>
          <w:tcPr>
            <w:tcW w:w="2268" w:type="dxa"/>
          </w:tcPr>
          <w:p w14:paraId="17EE8695" w14:textId="77777777" w:rsidR="5598C04C" w:rsidRDefault="0278C05F" w:rsidP="00437F44">
            <w:r>
              <w:t>139-13-9</w:t>
            </w:r>
          </w:p>
        </w:tc>
        <w:tc>
          <w:tcPr>
            <w:tcW w:w="3118" w:type="dxa"/>
          </w:tcPr>
          <w:p w14:paraId="34ADBBE6" w14:textId="77777777" w:rsidR="5598C04C" w:rsidRDefault="0278C05F" w:rsidP="00437F44">
            <w:r>
              <w:t xml:space="preserve">Glycine, </w:t>
            </w:r>
            <w:proofErr w:type="gramStart"/>
            <w:r>
              <w:t>N,N</w:t>
            </w:r>
            <w:proofErr w:type="gramEnd"/>
            <w:r>
              <w:t>-bis(carboxymethyl)-</w:t>
            </w:r>
          </w:p>
        </w:tc>
        <w:tc>
          <w:tcPr>
            <w:tcW w:w="3685" w:type="dxa"/>
          </w:tcPr>
          <w:p w14:paraId="080E421F" w14:textId="77777777" w:rsidR="5598C04C" w:rsidRDefault="0278C05F" w:rsidP="000A5B68">
            <w:pPr>
              <w:pStyle w:val="Tablebullet"/>
            </w:pPr>
            <w:r>
              <w:t>the salt/ester is a high molecular weight polymer, with</w:t>
            </w:r>
            <w:r w:rsidR="1EAE8AD1">
              <w:t xml:space="preserve"> </w:t>
            </w:r>
            <w:r>
              <w:t>low levels of low molecular weight species</w:t>
            </w:r>
          </w:p>
          <w:p w14:paraId="260B5164" w14:textId="77777777" w:rsidR="5598C04C" w:rsidRDefault="0278C05F" w:rsidP="000A5B68">
            <w:pPr>
              <w:pStyle w:val="Tablebullet"/>
            </w:pPr>
            <w:r>
              <w:t>the molecular weight of the salt/ester is greater than or equal to 1,000 g/mo</w:t>
            </w:r>
            <w:r w:rsidR="001D5CAE">
              <w:t>l</w:t>
            </w:r>
          </w:p>
        </w:tc>
      </w:tr>
      <w:tr w:rsidR="5598C04C" w14:paraId="06E329ED" w14:textId="77777777" w:rsidTr="00C2550A">
        <w:trPr>
          <w:trHeight w:val="300"/>
        </w:trPr>
        <w:tc>
          <w:tcPr>
            <w:tcW w:w="2268" w:type="dxa"/>
          </w:tcPr>
          <w:p w14:paraId="3BDD9A3D" w14:textId="77777777" w:rsidR="5598C04C" w:rsidRDefault="30E4D1C0" w:rsidP="00437F44">
            <w:r>
              <w:t>90-43-7</w:t>
            </w:r>
          </w:p>
        </w:tc>
        <w:tc>
          <w:tcPr>
            <w:tcW w:w="3118" w:type="dxa"/>
          </w:tcPr>
          <w:p w14:paraId="3F72DDA4" w14:textId="77777777" w:rsidR="5598C04C" w:rsidRDefault="30E4D1C0" w:rsidP="00437F44">
            <w:r>
              <w:t>[1,1’-Biphenyl]-2-ol</w:t>
            </w:r>
          </w:p>
        </w:tc>
        <w:tc>
          <w:tcPr>
            <w:tcW w:w="3685" w:type="dxa"/>
          </w:tcPr>
          <w:p w14:paraId="34ADC15C" w14:textId="77777777" w:rsidR="5598C04C" w:rsidRDefault="30E4D1C0" w:rsidP="000A5B68">
            <w:pPr>
              <w:pStyle w:val="Tablebullet"/>
            </w:pPr>
            <w:r>
              <w:t>the salt/ester is a high molecular weight polymer, with low levels of low molecular weight species</w:t>
            </w:r>
          </w:p>
          <w:p w14:paraId="08DFA5AA" w14:textId="77777777" w:rsidR="5598C04C" w:rsidRDefault="30E4D1C0" w:rsidP="000A5B68">
            <w:pPr>
              <w:pStyle w:val="Tablebullet"/>
            </w:pPr>
            <w:r>
              <w:t>the molecular weight of the salt/ester is greater than or equal to 1,000 g/mol</w:t>
            </w:r>
          </w:p>
        </w:tc>
      </w:tr>
      <w:tr w:rsidR="5598C04C" w14:paraId="6EEBC7F4" w14:textId="77777777" w:rsidTr="00C2550A">
        <w:trPr>
          <w:trHeight w:val="300"/>
        </w:trPr>
        <w:tc>
          <w:tcPr>
            <w:tcW w:w="2268" w:type="dxa"/>
          </w:tcPr>
          <w:p w14:paraId="53CC214B" w14:textId="77777777" w:rsidR="5598C04C" w:rsidRDefault="7B016E90" w:rsidP="00437F44">
            <w:r>
              <w:t>615-05-4</w:t>
            </w:r>
          </w:p>
        </w:tc>
        <w:tc>
          <w:tcPr>
            <w:tcW w:w="3118" w:type="dxa"/>
          </w:tcPr>
          <w:p w14:paraId="59261CED" w14:textId="5CB4D515" w:rsidR="5598C04C" w:rsidRDefault="7B016E90" w:rsidP="00437F44">
            <w:r>
              <w:t>1,3-Benzenediamine, 4-methoxy-</w:t>
            </w:r>
            <w:r w:rsidR="0035708E">
              <w:t xml:space="preserve"> </w:t>
            </w:r>
            <w:r>
              <w:t>(</w:t>
            </w:r>
            <w:proofErr w:type="spellStart"/>
            <w:r>
              <w:t>diaminoanisole</w:t>
            </w:r>
            <w:proofErr w:type="spellEnd"/>
            <w:r>
              <w:t>)</w:t>
            </w:r>
          </w:p>
        </w:tc>
        <w:tc>
          <w:tcPr>
            <w:tcW w:w="3685" w:type="dxa"/>
          </w:tcPr>
          <w:p w14:paraId="26309268" w14:textId="77777777" w:rsidR="5598C04C" w:rsidRDefault="7B016E90" w:rsidP="000A5B68">
            <w:pPr>
              <w:pStyle w:val="Tablebullet"/>
            </w:pPr>
            <w:r>
              <w:t>the salt is a high molecular weight polymer, with low levels of low molecular weight species</w:t>
            </w:r>
          </w:p>
          <w:p w14:paraId="306D5F3F" w14:textId="77777777" w:rsidR="5598C04C" w:rsidRDefault="7B016E90" w:rsidP="000A5B68">
            <w:pPr>
              <w:pStyle w:val="Tablebullet"/>
            </w:pPr>
            <w:r>
              <w:t>the molecular weight of the salt is greater than or equal to 1,000 g/mol.</w:t>
            </w:r>
          </w:p>
        </w:tc>
      </w:tr>
    </w:tbl>
    <w:p w14:paraId="6662D433" w14:textId="77777777" w:rsidR="00DA10B1" w:rsidRDefault="31752C5E" w:rsidP="00DA10B1">
      <w:r>
        <w:t>In addition, if the human health exposure band for the introduction is 4 and the chemical is a UV filter, information is required to justify why the chemical would not cause carcinogenicity mediated by exposure to UV light. This may include one or more of the following:</w:t>
      </w:r>
    </w:p>
    <w:p w14:paraId="78738C67" w14:textId="77777777" w:rsidR="5598C04C" w:rsidRDefault="31752C5E" w:rsidP="000A5B68">
      <w:pPr>
        <w:pStyle w:val="Bulletlist"/>
      </w:pPr>
      <w:r>
        <w:t>the chemical has a molar extinction/absorption coefficient of &lt; 1,000 L·mol</w:t>
      </w:r>
      <w:r w:rsidRPr="00360031">
        <w:rPr>
          <w:vertAlign w:val="superscript"/>
        </w:rPr>
        <w:t>-</w:t>
      </w:r>
      <w:r w:rsidRPr="00DA10B1">
        <w:rPr>
          <w:vertAlign w:val="superscript"/>
        </w:rPr>
        <w:t>1</w:t>
      </w:r>
      <w:r>
        <w:t>·cm</w:t>
      </w:r>
      <w:r w:rsidRPr="00360031">
        <w:rPr>
          <w:vertAlign w:val="superscript"/>
        </w:rPr>
        <w:t>-</w:t>
      </w:r>
      <w:r w:rsidRPr="006A34F3">
        <w:rPr>
          <w:vertAlign w:val="superscript"/>
        </w:rPr>
        <w:t>1</w:t>
      </w:r>
      <w:r w:rsidR="2F7EF1CE">
        <w:t xml:space="preserve"> </w:t>
      </w:r>
      <w:r>
        <w:t>at wavelengths between 290 and 700 nm (based on the results of a study following OECD test guideline 101), or</w:t>
      </w:r>
    </w:p>
    <w:p w14:paraId="03DE507F" w14:textId="77777777" w:rsidR="5598C04C" w:rsidRDefault="31752C5E" w:rsidP="000A5B68">
      <w:pPr>
        <w:pStyle w:val="Bulletlist"/>
      </w:pPr>
      <w:r>
        <w:t>results from in vitro phototoxicity studies, or</w:t>
      </w:r>
    </w:p>
    <w:p w14:paraId="02C2BC08" w14:textId="77777777" w:rsidR="5598C04C" w:rsidRDefault="31752C5E" w:rsidP="000A5B68">
      <w:pPr>
        <w:pStyle w:val="Bulletlist"/>
      </w:pPr>
      <w:r>
        <w:t>results from in vivo carcinogenicity studies where the methods have been modified to include photoactivation.</w:t>
      </w:r>
    </w:p>
    <w:p w14:paraId="03B4329C" w14:textId="7305C774" w:rsidR="5598C04C" w:rsidRDefault="31752C5E" w:rsidP="712597BD">
      <w:pPr>
        <w:pStyle w:val="Heading2"/>
      </w:pPr>
      <w:bookmarkStart w:id="19" w:name="_Toc238816811"/>
      <w:r>
        <w:t>6.4</w:t>
      </w:r>
      <w:r w:rsidR="00916F43">
        <w:tab/>
      </w:r>
      <w:r>
        <w:t>Reproductive toxicity – Human health hazard band</w:t>
      </w:r>
      <w:r w:rsidR="00180DC6">
        <w:t xml:space="preserve"> C</w:t>
      </w:r>
      <w:bookmarkEnd w:id="19"/>
    </w:p>
    <w:p w14:paraId="33064AE4" w14:textId="77777777" w:rsidR="5598C04C" w:rsidRDefault="69A3A102" w:rsidP="1CCBE314">
      <w:pPr>
        <w:pStyle w:val="Heading3"/>
      </w:pPr>
      <w:r>
        <w:t>6.4.1</w:t>
      </w:r>
      <w:r w:rsidR="00916F43">
        <w:tab/>
      </w:r>
      <w:r>
        <w:t>Clause 2 of Part 1, Schedule 1 to the IC General Rules</w:t>
      </w:r>
    </w:p>
    <w:p w14:paraId="1373CA7D" w14:textId="77777777" w:rsidR="5598C04C" w:rsidRDefault="69A3A102" w:rsidP="1CCBE314">
      <w:r>
        <w:t>For the purposes of table item 2 of Clause 2, Part 1, Schedule 1 to the IC General Rules:</w:t>
      </w:r>
    </w:p>
    <w:p w14:paraId="5C2BD472" w14:textId="77777777" w:rsidR="5598C04C" w:rsidRDefault="69A3A102" w:rsidP="1CCBE314">
      <w:r w:rsidRPr="1CCBE314">
        <w:rPr>
          <w:b/>
          <w:bCs/>
        </w:rPr>
        <w:t>Reproductive toxicity</w:t>
      </w:r>
      <w:r>
        <w:t xml:space="preserve"> means that any of the following apply to the industrial chemical:</w:t>
      </w:r>
    </w:p>
    <w:p w14:paraId="1881EFFF" w14:textId="77777777" w:rsidR="5598C04C" w:rsidRDefault="69A3A102" w:rsidP="000A5B68">
      <w:pPr>
        <w:pStyle w:val="Bulletlist"/>
      </w:pPr>
      <w:r>
        <w:lastRenderedPageBreak/>
        <w:t>the chemical is known, presumed or suspected to produce adverse effects on sexual</w:t>
      </w:r>
      <w:r w:rsidR="258D87BD">
        <w:t xml:space="preserve"> </w:t>
      </w:r>
      <w:r>
        <w:t>function and fertility, as described in chapter 3.7 of the GHS, with the chemical classified as toxic to reproduction (category 1 or 2), or</w:t>
      </w:r>
    </w:p>
    <w:p w14:paraId="4BE0CBDF" w14:textId="77777777" w:rsidR="5598C04C" w:rsidRDefault="69A3A102" w:rsidP="000A5B68">
      <w:pPr>
        <w:pStyle w:val="Bulletlist"/>
      </w:pPr>
      <w:r>
        <w:t xml:space="preserve">the chemical is on </w:t>
      </w:r>
      <w:r w:rsidRPr="004D63FE">
        <w:rPr>
          <w:b/>
          <w:bCs/>
        </w:rPr>
        <w:t>the list of chemicals with high hazards for categorisation</w:t>
      </w:r>
      <w:r>
        <w:t xml:space="preserve"> based on its reproductive toxicity, or</w:t>
      </w:r>
    </w:p>
    <w:p w14:paraId="09FA19BC" w14:textId="77777777" w:rsidR="5598C04C" w:rsidRDefault="69A3A102" w:rsidP="000A5B68">
      <w:pPr>
        <w:pStyle w:val="Bulletlist"/>
      </w:pPr>
      <w:r>
        <w:t>the chemical is an ester or salt of specified chemicals in Part 6.4.2 of these Guidelines, which are on the list of chemicals with high hazards for categorisation based on reproductive toxicity unless an exception, as identified in Part 6.4.2, is met for that chemical, or</w:t>
      </w:r>
    </w:p>
    <w:p w14:paraId="5AB9EE1A" w14:textId="77777777" w:rsidR="5598C04C" w:rsidRDefault="69A3A102" w:rsidP="000A5B68">
      <w:pPr>
        <w:pStyle w:val="Bulletlist"/>
      </w:pPr>
      <w:r>
        <w:t>an in vivo study on the chemical conducted following an acceptable test guideline for reproductive toxicity, carcinogenicity, chronic toxicity, subchronic oral toxicity, subchronic dermal toxicity or subchronic inhalation toxicity results in adverse effects on sexual function and fertility, as described in chapter 3.7 of the GHS.</w:t>
      </w:r>
    </w:p>
    <w:p w14:paraId="29F04D1D" w14:textId="77777777" w:rsidR="5598C04C" w:rsidRDefault="69A3A102" w:rsidP="1CCBE314">
      <w:pPr>
        <w:pStyle w:val="Heading3"/>
      </w:pPr>
      <w:r>
        <w:t xml:space="preserve">6.4.2 </w:t>
      </w:r>
      <w:r w:rsidR="004D63FE">
        <w:tab/>
      </w:r>
      <w:r>
        <w:t xml:space="preserve">Section 30 of the IC General Rules </w:t>
      </w:r>
      <w:r w:rsidR="005B7E03">
        <w:t>–</w:t>
      </w:r>
      <w:r>
        <w:t xml:space="preserve"> Information required to demonstrate the absence of hazard characteristics </w:t>
      </w:r>
    </w:p>
    <w:p w14:paraId="02CB1A12" w14:textId="77777777" w:rsidR="5598C04C" w:rsidRDefault="69A3A102" w:rsidP="1CCBE314">
      <w:r>
        <w:t xml:space="preserve">For the purposes of paragraph 30(2)(b) and subparagraph 30(2)(c)(iv) of the IC General Rules, the information required to demonstrate that a chemical does not have the hazard characteristic, </w:t>
      </w:r>
      <w:r w:rsidRPr="1CCBE314">
        <w:rPr>
          <w:b/>
          <w:bCs/>
        </w:rPr>
        <w:t>reproductive toxicity</w:t>
      </w:r>
      <w:r>
        <w:t>, is:</w:t>
      </w:r>
    </w:p>
    <w:p w14:paraId="44B3D16C" w14:textId="77777777" w:rsidR="5598C04C" w:rsidRDefault="69A3A102" w:rsidP="000A5B68">
      <w:pPr>
        <w:pStyle w:val="Bulletlist"/>
      </w:pPr>
      <w:r>
        <w:t xml:space="preserve">if the chemical is a polyhalogenated organic chemical and the human health exposure band for the introduction is 4 </w:t>
      </w:r>
      <w:r w:rsidR="003711B1">
        <w:t>–</w:t>
      </w:r>
    </w:p>
    <w:p w14:paraId="4175EE82" w14:textId="77777777" w:rsidR="5598C04C" w:rsidRDefault="69A3A102" w:rsidP="00C144B1">
      <w:pPr>
        <w:pStyle w:val="Bulletlist2"/>
      </w:pPr>
      <w:r>
        <w:t>an in vivo test result on the chemical or suitable read across information conducted following an acceptable test guideline for reproductive toxicity, which results in none of the adverse effects on sexual function or fertility described in chapter 3.7 of the GHS;</w:t>
      </w:r>
    </w:p>
    <w:p w14:paraId="644BCCA3" w14:textId="77777777" w:rsidR="5598C04C" w:rsidRDefault="69A3A102" w:rsidP="000A5B68">
      <w:pPr>
        <w:pStyle w:val="Bulletlist"/>
      </w:pPr>
      <w:r>
        <w:t>otherwise –</w:t>
      </w:r>
    </w:p>
    <w:p w14:paraId="4AF67A22" w14:textId="77777777" w:rsidR="5598C04C" w:rsidRDefault="69A3A102" w:rsidP="00C144B1">
      <w:pPr>
        <w:pStyle w:val="Bulletlist2"/>
      </w:pPr>
      <w:r>
        <w:t xml:space="preserve">confirmation that the chemical is not on the </w:t>
      </w:r>
      <w:r w:rsidRPr="003711B1">
        <w:rPr>
          <w:b/>
          <w:bCs/>
        </w:rPr>
        <w:t>list of chemicals with high hazards for categorisation</w:t>
      </w:r>
      <w:r>
        <w:t>, based on its reproductive toxicity, and</w:t>
      </w:r>
      <w:r w:rsidR="00D1B7AD">
        <w:t xml:space="preserve"> </w:t>
      </w:r>
      <w:r>
        <w:t>confirmation that the chemical is not an ester or salt of the specified chemicals shown in the below table, which are on the list of chemicals with high hazards for categorisation based on reproductive toxicity</w:t>
      </w:r>
      <w:r w:rsidR="003711B1">
        <w:t>:</w:t>
      </w:r>
    </w:p>
    <w:p w14:paraId="6CB839EC" w14:textId="77777777" w:rsidR="5598C04C" w:rsidRDefault="5598C04C" w:rsidP="5598C04C"/>
    <w:tbl>
      <w:tblPr>
        <w:tblStyle w:val="AICISTableBasic"/>
        <w:tblW w:w="9071" w:type="dxa"/>
        <w:tblLayout w:type="fixed"/>
        <w:tblLook w:val="06A0" w:firstRow="1" w:lastRow="0" w:firstColumn="1" w:lastColumn="0" w:noHBand="1" w:noVBand="1"/>
      </w:tblPr>
      <w:tblGrid>
        <w:gridCol w:w="2268"/>
        <w:gridCol w:w="3118"/>
        <w:gridCol w:w="3685"/>
      </w:tblGrid>
      <w:tr w:rsidR="1CCBE314" w:rsidRPr="00D53C30" w14:paraId="1F09B9EA" w14:textId="77777777" w:rsidTr="008E37C3">
        <w:trPr>
          <w:trHeight w:val="567"/>
          <w:tblHeader/>
        </w:trPr>
        <w:tc>
          <w:tcPr>
            <w:tcW w:w="2268" w:type="dxa"/>
          </w:tcPr>
          <w:p w14:paraId="72930F30" w14:textId="77777777" w:rsidR="366D2CAA" w:rsidRPr="00D53C30" w:rsidRDefault="366D2CAA" w:rsidP="00E0057A">
            <w:pPr>
              <w:rPr>
                <w:b/>
                <w:bCs/>
              </w:rPr>
            </w:pPr>
            <w:r w:rsidRPr="00D53C30">
              <w:rPr>
                <w:b/>
                <w:bCs/>
              </w:rPr>
              <w:t>CAS number</w:t>
            </w:r>
          </w:p>
        </w:tc>
        <w:tc>
          <w:tcPr>
            <w:tcW w:w="3118" w:type="dxa"/>
          </w:tcPr>
          <w:p w14:paraId="0EBA9967" w14:textId="77777777" w:rsidR="366D2CAA" w:rsidRPr="00D53C30" w:rsidRDefault="366D2CAA" w:rsidP="00E0057A">
            <w:pPr>
              <w:rPr>
                <w:b/>
                <w:bCs/>
              </w:rPr>
            </w:pPr>
            <w:r w:rsidRPr="00D53C30">
              <w:rPr>
                <w:b/>
                <w:bCs/>
              </w:rPr>
              <w:t>Chemical name</w:t>
            </w:r>
          </w:p>
        </w:tc>
        <w:tc>
          <w:tcPr>
            <w:tcW w:w="3685" w:type="dxa"/>
          </w:tcPr>
          <w:p w14:paraId="279BCCBA" w14:textId="77777777" w:rsidR="00DE5924" w:rsidRPr="00D53C30" w:rsidRDefault="366D2CAA" w:rsidP="001D5CAE">
            <w:pPr>
              <w:rPr>
                <w:b/>
                <w:bCs/>
              </w:rPr>
            </w:pPr>
            <w:r w:rsidRPr="00D53C30">
              <w:rPr>
                <w:b/>
                <w:bCs/>
              </w:rPr>
              <w:t>An ester or salt of the chemical has the reproductive toxicity</w:t>
            </w:r>
            <w:r w:rsidR="0050680B" w:rsidRPr="00D53C30">
              <w:rPr>
                <w:b/>
                <w:bCs/>
              </w:rPr>
              <w:t xml:space="preserve"> </w:t>
            </w:r>
            <w:r w:rsidRPr="00D53C30">
              <w:rPr>
                <w:b/>
                <w:bCs/>
              </w:rPr>
              <w:t>hazard characteristic, unless one or more of the below exception criteria apply</w:t>
            </w:r>
          </w:p>
        </w:tc>
      </w:tr>
      <w:tr w:rsidR="1CCBE314" w14:paraId="3DF3B88C" w14:textId="77777777" w:rsidTr="00D53C30">
        <w:trPr>
          <w:trHeight w:val="300"/>
        </w:trPr>
        <w:tc>
          <w:tcPr>
            <w:tcW w:w="2268" w:type="dxa"/>
          </w:tcPr>
          <w:p w14:paraId="532DFE47" w14:textId="77777777" w:rsidR="366D2CAA" w:rsidRDefault="366D2CAA" w:rsidP="00E0057A">
            <w:r>
              <w:t xml:space="preserve">110-80-5 </w:t>
            </w:r>
          </w:p>
        </w:tc>
        <w:tc>
          <w:tcPr>
            <w:tcW w:w="3118" w:type="dxa"/>
          </w:tcPr>
          <w:p w14:paraId="2680D372" w14:textId="77777777" w:rsidR="366D2CAA" w:rsidRDefault="366D2CAA" w:rsidP="00E0057A">
            <w:r>
              <w:t>Ethanol, 2-ethoxy-,</w:t>
            </w:r>
          </w:p>
        </w:tc>
        <w:tc>
          <w:tcPr>
            <w:tcW w:w="3685" w:type="dxa"/>
          </w:tcPr>
          <w:p w14:paraId="373C743D" w14:textId="77777777" w:rsidR="366D2CAA" w:rsidRDefault="366D2CAA" w:rsidP="000A5B68">
            <w:pPr>
              <w:pStyle w:val="Tablebullet"/>
            </w:pPr>
            <w:r>
              <w:t>the salt/ester is a high molecular weight polymer, with low levels of low molecular weight species</w:t>
            </w:r>
          </w:p>
          <w:p w14:paraId="25440800" w14:textId="77777777" w:rsidR="366D2CAA" w:rsidRDefault="366D2CAA" w:rsidP="000A5B68">
            <w:pPr>
              <w:pStyle w:val="Tablebullet"/>
            </w:pPr>
            <w:r>
              <w:t>the molecular weight of the salt/ester is greater than or equal to 1,000 g/mol</w:t>
            </w:r>
          </w:p>
        </w:tc>
      </w:tr>
      <w:tr w:rsidR="1CCBE314" w14:paraId="7FF9E4A5" w14:textId="77777777" w:rsidTr="00D53C30">
        <w:trPr>
          <w:trHeight w:val="300"/>
        </w:trPr>
        <w:tc>
          <w:tcPr>
            <w:tcW w:w="2268" w:type="dxa"/>
          </w:tcPr>
          <w:p w14:paraId="49FBB6D0" w14:textId="77777777" w:rsidR="65468F87" w:rsidRDefault="65468F87" w:rsidP="00E0057A">
            <w:r>
              <w:t>109-86-4</w:t>
            </w:r>
          </w:p>
        </w:tc>
        <w:tc>
          <w:tcPr>
            <w:tcW w:w="3118" w:type="dxa"/>
          </w:tcPr>
          <w:p w14:paraId="58A12F3D" w14:textId="77777777" w:rsidR="65468F87" w:rsidRDefault="65468F87" w:rsidP="00E0057A">
            <w:r>
              <w:t>Ethanol, 2-methoxy-</w:t>
            </w:r>
          </w:p>
        </w:tc>
        <w:tc>
          <w:tcPr>
            <w:tcW w:w="3685" w:type="dxa"/>
          </w:tcPr>
          <w:p w14:paraId="3A9E23A8" w14:textId="77777777" w:rsidR="65468F87" w:rsidRDefault="65468F87" w:rsidP="000A5B68">
            <w:pPr>
              <w:pStyle w:val="Tablebullet"/>
            </w:pPr>
            <w:r>
              <w:t>the salt/ester is a high molecular weight polymer, with low levels of low molecular weight species</w:t>
            </w:r>
          </w:p>
          <w:p w14:paraId="5FCABE78" w14:textId="77777777" w:rsidR="65468F87" w:rsidRDefault="65468F87" w:rsidP="000A5B68">
            <w:pPr>
              <w:pStyle w:val="Tablebullet"/>
            </w:pPr>
            <w:r>
              <w:t>the molecular weight of the salt/ester is greater than or equal to 1,000 g/mol.</w:t>
            </w:r>
          </w:p>
        </w:tc>
      </w:tr>
      <w:tr w:rsidR="1CCBE314" w14:paraId="75B21475" w14:textId="77777777" w:rsidTr="00D53C30">
        <w:trPr>
          <w:trHeight w:val="300"/>
        </w:trPr>
        <w:tc>
          <w:tcPr>
            <w:tcW w:w="2268" w:type="dxa"/>
          </w:tcPr>
          <w:p w14:paraId="30C59317" w14:textId="77777777" w:rsidR="65468F87" w:rsidRDefault="65468F87" w:rsidP="00E0057A">
            <w:r>
              <w:t>98-73-7</w:t>
            </w:r>
          </w:p>
        </w:tc>
        <w:tc>
          <w:tcPr>
            <w:tcW w:w="3118" w:type="dxa"/>
          </w:tcPr>
          <w:p w14:paraId="26A8AAA8" w14:textId="77777777" w:rsidR="65468F87" w:rsidRDefault="65468F87" w:rsidP="00E0057A">
            <w:r>
              <w:t>Benzoic acid, 4-(1,1-dimethylethyl)-</w:t>
            </w:r>
          </w:p>
        </w:tc>
        <w:tc>
          <w:tcPr>
            <w:tcW w:w="3685" w:type="dxa"/>
          </w:tcPr>
          <w:p w14:paraId="2FA7A595" w14:textId="77777777" w:rsidR="65468F87" w:rsidRDefault="65468F87" w:rsidP="000A5B68">
            <w:pPr>
              <w:pStyle w:val="Tablebullet"/>
            </w:pPr>
            <w:r>
              <w:t>the salt/ester is a high molecular weight polymer, with low levels of low molecular weight species</w:t>
            </w:r>
          </w:p>
          <w:p w14:paraId="4D880198" w14:textId="77777777" w:rsidR="65468F87" w:rsidRDefault="65468F87" w:rsidP="000A5B68">
            <w:pPr>
              <w:pStyle w:val="Tablebullet"/>
            </w:pPr>
            <w:r>
              <w:lastRenderedPageBreak/>
              <w:t>the molecular weight of the salt/ester is greater than or equal to 1,000 g/mol.</w:t>
            </w:r>
          </w:p>
        </w:tc>
      </w:tr>
      <w:tr w:rsidR="1CCBE314" w14:paraId="02494D44" w14:textId="77777777" w:rsidTr="00D53C30">
        <w:trPr>
          <w:trHeight w:val="300"/>
        </w:trPr>
        <w:tc>
          <w:tcPr>
            <w:tcW w:w="2268" w:type="dxa"/>
          </w:tcPr>
          <w:p w14:paraId="4BC7D074" w14:textId="77777777" w:rsidR="65468F87" w:rsidRDefault="65468F87" w:rsidP="00E0057A">
            <w:r>
              <w:lastRenderedPageBreak/>
              <w:t>97-99-4</w:t>
            </w:r>
          </w:p>
        </w:tc>
        <w:tc>
          <w:tcPr>
            <w:tcW w:w="3118" w:type="dxa"/>
          </w:tcPr>
          <w:p w14:paraId="25A47665" w14:textId="20209903" w:rsidR="1CCBE314" w:rsidRDefault="65468F87" w:rsidP="002273C9">
            <w:r>
              <w:t>2-Furanmethanol, tetrahydro-</w:t>
            </w:r>
            <w:r w:rsidR="007221D6">
              <w:t xml:space="preserve"> </w:t>
            </w:r>
            <w:r>
              <w:t>(tetrahydro-2-furylmethanol)</w:t>
            </w:r>
          </w:p>
        </w:tc>
        <w:tc>
          <w:tcPr>
            <w:tcW w:w="3685" w:type="dxa"/>
          </w:tcPr>
          <w:p w14:paraId="315EB72A" w14:textId="77777777" w:rsidR="65468F87" w:rsidRDefault="65468F87" w:rsidP="000A5B68">
            <w:pPr>
              <w:pStyle w:val="Tablebullet"/>
            </w:pPr>
            <w:r>
              <w:t>the salt/ester is a high</w:t>
            </w:r>
            <w:r w:rsidR="009901CE">
              <w:t xml:space="preserve"> </w:t>
            </w:r>
            <w:r>
              <w:t>molecular weight polymer, with low levels of low molecular weight species</w:t>
            </w:r>
          </w:p>
          <w:p w14:paraId="19A5A21F" w14:textId="77777777" w:rsidR="65468F87" w:rsidRDefault="65468F87" w:rsidP="000A5B68">
            <w:pPr>
              <w:pStyle w:val="Tablebullet"/>
            </w:pPr>
            <w:r>
              <w:t>the molecular weight of the salt/ester is greater than or equal to 1,000 g/mol.</w:t>
            </w:r>
          </w:p>
        </w:tc>
      </w:tr>
      <w:tr w:rsidR="1CCBE314" w14:paraId="11B23B4B" w14:textId="77777777" w:rsidTr="00D53C30">
        <w:trPr>
          <w:trHeight w:val="300"/>
        </w:trPr>
        <w:tc>
          <w:tcPr>
            <w:tcW w:w="2268" w:type="dxa"/>
          </w:tcPr>
          <w:p w14:paraId="5125E08D" w14:textId="77777777" w:rsidR="65468F87" w:rsidRDefault="65468F87" w:rsidP="00E0057A">
            <w:r>
              <w:t>Various</w:t>
            </w:r>
          </w:p>
        </w:tc>
        <w:tc>
          <w:tcPr>
            <w:tcW w:w="3118" w:type="dxa"/>
          </w:tcPr>
          <w:p w14:paraId="35245991" w14:textId="77777777" w:rsidR="65468F87" w:rsidRDefault="65468F87" w:rsidP="00E0057A">
            <w:r>
              <w:t>Boric acid</w:t>
            </w:r>
          </w:p>
        </w:tc>
        <w:tc>
          <w:tcPr>
            <w:tcW w:w="3685" w:type="dxa"/>
          </w:tcPr>
          <w:p w14:paraId="4E8CE013" w14:textId="77777777" w:rsidR="65468F87" w:rsidRDefault="65468F87" w:rsidP="000A5B68">
            <w:pPr>
              <w:pStyle w:val="Tablebullet"/>
            </w:pPr>
            <w:r>
              <w:t>the salt/ester is a high molecular weight polymer, with low levels of low molecular weight species</w:t>
            </w:r>
          </w:p>
          <w:p w14:paraId="0D7D0EEC" w14:textId="77777777" w:rsidR="1CCBE314" w:rsidRDefault="65468F87" w:rsidP="000A5B68">
            <w:pPr>
              <w:pStyle w:val="Tablebullet"/>
            </w:pPr>
            <w:r>
              <w:t>the molecular weight of the salt/ester is greater than or equal to 1,000 g/mol.</w:t>
            </w:r>
          </w:p>
        </w:tc>
      </w:tr>
      <w:tr w:rsidR="1CCBE314" w14:paraId="2A1E75D1" w14:textId="77777777" w:rsidTr="00D53C30">
        <w:trPr>
          <w:trHeight w:val="300"/>
        </w:trPr>
        <w:tc>
          <w:tcPr>
            <w:tcW w:w="2268" w:type="dxa"/>
          </w:tcPr>
          <w:p w14:paraId="7D9971A0" w14:textId="77777777" w:rsidR="404F6FAD" w:rsidRDefault="404F6FAD" w:rsidP="00E0057A">
            <w:r>
              <w:t>80-05-7</w:t>
            </w:r>
          </w:p>
        </w:tc>
        <w:tc>
          <w:tcPr>
            <w:tcW w:w="3118" w:type="dxa"/>
          </w:tcPr>
          <w:p w14:paraId="02A90EF9" w14:textId="2F093761" w:rsidR="404F6FAD" w:rsidRDefault="404F6FAD" w:rsidP="00E0057A">
            <w:r>
              <w:t>Phenol, 4,4'-(1-</w:t>
            </w:r>
            <w:proofErr w:type="gramStart"/>
            <w:r>
              <w:t>methylethylidene)bis</w:t>
            </w:r>
            <w:proofErr w:type="gramEnd"/>
            <w:r>
              <w:t>-</w:t>
            </w:r>
            <w:r w:rsidR="007221D6">
              <w:t xml:space="preserve"> </w:t>
            </w:r>
            <w:r>
              <w:t>(Bisphenol A)</w:t>
            </w:r>
          </w:p>
        </w:tc>
        <w:tc>
          <w:tcPr>
            <w:tcW w:w="3685" w:type="dxa"/>
          </w:tcPr>
          <w:p w14:paraId="2AB02613" w14:textId="77777777" w:rsidR="007118EB" w:rsidRDefault="022EC5CE" w:rsidP="000A5B68">
            <w:pPr>
              <w:pStyle w:val="Tablebullet"/>
            </w:pPr>
            <w:r>
              <w:t>the salt/ester is a high molecular weight</w:t>
            </w:r>
            <w:r w:rsidR="12495905">
              <w:t xml:space="preserve"> </w:t>
            </w:r>
            <w:r>
              <w:t>polymer, with low levels of low molecular weight species</w:t>
            </w:r>
          </w:p>
          <w:p w14:paraId="42B1628C" w14:textId="2F59C63C" w:rsidR="022EC5CE" w:rsidRPr="00E34AE0" w:rsidRDefault="022EC5CE" w:rsidP="000A5B68">
            <w:pPr>
              <w:pStyle w:val="Tablebullet"/>
            </w:pPr>
            <w:r w:rsidRPr="00E34AE0">
              <w:t>the molecular weight of the salt/ester is greater than or equal to 1,000 g/m</w:t>
            </w:r>
            <w:r w:rsidR="00226813">
              <w:t>ol</w:t>
            </w:r>
            <w:r w:rsidR="007221D6">
              <w:t>.</w:t>
            </w:r>
          </w:p>
        </w:tc>
      </w:tr>
      <w:tr w:rsidR="1CCBE314" w14:paraId="4370B8D5" w14:textId="77777777" w:rsidTr="00D53C30">
        <w:trPr>
          <w:trHeight w:val="300"/>
        </w:trPr>
        <w:tc>
          <w:tcPr>
            <w:tcW w:w="2268" w:type="dxa"/>
          </w:tcPr>
          <w:p w14:paraId="6D9AAE69" w14:textId="77777777" w:rsidR="44309093" w:rsidRDefault="44309093" w:rsidP="00E0057A">
            <w:r>
              <w:t>80-09-1</w:t>
            </w:r>
          </w:p>
        </w:tc>
        <w:tc>
          <w:tcPr>
            <w:tcW w:w="3118" w:type="dxa"/>
          </w:tcPr>
          <w:p w14:paraId="6221EA07" w14:textId="77777777" w:rsidR="3DAA5451" w:rsidRDefault="3DAA5451" w:rsidP="00E0057A">
            <w:r>
              <w:t>Phenol, 4,4'-sulfonylbis- (Bisphenol S</w:t>
            </w:r>
            <w:r w:rsidR="00E0057A">
              <w:t>)</w:t>
            </w:r>
          </w:p>
        </w:tc>
        <w:tc>
          <w:tcPr>
            <w:tcW w:w="3685" w:type="dxa"/>
          </w:tcPr>
          <w:p w14:paraId="4A1C005C" w14:textId="77777777" w:rsidR="3DAA5451" w:rsidRDefault="3DAA5451" w:rsidP="000A5B68">
            <w:pPr>
              <w:pStyle w:val="Tablebullet"/>
            </w:pPr>
            <w:r>
              <w:t>the salt/ester is a high molecular weight polymer, with low levels of low molecular weight species</w:t>
            </w:r>
          </w:p>
          <w:p w14:paraId="2F469FE4" w14:textId="77777777" w:rsidR="3DAA5451" w:rsidRDefault="3DAA5451" w:rsidP="000A5B68">
            <w:pPr>
              <w:pStyle w:val="Tablebullet"/>
            </w:pPr>
            <w:r>
              <w:t>the molecular weight of the salt/ester is greater than or equal to 1,000 g/mol.</w:t>
            </w:r>
          </w:p>
        </w:tc>
      </w:tr>
      <w:tr w:rsidR="1CCBE314" w14:paraId="4188A2D7" w14:textId="77777777" w:rsidTr="00D53C30">
        <w:trPr>
          <w:trHeight w:val="300"/>
        </w:trPr>
        <w:tc>
          <w:tcPr>
            <w:tcW w:w="2268" w:type="dxa"/>
          </w:tcPr>
          <w:p w14:paraId="566F9666" w14:textId="77777777" w:rsidR="1EB64EC6" w:rsidRDefault="1EB64EC6" w:rsidP="00E0057A">
            <w:r>
              <w:t>98-54-4</w:t>
            </w:r>
          </w:p>
        </w:tc>
        <w:tc>
          <w:tcPr>
            <w:tcW w:w="3118" w:type="dxa"/>
          </w:tcPr>
          <w:p w14:paraId="11E9AACA" w14:textId="77777777" w:rsidR="1EB64EC6" w:rsidRDefault="1EB64EC6" w:rsidP="00E0057A">
            <w:r>
              <w:t>Phenol, 4-(1,1-dimethylethyl)-</w:t>
            </w:r>
          </w:p>
        </w:tc>
        <w:tc>
          <w:tcPr>
            <w:tcW w:w="3685" w:type="dxa"/>
          </w:tcPr>
          <w:p w14:paraId="4C49B1CB" w14:textId="77777777" w:rsidR="1EB64EC6" w:rsidRDefault="1EB64EC6" w:rsidP="000A5B68">
            <w:pPr>
              <w:pStyle w:val="Tablebullet"/>
            </w:pPr>
            <w:r>
              <w:t>the salt/ester is a high molecular weight polymer that is not an ethoxylate polymer and has low levels of low molecular weight species</w:t>
            </w:r>
          </w:p>
          <w:p w14:paraId="42368B3E" w14:textId="77777777" w:rsidR="1EB64EC6" w:rsidRDefault="1EB64EC6" w:rsidP="000A5B68">
            <w:pPr>
              <w:pStyle w:val="Tablebullet"/>
            </w:pPr>
            <w:r>
              <w:t>the molecular weight of the salt/ester is greater than or equal to 1,000 g/mol.</w:t>
            </w:r>
          </w:p>
        </w:tc>
      </w:tr>
      <w:tr w:rsidR="1CCBE314" w14:paraId="0C3DA9C3" w14:textId="77777777" w:rsidTr="00D53C30">
        <w:trPr>
          <w:trHeight w:val="300"/>
        </w:trPr>
        <w:tc>
          <w:tcPr>
            <w:tcW w:w="2268" w:type="dxa"/>
          </w:tcPr>
          <w:p w14:paraId="31DBD95D" w14:textId="77777777" w:rsidR="1EB64EC6" w:rsidRDefault="1EB64EC6" w:rsidP="00E0057A">
            <w:r>
              <w:t>Various</w:t>
            </w:r>
          </w:p>
        </w:tc>
        <w:tc>
          <w:tcPr>
            <w:tcW w:w="3118" w:type="dxa"/>
          </w:tcPr>
          <w:p w14:paraId="5A2E94A8" w14:textId="77777777" w:rsidR="1EB64EC6" w:rsidRDefault="1EB64EC6" w:rsidP="00E0057A">
            <w:r>
              <w:t>Nonylphenols on the list of chemicals with high hazards for categorisation – includes linear and branched isomers</w:t>
            </w:r>
          </w:p>
        </w:tc>
        <w:tc>
          <w:tcPr>
            <w:tcW w:w="3685" w:type="dxa"/>
          </w:tcPr>
          <w:p w14:paraId="4809E2FF" w14:textId="77777777" w:rsidR="1EB64EC6" w:rsidRDefault="1EB64EC6" w:rsidP="000A5B68">
            <w:pPr>
              <w:pStyle w:val="Tablebullet"/>
            </w:pPr>
            <w:r>
              <w:t>the salt/ester is a high molecular weight polymer that is not an ethoxylate polymer and has low levels of low molecular weight species</w:t>
            </w:r>
          </w:p>
          <w:p w14:paraId="3E56350B" w14:textId="77777777" w:rsidR="1EB64EC6" w:rsidRDefault="1EB64EC6" w:rsidP="000A5B68">
            <w:pPr>
              <w:pStyle w:val="Tablebullet"/>
            </w:pPr>
            <w:r>
              <w:t>the molecular weight of the salt/ester is greater than or equal to 1,000 g/mol.</w:t>
            </w:r>
          </w:p>
        </w:tc>
      </w:tr>
      <w:tr w:rsidR="1CCBE314" w14:paraId="589023F0" w14:textId="77777777" w:rsidTr="00D53C30">
        <w:trPr>
          <w:trHeight w:val="300"/>
        </w:trPr>
        <w:tc>
          <w:tcPr>
            <w:tcW w:w="2268" w:type="dxa"/>
          </w:tcPr>
          <w:p w14:paraId="34A64B3F" w14:textId="77777777" w:rsidR="1EB64EC6" w:rsidRDefault="1EB64EC6" w:rsidP="00E0057A">
            <w:r>
              <w:t>Various</w:t>
            </w:r>
          </w:p>
        </w:tc>
        <w:tc>
          <w:tcPr>
            <w:tcW w:w="3118" w:type="dxa"/>
          </w:tcPr>
          <w:p w14:paraId="6AA18C92" w14:textId="77777777" w:rsidR="1EB64EC6" w:rsidRDefault="1EB64EC6" w:rsidP="00980C0C">
            <w:proofErr w:type="spellStart"/>
            <w:r>
              <w:t>Dodecylphenols</w:t>
            </w:r>
            <w:proofErr w:type="spellEnd"/>
            <w:r>
              <w:t xml:space="preserve"> on the list of chemicals with high hazards for categorisation – includes linear and branched isomers</w:t>
            </w:r>
          </w:p>
        </w:tc>
        <w:tc>
          <w:tcPr>
            <w:tcW w:w="3685" w:type="dxa"/>
          </w:tcPr>
          <w:p w14:paraId="529AB154" w14:textId="77777777" w:rsidR="1EB64EC6" w:rsidRDefault="1EB64EC6" w:rsidP="000A5B68">
            <w:pPr>
              <w:pStyle w:val="Tablebullet"/>
            </w:pPr>
            <w:r>
              <w:t xml:space="preserve">the salt/ester is a high molecular weight polymer that is not an ethoxylate polymer and has low </w:t>
            </w:r>
            <w:r>
              <w:lastRenderedPageBreak/>
              <w:t>levels of low molecular weight species</w:t>
            </w:r>
          </w:p>
          <w:p w14:paraId="1391B9C3" w14:textId="77777777" w:rsidR="1EB64EC6" w:rsidRDefault="1EB64EC6" w:rsidP="000A5B68">
            <w:pPr>
              <w:pStyle w:val="Tablebullet"/>
            </w:pPr>
            <w:r>
              <w:t>the molecular weight of the salt/ester is greater than or equal to 1,000 g/mol.</w:t>
            </w:r>
          </w:p>
        </w:tc>
      </w:tr>
    </w:tbl>
    <w:p w14:paraId="2CBF8D93" w14:textId="77777777" w:rsidR="5598C04C" w:rsidRDefault="60172CDC" w:rsidP="1CCBE314">
      <w:pPr>
        <w:pStyle w:val="Heading2"/>
      </w:pPr>
      <w:bookmarkStart w:id="20" w:name="_Toc238816812"/>
      <w:r>
        <w:lastRenderedPageBreak/>
        <w:t>6.5</w:t>
      </w:r>
      <w:r w:rsidR="004266A7">
        <w:tab/>
      </w:r>
      <w:r>
        <w:t>Developmental toxicity – Human health hazard band C</w:t>
      </w:r>
      <w:bookmarkEnd w:id="20"/>
    </w:p>
    <w:p w14:paraId="4BA6FCA5" w14:textId="77777777" w:rsidR="5598C04C" w:rsidRDefault="60172CDC" w:rsidP="1CCBE314">
      <w:pPr>
        <w:pStyle w:val="Heading3"/>
      </w:pPr>
      <w:r>
        <w:t>6.5.1</w:t>
      </w:r>
      <w:r w:rsidR="00864FE9">
        <w:tab/>
      </w:r>
      <w:r>
        <w:t>Clause 2 of Part 1, Schedule 1 to the IC General Rules</w:t>
      </w:r>
    </w:p>
    <w:p w14:paraId="60372147" w14:textId="77777777" w:rsidR="5598C04C" w:rsidRDefault="60172CDC" w:rsidP="5598C04C">
      <w:r>
        <w:t>For the purposes of table item 3 of Clause 2, Part 1, Schedule 1 to the IC General Rules</w:t>
      </w:r>
      <w:r w:rsidR="00DC3ADC">
        <w:t>:</w:t>
      </w:r>
    </w:p>
    <w:p w14:paraId="3E048ABE" w14:textId="77777777" w:rsidR="00B9126F" w:rsidRDefault="00B9126F" w:rsidP="00B9126F">
      <w:r w:rsidRPr="00B9126F">
        <w:rPr>
          <w:b/>
          <w:bCs/>
        </w:rPr>
        <w:t>Developmental toxicity</w:t>
      </w:r>
      <w:r>
        <w:t xml:space="preserve"> means that any of the following apply to the industrial chemical:</w:t>
      </w:r>
    </w:p>
    <w:p w14:paraId="4F4B6EB8" w14:textId="77777777" w:rsidR="00B9126F" w:rsidRDefault="00B9126F" w:rsidP="000A5B68">
      <w:pPr>
        <w:pStyle w:val="Bulletlist"/>
      </w:pPr>
      <w:r>
        <w:t>the chemical is known, presumed or suspected to produce adverse effects on the development of the offspring or effects on the offspring via lactation, as described in chapter 3.7 of the GHS, with the chemical classified as follows:</w:t>
      </w:r>
    </w:p>
    <w:p w14:paraId="1BE35E90" w14:textId="77777777" w:rsidR="00B9126F" w:rsidRDefault="00B9126F" w:rsidP="00C144B1">
      <w:pPr>
        <w:pStyle w:val="Bulletlist2"/>
      </w:pPr>
      <w:r>
        <w:t>toxic to reproduction (category 1 or 2), or</w:t>
      </w:r>
    </w:p>
    <w:p w14:paraId="7CAF8C5B" w14:textId="77777777" w:rsidR="00B9126F" w:rsidRDefault="00B9126F" w:rsidP="00C144B1">
      <w:pPr>
        <w:pStyle w:val="Bulletlist2"/>
      </w:pPr>
      <w:r>
        <w:t>effects on or via lactation, or</w:t>
      </w:r>
    </w:p>
    <w:p w14:paraId="75A87B49" w14:textId="77777777" w:rsidR="00B9126F" w:rsidRDefault="00B9126F" w:rsidP="000A5B68">
      <w:pPr>
        <w:pStyle w:val="Bulletlist"/>
      </w:pPr>
      <w:r>
        <w:t xml:space="preserve">the chemical is on </w:t>
      </w:r>
      <w:r w:rsidRPr="00B9126F">
        <w:rPr>
          <w:b/>
          <w:bCs/>
        </w:rPr>
        <w:t>the list of chemicals with high hazards for categorisation</w:t>
      </w:r>
      <w:r>
        <w:t xml:space="preserve"> based on its developmental toxicity, or</w:t>
      </w:r>
    </w:p>
    <w:p w14:paraId="5B8EA604" w14:textId="77777777" w:rsidR="00B9126F" w:rsidRDefault="00B9126F" w:rsidP="000A5B68">
      <w:pPr>
        <w:pStyle w:val="Bulletlist"/>
      </w:pPr>
      <w:r>
        <w:t>the chemical is an ester or salt of specified chemicals in Part 6.5.2 of these Guidelines, which are on the list of chemicals with high hazards for categorisation based on developmental toxicity unless an exception, as identified in Part 6.5.2, is met for that chemical, or</w:t>
      </w:r>
    </w:p>
    <w:p w14:paraId="0A83C318" w14:textId="77777777" w:rsidR="00B9126F" w:rsidRDefault="00B9126F" w:rsidP="000A5B68">
      <w:pPr>
        <w:pStyle w:val="Bulletlist"/>
      </w:pPr>
      <w:r>
        <w:t>an in vivo study on the chemical conducted following an acceptable test guideline for developmental toxicity or reproductive toxicity results in adverse effects on the development of the offspring or effects on the offspring via lactation, as described in chapter 3.7 of the GHS.</w:t>
      </w:r>
    </w:p>
    <w:p w14:paraId="7BE028D0" w14:textId="77777777" w:rsidR="00147965" w:rsidRDefault="00147965" w:rsidP="004F411C">
      <w:pPr>
        <w:pStyle w:val="Heading3"/>
      </w:pPr>
      <w:r>
        <w:t xml:space="preserve">6.5.2 </w:t>
      </w:r>
      <w:r w:rsidR="004F411C">
        <w:tab/>
      </w:r>
      <w:r>
        <w:t xml:space="preserve">Section 30 of the IC General Rules </w:t>
      </w:r>
      <w:r w:rsidR="005B7E03">
        <w:t>–</w:t>
      </w:r>
      <w:r>
        <w:t xml:space="preserve"> Information required to demonstrate the absence of hazard characteristics</w:t>
      </w:r>
    </w:p>
    <w:p w14:paraId="618A9D22" w14:textId="639B7955" w:rsidR="00147965" w:rsidRDefault="00147965" w:rsidP="00147965">
      <w:r>
        <w:t>For the purposes of paragraph 30(2)(b) and subparagraph 30(2)(c)(iv) of the IC General Rules, the information required to demonstrate that a chemical does not have the hazard characteristic</w:t>
      </w:r>
      <w:r w:rsidR="007221D6">
        <w:t>,</w:t>
      </w:r>
      <w:r>
        <w:t xml:space="preserve"> </w:t>
      </w:r>
      <w:r w:rsidRPr="00163080">
        <w:rPr>
          <w:b/>
          <w:bCs/>
        </w:rPr>
        <w:t>developmental toxicity</w:t>
      </w:r>
      <w:r w:rsidR="007221D6">
        <w:rPr>
          <w:b/>
          <w:bCs/>
        </w:rPr>
        <w:t>,</w:t>
      </w:r>
      <w:r>
        <w:t xml:space="preserve"> is:</w:t>
      </w:r>
    </w:p>
    <w:p w14:paraId="1DBB1F02" w14:textId="77777777" w:rsidR="00163080" w:rsidRDefault="00147965" w:rsidP="000A5B68">
      <w:pPr>
        <w:pStyle w:val="Bulletlist"/>
      </w:pPr>
      <w:r>
        <w:t>if the chemical is a polyhalogenated organic chemical and the human health exposure band for the introduction is 4 –</w:t>
      </w:r>
    </w:p>
    <w:p w14:paraId="2EA15AA8" w14:textId="77777777" w:rsidR="00163080" w:rsidRDefault="00147965" w:rsidP="00C144B1">
      <w:pPr>
        <w:pStyle w:val="Bulletlist2"/>
      </w:pPr>
      <w:r>
        <w:t>an in vivo test result on the chemical or suitable read across information conducted following an acceptable test guideline for developmental toxicity or reproductive toxicity which results in none of the adverse effects on the development of the offspring or effects on the offspring via lactation, as described in chapter 3.7 of the GHS;</w:t>
      </w:r>
    </w:p>
    <w:p w14:paraId="7F1FAB14" w14:textId="77777777" w:rsidR="00163080" w:rsidRDefault="00147965" w:rsidP="000A5B68">
      <w:pPr>
        <w:pStyle w:val="Bulletlist"/>
      </w:pPr>
      <w:r>
        <w:t>otherwise –</w:t>
      </w:r>
    </w:p>
    <w:p w14:paraId="7CF32C7A" w14:textId="77777777" w:rsidR="00E44FFB" w:rsidRDefault="00147965" w:rsidP="00C144B1">
      <w:pPr>
        <w:pStyle w:val="Bulletlist2"/>
        <w:rPr>
          <w:rStyle w:val="Bulletlist2Char"/>
        </w:rPr>
      </w:pPr>
      <w:r w:rsidRPr="00163080">
        <w:rPr>
          <w:rStyle w:val="Bulletlist2Char"/>
        </w:rPr>
        <w:t xml:space="preserve">confirmation that the chemical is not on the </w:t>
      </w:r>
      <w:r w:rsidRPr="00163080">
        <w:rPr>
          <w:rStyle w:val="Bulletlist2Char"/>
          <w:b/>
          <w:bCs/>
        </w:rPr>
        <w:t>list of chemicals with high hazards for categorisation</w:t>
      </w:r>
      <w:r w:rsidRPr="00163080">
        <w:rPr>
          <w:rStyle w:val="Bulletlist2Char"/>
        </w:rPr>
        <w:t>, based on its developmental toxicity, and confirmation that the chemical is not an ester or salt of the specified chemicals shown in the below table, which are on the list of chemicals with high hazards for categorisation, based on developmental toxicity:</w:t>
      </w:r>
    </w:p>
    <w:tbl>
      <w:tblPr>
        <w:tblStyle w:val="AICISTableBasic"/>
        <w:tblW w:w="9071" w:type="dxa"/>
        <w:tblLook w:val="0620" w:firstRow="1" w:lastRow="0" w:firstColumn="0" w:lastColumn="0" w:noHBand="1" w:noVBand="1"/>
      </w:tblPr>
      <w:tblGrid>
        <w:gridCol w:w="2268"/>
        <w:gridCol w:w="3118"/>
        <w:gridCol w:w="3685"/>
      </w:tblGrid>
      <w:tr w:rsidR="42F241BE" w:rsidRPr="002A2C2C" w14:paraId="0B6ED2F8" w14:textId="77777777" w:rsidTr="008E37C3">
        <w:trPr>
          <w:trHeight w:val="567"/>
          <w:tblHeader/>
        </w:trPr>
        <w:tc>
          <w:tcPr>
            <w:tcW w:w="2268" w:type="dxa"/>
          </w:tcPr>
          <w:p w14:paraId="17FE3B3C" w14:textId="77777777" w:rsidR="42F241BE" w:rsidRPr="002A2C2C" w:rsidRDefault="42F241BE">
            <w:pPr>
              <w:rPr>
                <w:b/>
                <w:bCs/>
              </w:rPr>
            </w:pPr>
            <w:r w:rsidRPr="002A2C2C">
              <w:rPr>
                <w:b/>
                <w:bCs/>
              </w:rPr>
              <w:lastRenderedPageBreak/>
              <w:t>CAS number</w:t>
            </w:r>
          </w:p>
        </w:tc>
        <w:tc>
          <w:tcPr>
            <w:tcW w:w="3118" w:type="dxa"/>
          </w:tcPr>
          <w:p w14:paraId="0F332A77" w14:textId="77777777" w:rsidR="42F241BE" w:rsidRPr="002A2C2C" w:rsidRDefault="42F241BE">
            <w:pPr>
              <w:rPr>
                <w:b/>
                <w:bCs/>
              </w:rPr>
            </w:pPr>
            <w:r w:rsidRPr="002A2C2C">
              <w:rPr>
                <w:b/>
                <w:bCs/>
              </w:rPr>
              <w:t>Chemical name</w:t>
            </w:r>
          </w:p>
        </w:tc>
        <w:tc>
          <w:tcPr>
            <w:tcW w:w="3685" w:type="dxa"/>
          </w:tcPr>
          <w:p w14:paraId="38F0DD84" w14:textId="77777777" w:rsidR="42F241BE" w:rsidRPr="002A2C2C" w:rsidRDefault="42F241BE" w:rsidP="001D5CAE">
            <w:pPr>
              <w:rPr>
                <w:b/>
                <w:bCs/>
              </w:rPr>
            </w:pPr>
            <w:r w:rsidRPr="002A2C2C">
              <w:rPr>
                <w:b/>
                <w:bCs/>
              </w:rPr>
              <w:t xml:space="preserve">An ester or salt of the chemical </w:t>
            </w:r>
            <w:r w:rsidR="35FFE892" w:rsidRPr="002A2C2C">
              <w:rPr>
                <w:b/>
                <w:bCs/>
              </w:rPr>
              <w:t>has the developmental toxicity</w:t>
            </w:r>
            <w:r w:rsidR="001D5CAE" w:rsidRPr="002A2C2C">
              <w:rPr>
                <w:b/>
                <w:bCs/>
              </w:rPr>
              <w:t xml:space="preserve"> </w:t>
            </w:r>
            <w:r w:rsidR="35FFE892" w:rsidRPr="002A2C2C">
              <w:rPr>
                <w:b/>
                <w:bCs/>
              </w:rPr>
              <w:t>hazard characteristic, unless one or more of the below exception criteria apply</w:t>
            </w:r>
          </w:p>
        </w:tc>
      </w:tr>
      <w:tr w:rsidR="42F241BE" w14:paraId="441D34F4" w14:textId="77777777" w:rsidTr="002A2C2C">
        <w:trPr>
          <w:trHeight w:val="300"/>
        </w:trPr>
        <w:tc>
          <w:tcPr>
            <w:tcW w:w="2268" w:type="dxa"/>
          </w:tcPr>
          <w:p w14:paraId="35A0288B" w14:textId="77777777" w:rsidR="35FFE892" w:rsidRDefault="35FFE892">
            <w:r>
              <w:t>149-57-5</w:t>
            </w:r>
          </w:p>
        </w:tc>
        <w:tc>
          <w:tcPr>
            <w:tcW w:w="3118" w:type="dxa"/>
          </w:tcPr>
          <w:p w14:paraId="5C403C07" w14:textId="77777777" w:rsidR="35FFE892" w:rsidRDefault="35FFE892">
            <w:r>
              <w:t>Hexanoic acid, 2-ethyl (2-EHA)</w:t>
            </w:r>
          </w:p>
        </w:tc>
        <w:tc>
          <w:tcPr>
            <w:tcW w:w="3685" w:type="dxa"/>
          </w:tcPr>
          <w:p w14:paraId="274BC916" w14:textId="77777777" w:rsidR="42F241BE" w:rsidRDefault="42F241BE" w:rsidP="000A5B68">
            <w:pPr>
              <w:pStyle w:val="Tablebullet"/>
            </w:pPr>
            <w:r>
              <w:t>the ester is a high molecular weight polymer, with low levels of low molecular weight species</w:t>
            </w:r>
          </w:p>
          <w:p w14:paraId="216E2417" w14:textId="77777777" w:rsidR="42F241BE" w:rsidRDefault="42F241BE" w:rsidP="000A5B68">
            <w:pPr>
              <w:pStyle w:val="Tablebullet"/>
            </w:pPr>
            <w:r>
              <w:t xml:space="preserve">the molecular weight of the ester is greater than or equal to </w:t>
            </w:r>
            <w:r w:rsidR="34C1D340">
              <w:t>500</w:t>
            </w:r>
            <w:r>
              <w:t xml:space="preserve"> g/mol</w:t>
            </w:r>
          </w:p>
          <w:p w14:paraId="196B4AB1" w14:textId="36015813" w:rsidR="67E71F8A" w:rsidRDefault="001708EA" w:rsidP="000A5B68">
            <w:pPr>
              <w:pStyle w:val="Tablebullet"/>
            </w:pPr>
            <w:r>
              <w:t>e</w:t>
            </w:r>
            <w:r w:rsidR="67E71F8A">
              <w:t>ach product contains 5% or less, calculated as hexanoic acid, 2-ethyl-</w:t>
            </w:r>
            <w:r w:rsidR="003A2F44">
              <w:rPr>
                <w:rStyle w:val="FootnoteReference"/>
              </w:rPr>
              <w:footnoteReference w:id="4"/>
            </w:r>
          </w:p>
        </w:tc>
      </w:tr>
      <w:tr w:rsidR="42F241BE" w14:paraId="06DE8274" w14:textId="77777777" w:rsidTr="002A2C2C">
        <w:trPr>
          <w:trHeight w:val="300"/>
        </w:trPr>
        <w:tc>
          <w:tcPr>
            <w:tcW w:w="2268" w:type="dxa"/>
          </w:tcPr>
          <w:p w14:paraId="2F854783" w14:textId="77777777" w:rsidR="0636767D" w:rsidRDefault="0636767D">
            <w:r>
              <w:t>104-76-7</w:t>
            </w:r>
          </w:p>
        </w:tc>
        <w:tc>
          <w:tcPr>
            <w:tcW w:w="3118" w:type="dxa"/>
          </w:tcPr>
          <w:p w14:paraId="27154262" w14:textId="77777777" w:rsidR="0636767D" w:rsidRDefault="0636767D">
            <w:r>
              <w:t>1-Hexanol, 2-ethyl-</w:t>
            </w:r>
          </w:p>
        </w:tc>
        <w:tc>
          <w:tcPr>
            <w:tcW w:w="3685" w:type="dxa"/>
          </w:tcPr>
          <w:p w14:paraId="75A0829D" w14:textId="77777777" w:rsidR="42F241BE" w:rsidRDefault="42F241BE" w:rsidP="000A5B68">
            <w:pPr>
              <w:pStyle w:val="Tablebullet"/>
            </w:pPr>
            <w:r>
              <w:t>the ester is a high molecular weight polymer, with low levels of low molecular weight species</w:t>
            </w:r>
          </w:p>
          <w:p w14:paraId="29BFB926" w14:textId="77777777" w:rsidR="42F241BE" w:rsidRDefault="42F241BE" w:rsidP="000A5B68">
            <w:pPr>
              <w:pStyle w:val="Tablebullet"/>
            </w:pPr>
            <w:r>
              <w:t xml:space="preserve">the molecular weight of the ester is greater than or equal to </w:t>
            </w:r>
            <w:r w:rsidR="6F94BC01">
              <w:t>500</w:t>
            </w:r>
            <w:r>
              <w:t xml:space="preserve"> g/mol.</w:t>
            </w:r>
          </w:p>
          <w:p w14:paraId="3B2EA0E0" w14:textId="3ED7F6E4" w:rsidR="0CF1E412" w:rsidRDefault="001708EA" w:rsidP="000A5B68">
            <w:pPr>
              <w:pStyle w:val="Tablebullet"/>
            </w:pPr>
            <w:r>
              <w:t>e</w:t>
            </w:r>
            <w:r w:rsidR="0CF1E412">
              <w:t xml:space="preserve">ach product contains 5% or less, calculated as </w:t>
            </w:r>
            <w:r w:rsidRPr="0003269F">
              <w:rPr>
                <w:rFonts w:eastAsia="Times New Roman" w:cs="Segoe UI"/>
                <w:lang w:eastAsia="en-AU"/>
              </w:rPr>
              <w:t>1-hexanol</w:t>
            </w:r>
            <w:r w:rsidR="0CF1E412">
              <w:t>, 2-ethyl-</w:t>
            </w:r>
          </w:p>
        </w:tc>
      </w:tr>
      <w:tr w:rsidR="42F241BE" w14:paraId="2744A6DF" w14:textId="77777777" w:rsidTr="002A2C2C">
        <w:trPr>
          <w:trHeight w:val="300"/>
        </w:trPr>
        <w:tc>
          <w:tcPr>
            <w:tcW w:w="2268" w:type="dxa"/>
          </w:tcPr>
          <w:p w14:paraId="213F3DC9" w14:textId="77777777" w:rsidR="0CF1E412" w:rsidRDefault="0CF1E412">
            <w:r>
              <w:t>69-72-7</w:t>
            </w:r>
          </w:p>
        </w:tc>
        <w:tc>
          <w:tcPr>
            <w:tcW w:w="3118" w:type="dxa"/>
          </w:tcPr>
          <w:p w14:paraId="123210DA" w14:textId="77777777" w:rsidR="0CF1E412" w:rsidRDefault="0CF1E412">
            <w:r>
              <w:t>Benzoic acid, 2-hydroxy- (salicylic acid)</w:t>
            </w:r>
          </w:p>
        </w:tc>
        <w:tc>
          <w:tcPr>
            <w:tcW w:w="3685" w:type="dxa"/>
          </w:tcPr>
          <w:p w14:paraId="25BD43F4" w14:textId="77777777" w:rsidR="42F241BE" w:rsidRDefault="42F241BE" w:rsidP="000A5B68">
            <w:pPr>
              <w:pStyle w:val="Tablebullet"/>
            </w:pPr>
            <w:r>
              <w:t>the salt/ester is a high molecular weight polymer, with low levels of low molecular weight species</w:t>
            </w:r>
          </w:p>
          <w:p w14:paraId="68E4A96D" w14:textId="77777777" w:rsidR="42F241BE" w:rsidRDefault="42F241BE" w:rsidP="000A5B68">
            <w:pPr>
              <w:pStyle w:val="Tablebullet"/>
            </w:pPr>
            <w:r>
              <w:t>the molecular weight of the salt/ester is greater than or equal to 1,000 g/mol.</w:t>
            </w:r>
          </w:p>
        </w:tc>
      </w:tr>
      <w:tr w:rsidR="42F241BE" w14:paraId="5E440D20" w14:textId="77777777" w:rsidTr="002A2C2C">
        <w:trPr>
          <w:trHeight w:val="300"/>
        </w:trPr>
        <w:tc>
          <w:tcPr>
            <w:tcW w:w="2268" w:type="dxa"/>
          </w:tcPr>
          <w:p w14:paraId="0FC27E8C" w14:textId="77777777" w:rsidR="5E80FF16" w:rsidRDefault="5E80FF16">
            <w:r>
              <w:t>110-80-5</w:t>
            </w:r>
          </w:p>
        </w:tc>
        <w:tc>
          <w:tcPr>
            <w:tcW w:w="3118" w:type="dxa"/>
          </w:tcPr>
          <w:p w14:paraId="7220B3AA" w14:textId="4FDA9EBC" w:rsidR="42F241BE" w:rsidRDefault="5E80FF16">
            <w:r>
              <w:t>Ethanol, 2-ethoxy-,</w:t>
            </w:r>
          </w:p>
        </w:tc>
        <w:tc>
          <w:tcPr>
            <w:tcW w:w="3685" w:type="dxa"/>
          </w:tcPr>
          <w:p w14:paraId="6B9982E8" w14:textId="77777777" w:rsidR="42F241BE" w:rsidRDefault="42F241BE" w:rsidP="000A5B68">
            <w:pPr>
              <w:pStyle w:val="Tablebullet"/>
            </w:pPr>
            <w:r>
              <w:t>the salt/ester is a high molecular weight polymer, with low levels of low molecular weight species</w:t>
            </w:r>
          </w:p>
          <w:p w14:paraId="7B3FEBC0" w14:textId="77777777" w:rsidR="42F241BE" w:rsidRDefault="42F241BE" w:rsidP="000A5B68">
            <w:pPr>
              <w:pStyle w:val="Tablebullet"/>
            </w:pPr>
            <w:r>
              <w:t>the molecular weight of the salt/ester is greater than or equal to 1,000 g/mol.</w:t>
            </w:r>
          </w:p>
        </w:tc>
      </w:tr>
      <w:tr w:rsidR="42F241BE" w14:paraId="4956EE29" w14:textId="77777777" w:rsidTr="002A2C2C">
        <w:trPr>
          <w:trHeight w:val="300"/>
        </w:trPr>
        <w:tc>
          <w:tcPr>
            <w:tcW w:w="2268" w:type="dxa"/>
          </w:tcPr>
          <w:p w14:paraId="73B85F83" w14:textId="77777777" w:rsidR="233AD327" w:rsidRDefault="233AD327">
            <w:r>
              <w:t>109-86-4</w:t>
            </w:r>
          </w:p>
        </w:tc>
        <w:tc>
          <w:tcPr>
            <w:tcW w:w="3118" w:type="dxa"/>
          </w:tcPr>
          <w:p w14:paraId="03350B19" w14:textId="13E2881A" w:rsidR="233AD327" w:rsidRDefault="233AD327">
            <w:r>
              <w:t>Ethanol, 2-methoxy</w:t>
            </w:r>
            <w:r w:rsidR="005B231D">
              <w:t>-</w:t>
            </w:r>
          </w:p>
        </w:tc>
        <w:tc>
          <w:tcPr>
            <w:tcW w:w="3685" w:type="dxa"/>
          </w:tcPr>
          <w:p w14:paraId="24F75DC7" w14:textId="77777777" w:rsidR="42F241BE" w:rsidRDefault="42F241BE" w:rsidP="000A5B68">
            <w:pPr>
              <w:pStyle w:val="Tablebullet"/>
            </w:pPr>
            <w:r>
              <w:t>the salt/ester is a high molecular weight polymer, with low levels of low molecular weight species</w:t>
            </w:r>
          </w:p>
          <w:p w14:paraId="57072D05" w14:textId="1AB912B6" w:rsidR="42F241BE" w:rsidRDefault="42F241BE" w:rsidP="00CF7BFC">
            <w:pPr>
              <w:pStyle w:val="Tablebullet"/>
            </w:pPr>
            <w:r>
              <w:t>the molecular weight of the salt/ester is greater than or equal to 1,000 g/mol</w:t>
            </w:r>
            <w:r w:rsidR="005B231D">
              <w:t>.</w:t>
            </w:r>
          </w:p>
        </w:tc>
      </w:tr>
      <w:tr w:rsidR="42F241BE" w14:paraId="12E43163" w14:textId="77777777" w:rsidTr="002A2C2C">
        <w:trPr>
          <w:trHeight w:val="300"/>
        </w:trPr>
        <w:tc>
          <w:tcPr>
            <w:tcW w:w="2268" w:type="dxa"/>
          </w:tcPr>
          <w:p w14:paraId="26FB7077" w14:textId="77777777" w:rsidR="6963E32D" w:rsidRDefault="6963E32D">
            <w:r>
              <w:t>111-77-3</w:t>
            </w:r>
          </w:p>
        </w:tc>
        <w:tc>
          <w:tcPr>
            <w:tcW w:w="3118" w:type="dxa"/>
          </w:tcPr>
          <w:p w14:paraId="17164958" w14:textId="77777777" w:rsidR="6963E32D" w:rsidRDefault="6963E32D">
            <w:r>
              <w:t>Ethanol, 2-(2-methoxyethoxy)-</w:t>
            </w:r>
          </w:p>
        </w:tc>
        <w:tc>
          <w:tcPr>
            <w:tcW w:w="3685" w:type="dxa"/>
          </w:tcPr>
          <w:p w14:paraId="4D086CB7" w14:textId="77777777" w:rsidR="42F241BE" w:rsidRDefault="42F241BE" w:rsidP="000A5B68">
            <w:pPr>
              <w:pStyle w:val="Tablebullet"/>
            </w:pPr>
            <w:r>
              <w:t>the salt/ester is a high molecular weight polymer, with low levels of low molecular weight species</w:t>
            </w:r>
          </w:p>
          <w:p w14:paraId="573F87B7" w14:textId="53224422" w:rsidR="42F241BE" w:rsidRDefault="42F241BE" w:rsidP="002273C9">
            <w:pPr>
              <w:pStyle w:val="Tablebullet"/>
              <w:spacing w:after="240" w:afterAutospacing="0"/>
              <w:ind w:left="317" w:hanging="357"/>
            </w:pPr>
            <w:r>
              <w:t>the molecular weight of the salt/ester is greater than or equal to 1,000 g/m</w:t>
            </w:r>
            <w:r w:rsidR="005B231D">
              <w:t>ol.</w:t>
            </w:r>
          </w:p>
          <w:p w14:paraId="3B464C26" w14:textId="64CA828E" w:rsidR="20DDE1E1" w:rsidRDefault="005B231D" w:rsidP="000A5B68">
            <w:pPr>
              <w:pStyle w:val="Tablebullet"/>
            </w:pPr>
            <w:r>
              <w:lastRenderedPageBreak/>
              <w:t>t</w:t>
            </w:r>
            <w:r w:rsidR="20DDE1E1">
              <w:t>he concentration of the salt/e</w:t>
            </w:r>
            <w:r w:rsidR="00BA600B">
              <w:t>s</w:t>
            </w:r>
            <w:r w:rsidR="20DDE1E1">
              <w:t>ter at introduction and at all end uses is less than 3%</w:t>
            </w:r>
            <w:r w:rsidR="00BA600B">
              <w:t>.</w:t>
            </w:r>
          </w:p>
        </w:tc>
      </w:tr>
      <w:tr w:rsidR="42F241BE" w14:paraId="02C5CE9A" w14:textId="77777777" w:rsidTr="002A2C2C">
        <w:trPr>
          <w:trHeight w:val="300"/>
        </w:trPr>
        <w:tc>
          <w:tcPr>
            <w:tcW w:w="2268" w:type="dxa"/>
          </w:tcPr>
          <w:p w14:paraId="574765CD" w14:textId="77777777" w:rsidR="69AE5C9C" w:rsidRDefault="69AE5C9C">
            <w:r>
              <w:lastRenderedPageBreak/>
              <w:t>97-99-4</w:t>
            </w:r>
          </w:p>
        </w:tc>
        <w:tc>
          <w:tcPr>
            <w:tcW w:w="3118" w:type="dxa"/>
          </w:tcPr>
          <w:p w14:paraId="69194435" w14:textId="0BC9CDC3" w:rsidR="69AE5C9C" w:rsidRDefault="69AE5C9C" w:rsidP="00F61ECB">
            <w:r>
              <w:t>2-Furanmethanol, tetrahydro-</w:t>
            </w:r>
            <w:r w:rsidR="00BA600B">
              <w:t xml:space="preserve"> </w:t>
            </w:r>
            <w:r>
              <w:t>(tetrahydro-2-furylmethanol)</w:t>
            </w:r>
          </w:p>
        </w:tc>
        <w:tc>
          <w:tcPr>
            <w:tcW w:w="3685" w:type="dxa"/>
          </w:tcPr>
          <w:p w14:paraId="095AA430" w14:textId="77777777" w:rsidR="42F241BE" w:rsidRDefault="42F241BE" w:rsidP="000A5B68">
            <w:pPr>
              <w:pStyle w:val="Tablebullet"/>
            </w:pPr>
            <w:r>
              <w:t>the salt/ester is a high molecular weight polymer, with low levels of low molecular weight species</w:t>
            </w:r>
          </w:p>
          <w:p w14:paraId="75596D5F" w14:textId="77777777" w:rsidR="42F241BE" w:rsidRDefault="42F241BE" w:rsidP="000A5B68">
            <w:pPr>
              <w:pStyle w:val="Tablebullet"/>
            </w:pPr>
            <w:r>
              <w:t>the molecular weight of the salt/ester is greater than or equal to 1,000 g/mol.</w:t>
            </w:r>
          </w:p>
        </w:tc>
      </w:tr>
      <w:tr w:rsidR="42F241BE" w14:paraId="55F9C6E5" w14:textId="77777777" w:rsidTr="002A2C2C">
        <w:trPr>
          <w:trHeight w:val="300"/>
        </w:trPr>
        <w:tc>
          <w:tcPr>
            <w:tcW w:w="2268" w:type="dxa"/>
          </w:tcPr>
          <w:p w14:paraId="79938B6F" w14:textId="77777777" w:rsidR="2F40E073" w:rsidRDefault="2F40E073">
            <w:r>
              <w:t>Various</w:t>
            </w:r>
          </w:p>
        </w:tc>
        <w:tc>
          <w:tcPr>
            <w:tcW w:w="3118" w:type="dxa"/>
          </w:tcPr>
          <w:p w14:paraId="7384B3FD" w14:textId="5AF06813" w:rsidR="42F241BE" w:rsidRDefault="2F40E073" w:rsidP="002273C9">
            <w:r>
              <w:t>Boric acid</w:t>
            </w:r>
          </w:p>
        </w:tc>
        <w:tc>
          <w:tcPr>
            <w:tcW w:w="3685" w:type="dxa"/>
          </w:tcPr>
          <w:p w14:paraId="44F9D637" w14:textId="77777777" w:rsidR="42F241BE" w:rsidRDefault="42F241BE" w:rsidP="000A5B68">
            <w:pPr>
              <w:pStyle w:val="Tablebullet"/>
            </w:pPr>
            <w:r>
              <w:t>the salt/ester is a high molecular weight polymer</w:t>
            </w:r>
            <w:r w:rsidR="7A7F2258">
              <w:t>, with low levels of low m</w:t>
            </w:r>
            <w:r>
              <w:t>olecular weight species</w:t>
            </w:r>
          </w:p>
          <w:p w14:paraId="3F9BC5A3" w14:textId="77777777" w:rsidR="42F241BE" w:rsidRDefault="42F241BE" w:rsidP="000A5B68">
            <w:pPr>
              <w:pStyle w:val="Tablebullet"/>
            </w:pPr>
            <w:r>
              <w:t>the molecular weight of the salt/ester is greater than or equal to 1,000 g/mol.</w:t>
            </w:r>
          </w:p>
        </w:tc>
      </w:tr>
      <w:tr w:rsidR="42F241BE" w14:paraId="145D688B" w14:textId="77777777" w:rsidTr="002A2C2C">
        <w:trPr>
          <w:trHeight w:val="300"/>
        </w:trPr>
        <w:tc>
          <w:tcPr>
            <w:tcW w:w="2268" w:type="dxa"/>
          </w:tcPr>
          <w:p w14:paraId="6A50205F" w14:textId="77777777" w:rsidR="377551FE" w:rsidRDefault="377551FE">
            <w:r>
              <w:t>80-09-1</w:t>
            </w:r>
          </w:p>
        </w:tc>
        <w:tc>
          <w:tcPr>
            <w:tcW w:w="3118" w:type="dxa"/>
          </w:tcPr>
          <w:p w14:paraId="1EF6CCE8" w14:textId="77777777" w:rsidR="377551FE" w:rsidRDefault="377551FE">
            <w:r>
              <w:t>Phenol, 4,4'-sulfonylbis- (Bisphenol S)</w:t>
            </w:r>
          </w:p>
        </w:tc>
        <w:tc>
          <w:tcPr>
            <w:tcW w:w="3685" w:type="dxa"/>
          </w:tcPr>
          <w:p w14:paraId="7D1FA570" w14:textId="77777777" w:rsidR="42F241BE" w:rsidRDefault="42F241BE" w:rsidP="000A5B68">
            <w:pPr>
              <w:pStyle w:val="Tablebullet"/>
            </w:pPr>
            <w:r>
              <w:t>the salt/ester is a high molecular weight polymer</w:t>
            </w:r>
            <w:r w:rsidR="10E7DD76">
              <w:t xml:space="preserve">, with low levels of low </w:t>
            </w:r>
            <w:r>
              <w:t>molecular weight species</w:t>
            </w:r>
          </w:p>
          <w:p w14:paraId="421AACA1" w14:textId="77777777" w:rsidR="42F241BE" w:rsidRDefault="42F241BE" w:rsidP="000A5B68">
            <w:pPr>
              <w:pStyle w:val="Tablebullet"/>
            </w:pPr>
            <w:r>
              <w:t>the molecular weight of the salt/ester is greater than or equal to 1,000 g/mol.</w:t>
            </w:r>
          </w:p>
        </w:tc>
      </w:tr>
      <w:tr w:rsidR="42F241BE" w14:paraId="0BD1BA2F" w14:textId="77777777" w:rsidTr="002A2C2C">
        <w:trPr>
          <w:trHeight w:val="300"/>
        </w:trPr>
        <w:tc>
          <w:tcPr>
            <w:tcW w:w="2268" w:type="dxa"/>
          </w:tcPr>
          <w:p w14:paraId="5E805DFB" w14:textId="77777777" w:rsidR="42F241BE" w:rsidRDefault="42F241BE">
            <w:r>
              <w:t>Various</w:t>
            </w:r>
          </w:p>
        </w:tc>
        <w:tc>
          <w:tcPr>
            <w:tcW w:w="3118" w:type="dxa"/>
          </w:tcPr>
          <w:p w14:paraId="58D485EE" w14:textId="7ED4CC80" w:rsidR="42F241BE" w:rsidRDefault="39F66622" w:rsidP="002273C9">
            <w:r>
              <w:t>Nonylphenols on the list of chemicals with high hazards for categorisation – includes linear and branched isomers</w:t>
            </w:r>
          </w:p>
        </w:tc>
        <w:tc>
          <w:tcPr>
            <w:tcW w:w="3685" w:type="dxa"/>
          </w:tcPr>
          <w:p w14:paraId="6C22E961" w14:textId="77777777" w:rsidR="42F241BE" w:rsidRDefault="42F241BE" w:rsidP="000A5B68">
            <w:pPr>
              <w:pStyle w:val="Tablebullet"/>
            </w:pPr>
            <w:r>
              <w:t>the salt/ester is a high molecular weight polymer that is not an ethoxylate polymer and has low levels of low molecular weight species</w:t>
            </w:r>
          </w:p>
          <w:p w14:paraId="126019FD" w14:textId="77777777" w:rsidR="42F241BE" w:rsidRDefault="42F241BE" w:rsidP="000A5B68">
            <w:pPr>
              <w:pStyle w:val="Tablebullet"/>
            </w:pPr>
            <w:r>
              <w:t>the molecular weight of the salt/ester is greater than or equal to 1,000 g/mol.</w:t>
            </w:r>
          </w:p>
        </w:tc>
      </w:tr>
      <w:tr w:rsidR="008118F3" w14:paraId="064E609D" w14:textId="77777777" w:rsidTr="002A2C2C">
        <w:trPr>
          <w:trHeight w:val="300"/>
        </w:trPr>
        <w:tc>
          <w:tcPr>
            <w:tcW w:w="2268" w:type="dxa"/>
          </w:tcPr>
          <w:p w14:paraId="1DC0508C" w14:textId="269C512C" w:rsidR="008118F3" w:rsidRDefault="008118F3">
            <w:r w:rsidRPr="008118F3">
              <w:t>94-97-3</w:t>
            </w:r>
          </w:p>
        </w:tc>
        <w:tc>
          <w:tcPr>
            <w:tcW w:w="3118" w:type="dxa"/>
          </w:tcPr>
          <w:p w14:paraId="75DEC108" w14:textId="0C9087F2" w:rsidR="008118F3" w:rsidRDefault="008118F3" w:rsidP="002273C9">
            <w:r w:rsidRPr="008118F3">
              <w:t>1H-Benzotriazole, 6-chloro-</w:t>
            </w:r>
          </w:p>
        </w:tc>
        <w:tc>
          <w:tcPr>
            <w:tcW w:w="3685" w:type="dxa"/>
          </w:tcPr>
          <w:p w14:paraId="2B81AA5E" w14:textId="77777777" w:rsidR="008118F3" w:rsidRDefault="008118F3" w:rsidP="008118F3">
            <w:pPr>
              <w:pStyle w:val="Tablebullet"/>
            </w:pPr>
            <w:r w:rsidRPr="008118F3">
              <w:t>The salt is a high molecular weight polymer, with low levels of low molecular weight species</w:t>
            </w:r>
          </w:p>
          <w:p w14:paraId="7DA03641" w14:textId="3BA32C7D" w:rsidR="008118F3" w:rsidRDefault="008118F3" w:rsidP="008118F3">
            <w:pPr>
              <w:pStyle w:val="Tablebullet"/>
            </w:pPr>
            <w:r w:rsidRPr="008118F3">
              <w:t>The molecular weight of the salt is greater than or equal to 1,000 g/mol</w:t>
            </w:r>
            <w:r w:rsidR="00AA0826">
              <w:t>.</w:t>
            </w:r>
          </w:p>
        </w:tc>
      </w:tr>
      <w:tr w:rsidR="00431D5B" w14:paraId="6C09486C" w14:textId="77777777" w:rsidTr="002A2C2C">
        <w:trPr>
          <w:trHeight w:val="300"/>
        </w:trPr>
        <w:tc>
          <w:tcPr>
            <w:tcW w:w="2268" w:type="dxa"/>
          </w:tcPr>
          <w:p w14:paraId="60ABBC22" w14:textId="793593A4" w:rsidR="00431D5B" w:rsidRPr="008118F3" w:rsidRDefault="00431D5B">
            <w:r w:rsidRPr="00431D5B">
              <w:t>95-14-7</w:t>
            </w:r>
          </w:p>
        </w:tc>
        <w:tc>
          <w:tcPr>
            <w:tcW w:w="3118" w:type="dxa"/>
          </w:tcPr>
          <w:p w14:paraId="375D5DA9" w14:textId="1B0F0F34" w:rsidR="00431D5B" w:rsidRPr="008118F3" w:rsidRDefault="00431D5B" w:rsidP="002273C9">
            <w:r w:rsidRPr="00431D5B">
              <w:t>1H-Benzotriazole</w:t>
            </w:r>
          </w:p>
        </w:tc>
        <w:tc>
          <w:tcPr>
            <w:tcW w:w="3685" w:type="dxa"/>
          </w:tcPr>
          <w:p w14:paraId="05910AE5" w14:textId="77777777" w:rsidR="00431D5B" w:rsidRDefault="00431D5B" w:rsidP="00431D5B">
            <w:pPr>
              <w:pStyle w:val="Tablebullet"/>
            </w:pPr>
            <w:r w:rsidRPr="008118F3">
              <w:t>The salt is a high molecular weight polymer, with low levels of low molecular weight species</w:t>
            </w:r>
          </w:p>
          <w:p w14:paraId="13DEF929" w14:textId="6790EC5D" w:rsidR="00431D5B" w:rsidRPr="008118F3" w:rsidRDefault="00431D5B" w:rsidP="00431D5B">
            <w:pPr>
              <w:pStyle w:val="Tablebullet"/>
            </w:pPr>
            <w:r w:rsidRPr="008118F3">
              <w:t>The molecular weight of the salt is greater than or equal to 1,000 g/mol</w:t>
            </w:r>
            <w:r w:rsidR="00AA0826">
              <w:t>.</w:t>
            </w:r>
          </w:p>
        </w:tc>
      </w:tr>
      <w:tr w:rsidR="00431D5B" w14:paraId="28F8DDE1" w14:textId="77777777" w:rsidTr="002A2C2C">
        <w:trPr>
          <w:trHeight w:val="300"/>
        </w:trPr>
        <w:tc>
          <w:tcPr>
            <w:tcW w:w="2268" w:type="dxa"/>
          </w:tcPr>
          <w:p w14:paraId="2AACB9E2" w14:textId="68ED7A56" w:rsidR="00431D5B" w:rsidRPr="008118F3" w:rsidRDefault="00AA0826">
            <w:r w:rsidRPr="00AA0826">
              <w:t>136-85-6</w:t>
            </w:r>
          </w:p>
        </w:tc>
        <w:tc>
          <w:tcPr>
            <w:tcW w:w="3118" w:type="dxa"/>
          </w:tcPr>
          <w:p w14:paraId="3F63E84C" w14:textId="22449F9A" w:rsidR="00431D5B" w:rsidRPr="008118F3" w:rsidRDefault="00AA0826" w:rsidP="002273C9">
            <w:r w:rsidRPr="00AA0826">
              <w:t>1H-Benzotriazole, 6-methyl-</w:t>
            </w:r>
          </w:p>
        </w:tc>
        <w:tc>
          <w:tcPr>
            <w:tcW w:w="3685" w:type="dxa"/>
          </w:tcPr>
          <w:p w14:paraId="2E37F7BA" w14:textId="77777777" w:rsidR="00431D5B" w:rsidRDefault="00431D5B" w:rsidP="00431D5B">
            <w:pPr>
              <w:pStyle w:val="Tablebullet"/>
            </w:pPr>
            <w:r w:rsidRPr="008118F3">
              <w:t>The salt is a high molecular weight polymer, with low levels of low molecular weight species</w:t>
            </w:r>
          </w:p>
          <w:p w14:paraId="76D3733D" w14:textId="197A5091" w:rsidR="00431D5B" w:rsidRPr="008118F3" w:rsidRDefault="00431D5B" w:rsidP="00431D5B">
            <w:pPr>
              <w:pStyle w:val="Tablebullet"/>
            </w:pPr>
            <w:r w:rsidRPr="008118F3">
              <w:lastRenderedPageBreak/>
              <w:t>The molecular weight of the salt is greater than or equal to 1,000 g/mol</w:t>
            </w:r>
            <w:r w:rsidR="00AA0826">
              <w:t>.</w:t>
            </w:r>
          </w:p>
        </w:tc>
      </w:tr>
      <w:tr w:rsidR="00431D5B" w14:paraId="1AC5B5C6" w14:textId="77777777" w:rsidTr="002A2C2C">
        <w:trPr>
          <w:trHeight w:val="300"/>
        </w:trPr>
        <w:tc>
          <w:tcPr>
            <w:tcW w:w="2268" w:type="dxa"/>
          </w:tcPr>
          <w:p w14:paraId="70654B18" w14:textId="33CAC4EB" w:rsidR="00431D5B" w:rsidRPr="008118F3" w:rsidRDefault="00AA0826">
            <w:r w:rsidRPr="00AA0826">
              <w:lastRenderedPageBreak/>
              <w:t>29385-43-1</w:t>
            </w:r>
          </w:p>
        </w:tc>
        <w:tc>
          <w:tcPr>
            <w:tcW w:w="3118" w:type="dxa"/>
          </w:tcPr>
          <w:p w14:paraId="78FED778" w14:textId="2BB53DA7" w:rsidR="00431D5B" w:rsidRPr="008118F3" w:rsidRDefault="00AA0826" w:rsidP="002273C9">
            <w:r w:rsidRPr="00AA0826">
              <w:t>1H-Benzotriazole, 6(or 7)-methyl-</w:t>
            </w:r>
          </w:p>
        </w:tc>
        <w:tc>
          <w:tcPr>
            <w:tcW w:w="3685" w:type="dxa"/>
          </w:tcPr>
          <w:p w14:paraId="2536C9ED" w14:textId="77777777" w:rsidR="00431D5B" w:rsidRDefault="00431D5B" w:rsidP="00431D5B">
            <w:pPr>
              <w:pStyle w:val="Tablebullet"/>
            </w:pPr>
            <w:r w:rsidRPr="008118F3">
              <w:t>The salt is a high molecular weight polymer, with low levels of low molecular weight species</w:t>
            </w:r>
          </w:p>
          <w:p w14:paraId="639D0B41" w14:textId="279BE70E" w:rsidR="00431D5B" w:rsidRPr="008118F3" w:rsidRDefault="00431D5B" w:rsidP="00431D5B">
            <w:pPr>
              <w:pStyle w:val="Tablebullet"/>
            </w:pPr>
            <w:r w:rsidRPr="008118F3">
              <w:t>The molecular weight of the salt is greater than or equal to 1,000 g/mol</w:t>
            </w:r>
            <w:r w:rsidR="00AA0826">
              <w:t>.</w:t>
            </w:r>
          </w:p>
        </w:tc>
      </w:tr>
      <w:tr w:rsidR="00431D5B" w14:paraId="0EDC4A81" w14:textId="77777777" w:rsidTr="002A2C2C">
        <w:trPr>
          <w:trHeight w:val="300"/>
        </w:trPr>
        <w:tc>
          <w:tcPr>
            <w:tcW w:w="2268" w:type="dxa"/>
          </w:tcPr>
          <w:p w14:paraId="7E5623CE" w14:textId="0509F6F5" w:rsidR="00431D5B" w:rsidRPr="008118F3" w:rsidRDefault="00AA0826">
            <w:r w:rsidRPr="00AA0826">
              <w:t>29878-31-7</w:t>
            </w:r>
          </w:p>
        </w:tc>
        <w:tc>
          <w:tcPr>
            <w:tcW w:w="3118" w:type="dxa"/>
          </w:tcPr>
          <w:p w14:paraId="49A88016" w14:textId="16CDB4F3" w:rsidR="00431D5B" w:rsidRPr="008118F3" w:rsidRDefault="00AA0826" w:rsidP="002273C9">
            <w:r w:rsidRPr="00AA0826">
              <w:t>1H-Benzotriazole, 7-methyl-</w:t>
            </w:r>
          </w:p>
        </w:tc>
        <w:tc>
          <w:tcPr>
            <w:tcW w:w="3685" w:type="dxa"/>
          </w:tcPr>
          <w:p w14:paraId="370158EC" w14:textId="77777777" w:rsidR="00431D5B" w:rsidRDefault="00431D5B" w:rsidP="00431D5B">
            <w:pPr>
              <w:pStyle w:val="Tablebullet"/>
            </w:pPr>
            <w:r w:rsidRPr="008118F3">
              <w:t>The salt is a high molecular weight polymer, with low levels of low molecular weight species</w:t>
            </w:r>
          </w:p>
          <w:p w14:paraId="60469558" w14:textId="1C3AC774" w:rsidR="00431D5B" w:rsidRPr="008118F3" w:rsidRDefault="00431D5B" w:rsidP="00431D5B">
            <w:pPr>
              <w:pStyle w:val="Tablebullet"/>
            </w:pPr>
            <w:r w:rsidRPr="008118F3">
              <w:t>The molecular weight of the salt is greater than or equal to 1,000 g/mol</w:t>
            </w:r>
            <w:r w:rsidR="00AA0826">
              <w:t>.</w:t>
            </w:r>
          </w:p>
        </w:tc>
      </w:tr>
    </w:tbl>
    <w:p w14:paraId="07E04431" w14:textId="77777777" w:rsidR="00A56C8A" w:rsidRPr="00163080" w:rsidRDefault="133BB9E8" w:rsidP="42F241BE">
      <w:pPr>
        <w:pStyle w:val="Heading2"/>
      </w:pPr>
      <w:bookmarkStart w:id="21" w:name="_Toc238816813"/>
      <w:r>
        <w:t xml:space="preserve">6.6 </w:t>
      </w:r>
      <w:r w:rsidR="00A41D05">
        <w:tab/>
      </w:r>
      <w:r>
        <w:t>Adverse effects mediated by an endocrine mode of action – Human health hazard band C</w:t>
      </w:r>
      <w:bookmarkEnd w:id="21"/>
    </w:p>
    <w:p w14:paraId="41A4B83C" w14:textId="77777777" w:rsidR="00A56C8A" w:rsidRPr="00163080" w:rsidRDefault="133BB9E8" w:rsidP="42F241BE">
      <w:pPr>
        <w:pStyle w:val="Heading3"/>
        <w:rPr>
          <w:rStyle w:val="Bulletlist2Char"/>
        </w:rPr>
      </w:pPr>
      <w:r>
        <w:t xml:space="preserve">6.6.1 </w:t>
      </w:r>
      <w:r w:rsidR="00A41D05">
        <w:tab/>
      </w:r>
      <w:r>
        <w:t>Clause 2 of Part 1, Schedule 1 to the IC General Rules</w:t>
      </w:r>
    </w:p>
    <w:p w14:paraId="673CA49F" w14:textId="77777777" w:rsidR="00A56C8A" w:rsidRPr="00163080" w:rsidRDefault="133BB9E8" w:rsidP="00A56C8A">
      <w:r w:rsidRPr="42F241BE">
        <w:rPr>
          <w:rStyle w:val="Bulletlist2Char"/>
        </w:rPr>
        <w:t>For the purposes of table item 4 of Clause 2, Part 1, Schedule 1 to the IC General Rules:</w:t>
      </w:r>
    </w:p>
    <w:p w14:paraId="1C8444E6" w14:textId="77777777" w:rsidR="73376394" w:rsidRDefault="73376394" w:rsidP="42F241BE">
      <w:pPr>
        <w:rPr>
          <w:rStyle w:val="Bulletlist2Char"/>
        </w:rPr>
      </w:pPr>
      <w:r w:rsidRPr="42F241BE">
        <w:rPr>
          <w:b/>
          <w:bCs/>
        </w:rPr>
        <w:t>Adverse effects mediated by an endocrine mode of action</w:t>
      </w:r>
      <w:r>
        <w:t xml:space="preserve"> means that any of the following apply to the industrial chemical:</w:t>
      </w:r>
    </w:p>
    <w:p w14:paraId="1953FCEE" w14:textId="77777777" w:rsidR="00D0422D" w:rsidRDefault="00D0422D" w:rsidP="000A5B68">
      <w:pPr>
        <w:pStyle w:val="Bulletlist"/>
      </w:pPr>
      <w:r>
        <w:t xml:space="preserve">the chemical meets </w:t>
      </w:r>
      <w:proofErr w:type="gramStart"/>
      <w:r>
        <w:t>all of</w:t>
      </w:r>
      <w:proofErr w:type="gramEnd"/>
      <w:r>
        <w:t xml:space="preserve"> the following:</w:t>
      </w:r>
    </w:p>
    <w:p w14:paraId="461AF3FA" w14:textId="77777777" w:rsidR="00D0422D" w:rsidRDefault="00D0422D" w:rsidP="00C144B1">
      <w:pPr>
        <w:pStyle w:val="Bulletlist2"/>
      </w:pPr>
      <w:r>
        <w:t>it shows an adverse effect in an intact organism or its progeny, which is a change in the morphology, physiology, growth, development, reproduction or lifespan of an organism, system or (sub)population that results in an impairment of functional capacity, an impairment of the capacity to compensate for additional stress or an increase in the susceptibility to other influences, and</w:t>
      </w:r>
    </w:p>
    <w:p w14:paraId="130E9C88" w14:textId="77777777" w:rsidR="00D0422D" w:rsidRDefault="00D0422D" w:rsidP="00C144B1">
      <w:pPr>
        <w:pStyle w:val="Bulletlist2"/>
      </w:pPr>
      <w:r>
        <w:t>it has an endocrine activity, which is the capacity to alter the function(s) of the endocrine system, and</w:t>
      </w:r>
    </w:p>
    <w:p w14:paraId="3297D7A9" w14:textId="77777777" w:rsidR="00D0422D" w:rsidRDefault="00D0422D" w:rsidP="00C144B1">
      <w:pPr>
        <w:pStyle w:val="Bulletlist2"/>
      </w:pPr>
      <w:r>
        <w:t>the adverse effect is a consequence of the endocrine activity</w:t>
      </w:r>
    </w:p>
    <w:p w14:paraId="06394876" w14:textId="77777777" w:rsidR="00D0422D" w:rsidRDefault="00D0422D" w:rsidP="00D0422D">
      <w:r>
        <w:t>or</w:t>
      </w:r>
    </w:p>
    <w:p w14:paraId="5E9D9714" w14:textId="77777777" w:rsidR="00D0422D" w:rsidRDefault="00D0422D" w:rsidP="000A5B68">
      <w:pPr>
        <w:pStyle w:val="Bulletlist"/>
      </w:pPr>
      <w:r>
        <w:t xml:space="preserve">the chemical is on the </w:t>
      </w:r>
      <w:r w:rsidRPr="001661C6">
        <w:rPr>
          <w:b/>
          <w:bCs/>
        </w:rPr>
        <w:t>list of chemicals with high hazards for categorisation</w:t>
      </w:r>
      <w:r>
        <w:t>,</w:t>
      </w:r>
      <w:r w:rsidR="006C272A">
        <w:t xml:space="preserve"> </w:t>
      </w:r>
      <w:r>
        <w:t xml:space="preserve">based on its adverse effects mediated by an endocrine mode of action, </w:t>
      </w:r>
    </w:p>
    <w:p w14:paraId="5EB9CDA7" w14:textId="77777777" w:rsidR="00D0422D" w:rsidRDefault="00D0422D" w:rsidP="00D0422D">
      <w:r>
        <w:t>or</w:t>
      </w:r>
    </w:p>
    <w:p w14:paraId="19137562" w14:textId="77777777" w:rsidR="00D0422D" w:rsidRDefault="00D0422D" w:rsidP="000A5B68">
      <w:pPr>
        <w:pStyle w:val="Bulletlist"/>
      </w:pPr>
      <w:r>
        <w:t>the chemical is an ester or salt of specified chemicals in Part 6.6.2 of these Guidelines, which are on the list of chemicals with high hazards for categorisation based on adverse effects mediated by an endocrine mode of action unless an exception, as identified in Part 6.6.2, is met for that chemical, or</w:t>
      </w:r>
    </w:p>
    <w:p w14:paraId="1A8AF1CB" w14:textId="77777777" w:rsidR="00D0422D" w:rsidRDefault="00D0422D" w:rsidP="000A5B68">
      <w:pPr>
        <w:pStyle w:val="Bulletlist"/>
      </w:pPr>
      <w:r>
        <w:t xml:space="preserve">the chemical meets </w:t>
      </w:r>
      <w:proofErr w:type="gramStart"/>
      <w:r>
        <w:t>all of</w:t>
      </w:r>
      <w:proofErr w:type="gramEnd"/>
      <w:r>
        <w:t xml:space="preserve"> the following:</w:t>
      </w:r>
    </w:p>
    <w:p w14:paraId="5F6AAD45" w14:textId="77777777" w:rsidR="00D0422D" w:rsidRDefault="00D0422D" w:rsidP="00C144B1">
      <w:pPr>
        <w:pStyle w:val="Bulletlist2"/>
      </w:pPr>
      <w:r>
        <w:lastRenderedPageBreak/>
        <w:t xml:space="preserve">information is available that is relevant to determining whether the chemical has the hazard characteristic, </w:t>
      </w:r>
      <w:r w:rsidRPr="00465CA6">
        <w:rPr>
          <w:b/>
          <w:bCs/>
        </w:rPr>
        <w:t>adverse effects mediated by an endocrine mode of action</w:t>
      </w:r>
      <w:r>
        <w:t xml:space="preserve">, and </w:t>
      </w:r>
    </w:p>
    <w:p w14:paraId="1A861692" w14:textId="77777777" w:rsidR="5E1450C1" w:rsidRDefault="00D0422D" w:rsidP="00C144B1">
      <w:pPr>
        <w:pStyle w:val="Bulletlist2"/>
      </w:pPr>
      <w:r>
        <w:t>the information has been considered in a weight of evidence analysis based on the following guidance documents</w:t>
      </w:r>
      <w:r w:rsidR="009F3D4B">
        <w:t>:</w:t>
      </w:r>
    </w:p>
    <w:p w14:paraId="251CA519" w14:textId="77777777" w:rsidR="00596D4C" w:rsidRPr="00D609A9" w:rsidRDefault="00596D4C" w:rsidP="00103519">
      <w:pPr>
        <w:pStyle w:val="Bulletlist3"/>
      </w:pPr>
      <w:r w:rsidRPr="00D609A9">
        <w:t>the EU guidance for identifying endocrine disruptors</w:t>
      </w:r>
      <w:r w:rsidR="0016690D" w:rsidRPr="00D609A9">
        <w:rPr>
          <w:rStyle w:val="FootnoteReference"/>
        </w:rPr>
        <w:footnoteReference w:id="5"/>
      </w:r>
      <w:r w:rsidRPr="00D609A9">
        <w:t>, and</w:t>
      </w:r>
    </w:p>
    <w:p w14:paraId="56F6838D" w14:textId="77777777" w:rsidR="00596D4C" w:rsidRPr="00D609A9" w:rsidRDefault="00596D4C" w:rsidP="00103519">
      <w:pPr>
        <w:pStyle w:val="Bulletlist3"/>
      </w:pPr>
      <w:r w:rsidRPr="00D609A9">
        <w:t>the guidance provided in OECD GD 150</w:t>
      </w:r>
      <w:r w:rsidR="00C652A6" w:rsidRPr="00502E4D">
        <w:rPr>
          <w:rStyle w:val="FootnoteReference"/>
        </w:rPr>
        <w:footnoteReference w:id="6"/>
      </w:r>
      <w:r w:rsidRPr="00D609A9">
        <w:t>; and</w:t>
      </w:r>
    </w:p>
    <w:p w14:paraId="4A219F66" w14:textId="77777777" w:rsidR="00596D4C" w:rsidRDefault="00596D4C" w:rsidP="00C144B1">
      <w:pPr>
        <w:pStyle w:val="Bulletlist2"/>
      </w:pPr>
      <w:r>
        <w:t>the weight of evidence analysis concludes that the chemical has the hazard characteristic, adverse effects mediated by an endocrine mode of actio</w:t>
      </w:r>
      <w:r w:rsidR="00502E4D">
        <w:t>n.</w:t>
      </w:r>
    </w:p>
    <w:p w14:paraId="06ECEA78" w14:textId="77777777" w:rsidR="00E02C9D" w:rsidRDefault="00E02C9D" w:rsidP="00227DFE">
      <w:pPr>
        <w:pStyle w:val="Heading3"/>
      </w:pPr>
      <w:r>
        <w:t xml:space="preserve">6.6.2 </w:t>
      </w:r>
      <w:r w:rsidR="00A41D05">
        <w:tab/>
      </w:r>
      <w:r>
        <w:t xml:space="preserve">Section 30 of the IC General Rules </w:t>
      </w:r>
      <w:r w:rsidR="005B7E03">
        <w:t>–</w:t>
      </w:r>
      <w:r>
        <w:t xml:space="preserve"> Information required to demonstrate the absence of hazard characteristics </w:t>
      </w:r>
    </w:p>
    <w:p w14:paraId="49EBABF9" w14:textId="77777777" w:rsidR="00E02C9D" w:rsidRDefault="00E02C9D" w:rsidP="00E02C9D">
      <w:r>
        <w:t>For the purposes of paragraph 30(2)(b) and subparagraph 30(2)(c)(iv) of the IC General Rules:</w:t>
      </w:r>
    </w:p>
    <w:p w14:paraId="71315A01" w14:textId="77777777" w:rsidR="00E02C9D" w:rsidRDefault="00E02C9D" w:rsidP="000A5B68">
      <w:pPr>
        <w:pStyle w:val="Bulletlist"/>
      </w:pPr>
      <w:r>
        <w:t xml:space="preserve">if the chemical has existing information relevant to determining whether it has the hazard characteristic, </w:t>
      </w:r>
      <w:r w:rsidRPr="00BB18D7">
        <w:rPr>
          <w:b/>
          <w:bCs/>
        </w:rPr>
        <w:t>adverse effects mediated by an endocrine mode of action</w:t>
      </w:r>
      <w:r>
        <w:t>, information is required to demonstrate that the chemical does not have this hazard characteristic:</w:t>
      </w:r>
    </w:p>
    <w:p w14:paraId="0D56BD72" w14:textId="77777777" w:rsidR="00E02C9D" w:rsidRDefault="00E02C9D" w:rsidP="00C144B1">
      <w:pPr>
        <w:pStyle w:val="Bulletlist2"/>
      </w:pPr>
      <w:r>
        <w:t>This must involve a documented weight of evidence analysis based on the EU guidance for identifying endocrine disruptors</w:t>
      </w:r>
      <w:r w:rsidRPr="007D5BBA">
        <w:rPr>
          <w:vertAlign w:val="superscript"/>
        </w:rPr>
        <w:t>4</w:t>
      </w:r>
      <w:r w:rsidR="00FD3CDC">
        <w:t xml:space="preserve"> </w:t>
      </w:r>
      <w:r>
        <w:t>and the guidance in OECD GD 150</w:t>
      </w:r>
      <w:r w:rsidRPr="00D3407F">
        <w:rPr>
          <w:vertAlign w:val="superscript"/>
        </w:rPr>
        <w:t>5</w:t>
      </w:r>
      <w:r w:rsidR="00FD3CDC">
        <w:t>,</w:t>
      </w:r>
      <w:r>
        <w:t xml:space="preserve"> and</w:t>
      </w:r>
    </w:p>
    <w:p w14:paraId="53AE733D" w14:textId="77777777" w:rsidR="00E02C9D" w:rsidRDefault="00E02C9D" w:rsidP="00C144B1">
      <w:pPr>
        <w:pStyle w:val="Bulletlist2"/>
      </w:pPr>
      <w:r>
        <w:t>The analysis must conclude that the chemical does not have the hazard characteristic, adverse effects mediated by an endocrine mode of action.</w:t>
      </w:r>
    </w:p>
    <w:p w14:paraId="6687C72C" w14:textId="77777777" w:rsidR="5E1450C1" w:rsidRDefault="00E02C9D" w:rsidP="000A5B68">
      <w:pPr>
        <w:pStyle w:val="Bulletlist"/>
      </w:pPr>
      <w:r>
        <w:t xml:space="preserve">Otherwise, the information required to demonstrate that a chemical does not have the hazard characteristic, adverse effects mediated by an endocrine mode of action, is confirmation that the chemical is not on the </w:t>
      </w:r>
      <w:r w:rsidRPr="00A6094C">
        <w:rPr>
          <w:b/>
          <w:bCs/>
        </w:rPr>
        <w:t>list of chemicals with high hazards for</w:t>
      </w:r>
      <w:r>
        <w:t xml:space="preserve"> </w:t>
      </w:r>
      <w:r w:rsidRPr="00A6094C">
        <w:rPr>
          <w:b/>
          <w:bCs/>
        </w:rPr>
        <w:t>categorisation</w:t>
      </w:r>
      <w:r>
        <w:t xml:space="preserve">, based on its adverse effects mediated by an endocrine mode of </w:t>
      </w:r>
      <w:r w:rsidR="00A6094C">
        <w:t>a</w:t>
      </w:r>
      <w:r>
        <w:t>ction, and confirmation that the chemical is not an ester or salt of the specified chemicals shown in the below table, which are on the list of chemicals with high hazards for categorisation, based on adverse effects mediated by an endocrine mode of action:</w:t>
      </w:r>
    </w:p>
    <w:tbl>
      <w:tblPr>
        <w:tblStyle w:val="AICISTableBasic"/>
        <w:tblW w:w="9071" w:type="dxa"/>
        <w:tblLayout w:type="fixed"/>
        <w:tblLook w:val="06A0" w:firstRow="1" w:lastRow="0" w:firstColumn="1" w:lastColumn="0" w:noHBand="1" w:noVBand="1"/>
      </w:tblPr>
      <w:tblGrid>
        <w:gridCol w:w="2268"/>
        <w:gridCol w:w="3118"/>
        <w:gridCol w:w="3685"/>
      </w:tblGrid>
      <w:tr w:rsidR="00C23C79" w:rsidRPr="000D46A0" w14:paraId="55A7A064" w14:textId="77777777" w:rsidTr="000D46A0">
        <w:trPr>
          <w:trHeight w:val="1191"/>
        </w:trPr>
        <w:tc>
          <w:tcPr>
            <w:tcW w:w="2268" w:type="dxa"/>
          </w:tcPr>
          <w:p w14:paraId="01F0BEED" w14:textId="77777777" w:rsidR="00762E4F" w:rsidRPr="000D46A0" w:rsidRDefault="00762E4F">
            <w:pPr>
              <w:rPr>
                <w:b/>
                <w:bCs/>
              </w:rPr>
            </w:pPr>
            <w:r w:rsidRPr="000D46A0">
              <w:rPr>
                <w:b/>
                <w:bCs/>
              </w:rPr>
              <w:t>CAS number</w:t>
            </w:r>
          </w:p>
        </w:tc>
        <w:tc>
          <w:tcPr>
            <w:tcW w:w="3118" w:type="dxa"/>
          </w:tcPr>
          <w:p w14:paraId="0BD938B5" w14:textId="77777777" w:rsidR="00762E4F" w:rsidRPr="000D46A0" w:rsidRDefault="00762E4F">
            <w:pPr>
              <w:rPr>
                <w:b/>
                <w:bCs/>
              </w:rPr>
            </w:pPr>
            <w:r w:rsidRPr="000D46A0">
              <w:rPr>
                <w:b/>
                <w:bCs/>
              </w:rPr>
              <w:t>Chemical name</w:t>
            </w:r>
          </w:p>
        </w:tc>
        <w:tc>
          <w:tcPr>
            <w:tcW w:w="3685" w:type="dxa"/>
          </w:tcPr>
          <w:p w14:paraId="27612A7C" w14:textId="77777777" w:rsidR="00762E4F" w:rsidRPr="000D46A0" w:rsidRDefault="004A3D92" w:rsidP="004A3D92">
            <w:pPr>
              <w:tabs>
                <w:tab w:val="left" w:pos="864"/>
              </w:tabs>
              <w:rPr>
                <w:b/>
                <w:bCs/>
              </w:rPr>
            </w:pPr>
            <w:r w:rsidRPr="000D46A0">
              <w:rPr>
                <w:b/>
                <w:bCs/>
              </w:rPr>
              <w:t>An ester or salt of the chemical has the adverse effects mediated by an endocrine mode of action hazard characteristic, unless one or more of the below exception criteria apply</w:t>
            </w:r>
          </w:p>
        </w:tc>
      </w:tr>
      <w:tr w:rsidR="00C23C79" w14:paraId="6E5A4644" w14:textId="77777777" w:rsidTr="000D46A0">
        <w:trPr>
          <w:trHeight w:val="300"/>
        </w:trPr>
        <w:tc>
          <w:tcPr>
            <w:tcW w:w="2268" w:type="dxa"/>
          </w:tcPr>
          <w:p w14:paraId="1AC1069E" w14:textId="77777777" w:rsidR="00762E4F" w:rsidRDefault="00062C35">
            <w:r w:rsidRPr="00062C35">
              <w:t>80-05-7</w:t>
            </w:r>
          </w:p>
        </w:tc>
        <w:tc>
          <w:tcPr>
            <w:tcW w:w="3118" w:type="dxa"/>
          </w:tcPr>
          <w:p w14:paraId="7A2794F1" w14:textId="05A94002" w:rsidR="00762E4F" w:rsidRDefault="009124AC" w:rsidP="009124AC">
            <w:r>
              <w:t>Phenol, 4,4'-(1-</w:t>
            </w:r>
            <w:proofErr w:type="gramStart"/>
            <w:r>
              <w:t>methylethylidene)bis</w:t>
            </w:r>
            <w:proofErr w:type="gramEnd"/>
            <w:r>
              <w:t>-</w:t>
            </w:r>
            <w:r w:rsidR="00BA600B">
              <w:t xml:space="preserve"> </w:t>
            </w:r>
            <w:r>
              <w:t>(Bisphenol A)</w:t>
            </w:r>
          </w:p>
        </w:tc>
        <w:tc>
          <w:tcPr>
            <w:tcW w:w="3685" w:type="dxa"/>
          </w:tcPr>
          <w:p w14:paraId="5B89CE92" w14:textId="77777777" w:rsidR="00762E4F" w:rsidRDefault="00762E4F" w:rsidP="000A5B68">
            <w:pPr>
              <w:pStyle w:val="Tablebullet"/>
            </w:pPr>
            <w:r>
              <w:t>the salt</w:t>
            </w:r>
            <w:r w:rsidR="004A3D92">
              <w:t>/ester</w:t>
            </w:r>
            <w:r>
              <w:t xml:space="preserve"> is a high molecular weight polymer, with low levels of low molecular weight species</w:t>
            </w:r>
          </w:p>
          <w:p w14:paraId="50C69BF7" w14:textId="24C86F43" w:rsidR="00762E4F" w:rsidRDefault="00762E4F" w:rsidP="000A5B68">
            <w:pPr>
              <w:pStyle w:val="Tablebullet"/>
            </w:pPr>
            <w:r>
              <w:t>the molecular weight of the salt</w:t>
            </w:r>
            <w:r w:rsidR="00062C35">
              <w:t>/ester</w:t>
            </w:r>
            <w:r>
              <w:t xml:space="preserve"> is greater than or equal to 1,000 g/mol</w:t>
            </w:r>
            <w:r w:rsidR="00BA600B">
              <w:t>.</w:t>
            </w:r>
          </w:p>
        </w:tc>
      </w:tr>
      <w:tr w:rsidR="00C23C79" w14:paraId="211E655C" w14:textId="77777777" w:rsidTr="000D46A0">
        <w:trPr>
          <w:trHeight w:val="300"/>
        </w:trPr>
        <w:tc>
          <w:tcPr>
            <w:tcW w:w="2268" w:type="dxa"/>
          </w:tcPr>
          <w:p w14:paraId="1846A25B" w14:textId="77777777" w:rsidR="00762E4F" w:rsidRDefault="009124AC">
            <w:r>
              <w:lastRenderedPageBreak/>
              <w:t>8</w:t>
            </w:r>
            <w:r w:rsidRPr="009124AC">
              <w:t>0-09-1</w:t>
            </w:r>
          </w:p>
        </w:tc>
        <w:tc>
          <w:tcPr>
            <w:tcW w:w="3118" w:type="dxa"/>
          </w:tcPr>
          <w:p w14:paraId="68CF3614" w14:textId="77777777" w:rsidR="00762E4F" w:rsidRDefault="0016496D" w:rsidP="0016496D">
            <w:r>
              <w:t>Phenol, 4,4'-sulfonylbis- (Bisphenol S)</w:t>
            </w:r>
          </w:p>
        </w:tc>
        <w:tc>
          <w:tcPr>
            <w:tcW w:w="3685" w:type="dxa"/>
          </w:tcPr>
          <w:p w14:paraId="705A7FDE" w14:textId="77777777" w:rsidR="00762E4F" w:rsidRDefault="00762E4F" w:rsidP="000A5B68">
            <w:pPr>
              <w:pStyle w:val="Tablebullet"/>
            </w:pPr>
            <w:r>
              <w:t>the salt/ester is a high molecular weight polymer, with low levels of low molecular weight species</w:t>
            </w:r>
          </w:p>
          <w:p w14:paraId="5AE86959" w14:textId="0F7CA9E2" w:rsidR="00762E4F" w:rsidRDefault="00762E4F" w:rsidP="000A5B68">
            <w:pPr>
              <w:pStyle w:val="Tablebullet"/>
            </w:pPr>
            <w:r>
              <w:t>the molecular weight of the salt/ester is greater than or equal to 1,000 g/mo</w:t>
            </w:r>
            <w:r w:rsidR="00C11E14">
              <w:t>l</w:t>
            </w:r>
            <w:r w:rsidR="00BA600B">
              <w:t>.</w:t>
            </w:r>
          </w:p>
        </w:tc>
      </w:tr>
      <w:tr w:rsidR="00C23C79" w14:paraId="732D9287" w14:textId="77777777" w:rsidTr="000D46A0">
        <w:trPr>
          <w:trHeight w:val="300"/>
        </w:trPr>
        <w:tc>
          <w:tcPr>
            <w:tcW w:w="2268" w:type="dxa"/>
          </w:tcPr>
          <w:p w14:paraId="26232EB9" w14:textId="77777777" w:rsidR="00762E4F" w:rsidRDefault="00E0754E">
            <w:r w:rsidRPr="00E0754E">
              <w:t>Various</w:t>
            </w:r>
          </w:p>
        </w:tc>
        <w:tc>
          <w:tcPr>
            <w:tcW w:w="3118" w:type="dxa"/>
          </w:tcPr>
          <w:p w14:paraId="2EC440CE" w14:textId="77777777" w:rsidR="00762E4F" w:rsidRDefault="00017C63" w:rsidP="00017C63">
            <w:proofErr w:type="spellStart"/>
            <w:r>
              <w:t>Dodecylphenols</w:t>
            </w:r>
            <w:proofErr w:type="spellEnd"/>
            <w:r>
              <w:t xml:space="preserve"> on the list of chemicals with high hazards for categorisation – includes linear and branched isomers</w:t>
            </w:r>
          </w:p>
        </w:tc>
        <w:tc>
          <w:tcPr>
            <w:tcW w:w="3685" w:type="dxa"/>
          </w:tcPr>
          <w:p w14:paraId="39F6F142" w14:textId="6935E381" w:rsidR="00762E4F" w:rsidRDefault="00762E4F" w:rsidP="00BA600B">
            <w:pPr>
              <w:pStyle w:val="Tablebullet"/>
            </w:pPr>
            <w:r>
              <w:t>the salt</w:t>
            </w:r>
            <w:r w:rsidR="00913245">
              <w:t>/ester</w:t>
            </w:r>
            <w:r>
              <w:t xml:space="preserve"> is a high molecular weight polymer</w:t>
            </w:r>
            <w:r w:rsidR="00BA600B">
              <w:t xml:space="preserve"> </w:t>
            </w:r>
            <w:r w:rsidR="00BA600B" w:rsidRPr="00BA600B">
              <w:t>that is not an ethoxylate polymer and has</w:t>
            </w:r>
            <w:r>
              <w:t xml:space="preserve"> low levels of low molecular weight species</w:t>
            </w:r>
          </w:p>
          <w:p w14:paraId="51924352" w14:textId="77777777" w:rsidR="00762E4F" w:rsidRDefault="00762E4F" w:rsidP="000A5B68">
            <w:pPr>
              <w:pStyle w:val="Tablebullet"/>
            </w:pPr>
            <w:r>
              <w:t>the molecular weight of the salt</w:t>
            </w:r>
            <w:r w:rsidR="00913245">
              <w:t>/ester</w:t>
            </w:r>
            <w:r>
              <w:t xml:space="preserve"> is greater than or equal to 1,000 g/mol.</w:t>
            </w:r>
          </w:p>
        </w:tc>
      </w:tr>
    </w:tbl>
    <w:p w14:paraId="365B3AE8" w14:textId="77777777" w:rsidR="00066E41" w:rsidRDefault="00066E41" w:rsidP="00F6774A">
      <w:pPr>
        <w:pStyle w:val="Heading2"/>
      </w:pPr>
      <w:bookmarkStart w:id="22" w:name="_Toc238816814"/>
      <w:r>
        <w:t xml:space="preserve">6.7 </w:t>
      </w:r>
      <w:r w:rsidR="00A41D05">
        <w:tab/>
      </w:r>
      <w:r>
        <w:t>Genetic toxicity – Human health hazard band C</w:t>
      </w:r>
      <w:bookmarkEnd w:id="22"/>
    </w:p>
    <w:p w14:paraId="64EFA57B" w14:textId="77777777" w:rsidR="00066E41" w:rsidRDefault="00066E41" w:rsidP="00F6774A">
      <w:pPr>
        <w:pStyle w:val="Heading3"/>
      </w:pPr>
      <w:r>
        <w:t xml:space="preserve">6.7.1 </w:t>
      </w:r>
      <w:r w:rsidR="00A41D05">
        <w:tab/>
      </w:r>
      <w:r>
        <w:t>Clause 2 of Part 1, Schedule 1 to the IC General Rules</w:t>
      </w:r>
    </w:p>
    <w:p w14:paraId="58AC394C" w14:textId="77777777" w:rsidR="00066E41" w:rsidRDefault="00066E41" w:rsidP="00066E41">
      <w:r>
        <w:t>For the purposes of table item 5 of Clause 2, Part 1, Schedule 1 to the IC General Rules:</w:t>
      </w:r>
    </w:p>
    <w:p w14:paraId="621EFBBD" w14:textId="77777777" w:rsidR="00066E41" w:rsidRDefault="00066E41" w:rsidP="00066E41">
      <w:r w:rsidRPr="005F206A">
        <w:rPr>
          <w:b/>
          <w:bCs/>
        </w:rPr>
        <w:t>Genetic toxicity</w:t>
      </w:r>
      <w:r>
        <w:t xml:space="preserve"> means that any of the following apply to the industrial chemical:</w:t>
      </w:r>
    </w:p>
    <w:p w14:paraId="59AC6769" w14:textId="77777777" w:rsidR="0058047E" w:rsidRDefault="00066E41" w:rsidP="000A5B68">
      <w:pPr>
        <w:pStyle w:val="Bulletlist"/>
      </w:pPr>
      <w:r>
        <w:t>the chemical is known to induce or may induce mutations in the germ cells of humans, as described in chapter 3.5 of the GHS, with the chemical classified as germ cell mutagenicity (category 1 or 2), or</w:t>
      </w:r>
    </w:p>
    <w:p w14:paraId="46081A9C" w14:textId="77777777" w:rsidR="005B6633" w:rsidRDefault="005B6633" w:rsidP="000A5B68">
      <w:pPr>
        <w:pStyle w:val="Bulletlist"/>
      </w:pPr>
      <w:r>
        <w:t xml:space="preserve">the chemical is on the </w:t>
      </w:r>
      <w:r w:rsidRPr="00452C68">
        <w:rPr>
          <w:b/>
          <w:bCs/>
        </w:rPr>
        <w:t>list of chemicals with high hazards for categorisation</w:t>
      </w:r>
      <w:r>
        <w:t>,</w:t>
      </w:r>
      <w:r w:rsidR="008E51E2">
        <w:t xml:space="preserve"> </w:t>
      </w:r>
      <w:r>
        <w:t>based on its genetic toxicity, or</w:t>
      </w:r>
    </w:p>
    <w:p w14:paraId="3FF1A8FD" w14:textId="07635BEC" w:rsidR="005B6633" w:rsidRDefault="005B6633" w:rsidP="000A5B68">
      <w:pPr>
        <w:pStyle w:val="Bulletlist"/>
      </w:pPr>
      <w:r>
        <w:t xml:space="preserve">the chemical is an ester or salt of specified chemicals in Part 6.7.2 of these Guidelines, which are </w:t>
      </w:r>
      <w:r w:rsidR="00EC5DA7">
        <w:t>o</w:t>
      </w:r>
      <w:r>
        <w:t>n the list of chemicals with high hazards for categorisation based on genetic toxicity unless an exception, as identified in Part 6.7.2, is met for that chemical, or</w:t>
      </w:r>
    </w:p>
    <w:p w14:paraId="34ECD557" w14:textId="77777777" w:rsidR="005B6633" w:rsidRDefault="005B6633" w:rsidP="000A5B68">
      <w:pPr>
        <w:pStyle w:val="Bulletlist"/>
      </w:pPr>
      <w:r>
        <w:t>an in vitro study on the chemical:</w:t>
      </w:r>
    </w:p>
    <w:p w14:paraId="7CC145DD" w14:textId="77777777" w:rsidR="005B6633" w:rsidRDefault="005B6633" w:rsidP="00C144B1">
      <w:pPr>
        <w:pStyle w:val="Bulletlist2"/>
      </w:pPr>
      <w:r>
        <w:t>conducted following an acceptable test guideline for gene mutation or chromosomal abnormalities results in the prediction of mutagenic or genotoxic effects, as described in chapter 3.5 of the GHS, and</w:t>
      </w:r>
    </w:p>
    <w:p w14:paraId="1DA238A2" w14:textId="77777777" w:rsidR="005B6633" w:rsidRDefault="005B6633" w:rsidP="00C144B1">
      <w:pPr>
        <w:pStyle w:val="Bulletlist2"/>
      </w:pPr>
      <w:r>
        <w:t>the results of the study have not been negated by in vivo studies conducted on the chemical for gene mutation, chromosomal abnormalities or heritable germ cell mutagenicity, or</w:t>
      </w:r>
    </w:p>
    <w:p w14:paraId="73635060" w14:textId="7E40FC30" w:rsidR="005B6633" w:rsidRDefault="005B6633" w:rsidP="000A5B68">
      <w:pPr>
        <w:pStyle w:val="Bulletlist"/>
      </w:pPr>
      <w:r>
        <w:t xml:space="preserve">an in vivo study on the chemical conducted following an acceptable test guideline for gene mutation, chromosomal abnormalities or heritable germ cell mutagenicity results in mutagenic or </w:t>
      </w:r>
      <w:r w:rsidR="00EC5DA7">
        <w:t>g</w:t>
      </w:r>
      <w:r>
        <w:t>enotoxic effects, as described by chapter 3.5 of the GHS.</w:t>
      </w:r>
    </w:p>
    <w:p w14:paraId="440F758D" w14:textId="77777777" w:rsidR="00580BB2" w:rsidRDefault="00580BB2" w:rsidP="00E26EBF">
      <w:pPr>
        <w:pStyle w:val="Heading3"/>
      </w:pPr>
      <w:r>
        <w:t xml:space="preserve">6.7.2 </w:t>
      </w:r>
      <w:r w:rsidR="00794628">
        <w:tab/>
      </w:r>
      <w:r>
        <w:t xml:space="preserve">Section 30 of the IC General Rules </w:t>
      </w:r>
      <w:r w:rsidR="005B7E03">
        <w:t>–</w:t>
      </w:r>
      <w:r>
        <w:t xml:space="preserve"> Information required to demonstrate the absence of hazard characteristics </w:t>
      </w:r>
    </w:p>
    <w:p w14:paraId="201D73AC" w14:textId="77777777" w:rsidR="0042501C" w:rsidRDefault="00ED2BD5" w:rsidP="0066432B">
      <w:r>
        <w:t>For the purposes of paragraph 30(2)(b) and subparagraph 30(2)(c)(iv) of the IC General Rules,</w:t>
      </w:r>
      <w:r w:rsidR="002155E9">
        <w:t xml:space="preserve"> </w:t>
      </w:r>
      <w:r>
        <w:t xml:space="preserve">the information required to demonstrate that a chemical does not have the hazard characteristic, </w:t>
      </w:r>
      <w:r w:rsidRPr="002155E9">
        <w:rPr>
          <w:b/>
          <w:bCs/>
        </w:rPr>
        <w:t>genetic toxicity</w:t>
      </w:r>
      <w:r>
        <w:t>, is:</w:t>
      </w:r>
    </w:p>
    <w:p w14:paraId="24EB51F9" w14:textId="77777777" w:rsidR="0066432B" w:rsidRPr="00F76602" w:rsidRDefault="0066432B" w:rsidP="000A5B68">
      <w:pPr>
        <w:pStyle w:val="Bulletlist"/>
        <w:rPr>
          <w:rStyle w:val="BulletlistChar"/>
        </w:rPr>
      </w:pPr>
      <w:r w:rsidRPr="00F76602">
        <w:rPr>
          <w:rStyle w:val="BulletlistChar"/>
        </w:rPr>
        <w:t xml:space="preserve">if the human health exposure band for the introduction is 4 </w:t>
      </w:r>
      <w:r w:rsidR="00811B48">
        <w:rPr>
          <w:rStyle w:val="BulletlistChar"/>
        </w:rPr>
        <w:t>–</w:t>
      </w:r>
      <w:r w:rsidRPr="00F76602">
        <w:rPr>
          <w:rStyle w:val="BulletlistChar"/>
        </w:rPr>
        <w:t xml:space="preserve"> at least one of the following:</w:t>
      </w:r>
    </w:p>
    <w:p w14:paraId="72B471AE" w14:textId="77777777" w:rsidR="0066432B" w:rsidRDefault="0066432B" w:rsidP="00C144B1">
      <w:pPr>
        <w:pStyle w:val="Bulletlist2"/>
      </w:pPr>
      <w:r>
        <w:t>information to demonstrate that the chemical is included on the Select Committee on GRAS Substances (SCOGS) Database as a Type 1 conclusion, and that the human health exposure expected from the industrial use of the chemical is no higher than the human health exposure expected from food use, or</w:t>
      </w:r>
    </w:p>
    <w:p w14:paraId="0F7A1135" w14:textId="77777777" w:rsidR="0066432B" w:rsidRDefault="0066432B" w:rsidP="00C144B1">
      <w:pPr>
        <w:pStyle w:val="Bulletlist2"/>
      </w:pPr>
      <w:r>
        <w:lastRenderedPageBreak/>
        <w:t>information to demonstrate that the chemical has been notified to the US FDA GRAS notification program and FDA had no questions about the notifier’s conclusion of GRAS status, and that the human health exposure expected from the industrial use of the chemical is no higher than the human health exposure expected from food use, or</w:t>
      </w:r>
    </w:p>
    <w:p w14:paraId="58F2CE6E" w14:textId="77777777" w:rsidR="0066432B" w:rsidRDefault="0066432B" w:rsidP="00C144B1">
      <w:pPr>
        <w:pStyle w:val="Bulletlist2"/>
      </w:pPr>
      <w:r>
        <w:t>information that demonstrates that the chemical is a substance covered by Entry 9 of Annex V of the REACH Regulation, or</w:t>
      </w:r>
    </w:p>
    <w:p w14:paraId="75E64A4B" w14:textId="77777777" w:rsidR="0058047E" w:rsidRDefault="0066432B" w:rsidP="00C144B1">
      <w:pPr>
        <w:pStyle w:val="Bulletlist2"/>
      </w:pPr>
      <w:r>
        <w:t>information to demonstrate that the chemical is a high molecular weight polymer, and if you are seeking to demonstrate that the introduction meets the criteria for very low risk (table item 14, section 28 of the IC General Rules)</w:t>
      </w:r>
      <w:r w:rsidR="008A7FA9">
        <w:t xml:space="preserve"> </w:t>
      </w:r>
      <w:r w:rsidR="007314CE">
        <w:t>–</w:t>
      </w:r>
      <w:r>
        <w:t xml:space="preserve"> test results from an in vitro study on the polymer or from suitable read across information conducted following an acceptable test guideline for gene mutation, which demonstrates the absence of mutagenic effects, or</w:t>
      </w:r>
    </w:p>
    <w:p w14:paraId="1EBD1483" w14:textId="77777777" w:rsidR="00357C4B" w:rsidRDefault="00357C4B" w:rsidP="00C144B1">
      <w:pPr>
        <w:pStyle w:val="Bulletlist2"/>
      </w:pPr>
      <w:r>
        <w:t>test results that demonstrate the absence of mutagenic or genotoxic effects from both:</w:t>
      </w:r>
    </w:p>
    <w:p w14:paraId="56C8A368" w14:textId="77777777" w:rsidR="00357C4B" w:rsidRDefault="00357C4B" w:rsidP="00103519">
      <w:pPr>
        <w:pStyle w:val="Bulletlist3"/>
      </w:pPr>
      <w:r>
        <w:t>a study on the chemical or from suitable read across information conducted following an acceptable test guideline for gene mutation,</w:t>
      </w:r>
      <w:r w:rsidR="00C54D48">
        <w:t xml:space="preserve"> a</w:t>
      </w:r>
      <w:r>
        <w:t>nd</w:t>
      </w:r>
    </w:p>
    <w:p w14:paraId="6A31A100" w14:textId="77777777" w:rsidR="00357C4B" w:rsidRDefault="00357C4B" w:rsidP="00103519">
      <w:pPr>
        <w:pStyle w:val="Bulletlist3"/>
      </w:pPr>
      <w:r>
        <w:t xml:space="preserve">a study on the chemical or from suitable read across information conducted following an acceptable test guideline for chromosomal abnormalities. </w:t>
      </w:r>
    </w:p>
    <w:p w14:paraId="0CFA5D23" w14:textId="77777777" w:rsidR="00357C4B" w:rsidRDefault="00357C4B" w:rsidP="000A5B68">
      <w:pPr>
        <w:pStyle w:val="Bulletlist"/>
      </w:pPr>
      <w:r>
        <w:t>if the human health exposure band for the introduction is 3, and you are seeking to demonstrate that the introduction meets the criteria for very low risk (table item 14, section 28 of the IC General Rules) - at least one of the following:</w:t>
      </w:r>
    </w:p>
    <w:p w14:paraId="7BD3BCE9" w14:textId="77777777" w:rsidR="00357C4B" w:rsidRDefault="00357C4B" w:rsidP="00C144B1">
      <w:pPr>
        <w:pStyle w:val="Bulletlist2"/>
      </w:pPr>
      <w:r>
        <w:t xml:space="preserve">inclusion of the chemical in the Select Committee on GRAS Substances (SCOGS) Database as a Type 1 conclusion, </w:t>
      </w:r>
      <w:proofErr w:type="gramStart"/>
      <w:r>
        <w:t>as long as</w:t>
      </w:r>
      <w:proofErr w:type="gramEnd"/>
      <w:r>
        <w:t xml:space="preserve"> the human health exposure expected from the industrial use of the chemical is no higher than the human health exposure expected from food use, or</w:t>
      </w:r>
    </w:p>
    <w:p w14:paraId="05033581" w14:textId="77777777" w:rsidR="00357C4B" w:rsidRDefault="00357C4B" w:rsidP="00C144B1">
      <w:pPr>
        <w:pStyle w:val="Bulletlist2"/>
      </w:pPr>
      <w:r>
        <w:t xml:space="preserve">the chemical has been notified to the US FDA GRAS notification program and FDA had no questions about the notifier’s conclusion of GRAS status, </w:t>
      </w:r>
      <w:proofErr w:type="gramStart"/>
      <w:r>
        <w:t>as long as</w:t>
      </w:r>
      <w:proofErr w:type="gramEnd"/>
      <w:r>
        <w:t xml:space="preserve"> the human health exposure expected from the industrial use of the chemical is no higher than the human health exposure expected from food use, or</w:t>
      </w:r>
    </w:p>
    <w:p w14:paraId="672836E8" w14:textId="77777777" w:rsidR="00357C4B" w:rsidRDefault="00357C4B" w:rsidP="00C144B1">
      <w:pPr>
        <w:pStyle w:val="Bulletlist2"/>
      </w:pPr>
      <w:r>
        <w:t>information that demonstrates that the chemical is a substance covered by Entry 9 of Annex V of the REACH Regulation, or</w:t>
      </w:r>
    </w:p>
    <w:p w14:paraId="0CCF4018" w14:textId="77777777" w:rsidR="00357C4B" w:rsidRDefault="00357C4B" w:rsidP="00C144B1">
      <w:pPr>
        <w:pStyle w:val="Bulletlist2"/>
      </w:pPr>
      <w:r>
        <w:t>if the polymer is a high molecular weight polymer, test results from an in vitro study on the polymer or from suitable read across information conducted following an acceptable test guideline for gene mutations, which demonstrates the absence of mutagenic effects, or</w:t>
      </w:r>
    </w:p>
    <w:p w14:paraId="05DA9C15" w14:textId="77777777" w:rsidR="00357C4B" w:rsidRDefault="00357C4B" w:rsidP="00C144B1">
      <w:pPr>
        <w:pStyle w:val="Bulletlist2"/>
      </w:pPr>
      <w:r>
        <w:t>information that demonstrates the absence of mutagenic or genotoxic effects from both:</w:t>
      </w:r>
    </w:p>
    <w:p w14:paraId="2EA2906C" w14:textId="77777777" w:rsidR="00357C4B" w:rsidRDefault="00357C4B" w:rsidP="00103519">
      <w:pPr>
        <w:pStyle w:val="Bulletlist3"/>
      </w:pPr>
      <w:r>
        <w:t>information on the chemical or from suitable read</w:t>
      </w:r>
      <w:r w:rsidR="001424CE">
        <w:t>-</w:t>
      </w:r>
      <w:r>
        <w:t xml:space="preserve">across information that addresses gene mutations </w:t>
      </w:r>
      <w:r w:rsidR="002E3021">
        <w:t>–</w:t>
      </w:r>
      <w:r>
        <w:t xml:space="preserve"> this could be:</w:t>
      </w:r>
    </w:p>
    <w:p w14:paraId="2D8B3AF4" w14:textId="77777777" w:rsidR="00357C4B" w:rsidRPr="008E51E2" w:rsidRDefault="00357C4B" w:rsidP="00881ECD">
      <w:pPr>
        <w:pStyle w:val="Bulletlist4"/>
      </w:pPr>
      <w:r w:rsidRPr="008E51E2">
        <w:t>a suitable in silico prediction, both with and without metabolic activation, or</w:t>
      </w:r>
    </w:p>
    <w:p w14:paraId="51617390" w14:textId="77777777" w:rsidR="00357C4B" w:rsidRPr="008E51E2" w:rsidRDefault="00357C4B" w:rsidP="00881ECD">
      <w:pPr>
        <w:pStyle w:val="Bulletlist4"/>
      </w:pPr>
      <w:r w:rsidRPr="008E51E2">
        <w:t>test results from a study conducted following an acceptable test guideline for gene mutations; and</w:t>
      </w:r>
    </w:p>
    <w:p w14:paraId="229B3BBF" w14:textId="77777777" w:rsidR="00357C4B" w:rsidRDefault="00357C4B" w:rsidP="00103519">
      <w:pPr>
        <w:pStyle w:val="Bulletlist3"/>
      </w:pPr>
      <w:r>
        <w:t>test results from a study on the chemical or from suitable read across information conducted following an acceptable test guideline for chromosomal abnormalities.</w:t>
      </w:r>
    </w:p>
    <w:p w14:paraId="384FDF76" w14:textId="77777777" w:rsidR="00357C4B" w:rsidRDefault="00357C4B" w:rsidP="000A5B68">
      <w:pPr>
        <w:pStyle w:val="Bulletlist"/>
      </w:pPr>
      <w:r>
        <w:t xml:space="preserve">otherwise, the information required to demonstrate that a chemical does not have the hazard characteristic, genetic toxicity, is confirmation that the chemical is not on the </w:t>
      </w:r>
      <w:r w:rsidRPr="00B2352B">
        <w:rPr>
          <w:b/>
          <w:bCs/>
        </w:rPr>
        <w:t>list of chemicals with high hazards for categorisation</w:t>
      </w:r>
      <w:r>
        <w:t>, based on its genetic toxicity, and confirmation that the chemical is not an ester or salt of the specified chemicals shown in the below table, which are on the list of chemicals with high hazards for categorisation, based on genetic toxicity</w:t>
      </w:r>
      <w:r w:rsidR="00924843">
        <w:t>:</w:t>
      </w:r>
    </w:p>
    <w:tbl>
      <w:tblPr>
        <w:tblStyle w:val="AICISTableBasic"/>
        <w:tblW w:w="9071" w:type="dxa"/>
        <w:tblLayout w:type="fixed"/>
        <w:tblLook w:val="06A0" w:firstRow="1" w:lastRow="0" w:firstColumn="1" w:lastColumn="0" w:noHBand="1" w:noVBand="1"/>
      </w:tblPr>
      <w:tblGrid>
        <w:gridCol w:w="2268"/>
        <w:gridCol w:w="3118"/>
        <w:gridCol w:w="3685"/>
      </w:tblGrid>
      <w:tr w:rsidR="0084395C" w:rsidRPr="00BD12FC" w14:paraId="4CBDCDE0" w14:textId="77777777" w:rsidTr="00BD12FC">
        <w:trPr>
          <w:trHeight w:val="1191"/>
          <w:tblHeader/>
        </w:trPr>
        <w:tc>
          <w:tcPr>
            <w:tcW w:w="2268" w:type="dxa"/>
          </w:tcPr>
          <w:p w14:paraId="6B3C79DF" w14:textId="77777777" w:rsidR="0084395C" w:rsidRPr="00BD12FC" w:rsidRDefault="0084395C">
            <w:pPr>
              <w:rPr>
                <w:b/>
                <w:bCs/>
              </w:rPr>
            </w:pPr>
            <w:r w:rsidRPr="00BD12FC">
              <w:rPr>
                <w:b/>
                <w:bCs/>
              </w:rPr>
              <w:t>CAS number</w:t>
            </w:r>
          </w:p>
        </w:tc>
        <w:tc>
          <w:tcPr>
            <w:tcW w:w="3118" w:type="dxa"/>
          </w:tcPr>
          <w:p w14:paraId="0A1C4F35" w14:textId="77777777" w:rsidR="0084395C" w:rsidRPr="00BD12FC" w:rsidRDefault="0084395C">
            <w:pPr>
              <w:rPr>
                <w:b/>
                <w:bCs/>
              </w:rPr>
            </w:pPr>
            <w:r w:rsidRPr="00BD12FC">
              <w:rPr>
                <w:b/>
                <w:bCs/>
              </w:rPr>
              <w:t>Chemical name</w:t>
            </w:r>
          </w:p>
        </w:tc>
        <w:tc>
          <w:tcPr>
            <w:tcW w:w="3685" w:type="dxa"/>
          </w:tcPr>
          <w:p w14:paraId="7B176D02" w14:textId="77777777" w:rsidR="0084395C" w:rsidRPr="00BD12FC" w:rsidRDefault="0084395C">
            <w:pPr>
              <w:tabs>
                <w:tab w:val="left" w:pos="864"/>
              </w:tabs>
              <w:rPr>
                <w:b/>
                <w:bCs/>
              </w:rPr>
            </w:pPr>
            <w:r w:rsidRPr="00BD12FC">
              <w:rPr>
                <w:b/>
                <w:bCs/>
              </w:rPr>
              <w:t xml:space="preserve">An ester or salt of the chemical has the </w:t>
            </w:r>
            <w:r w:rsidR="00DF37B7" w:rsidRPr="00BD12FC">
              <w:rPr>
                <w:b/>
                <w:bCs/>
              </w:rPr>
              <w:t>genetic toxicity</w:t>
            </w:r>
            <w:r w:rsidRPr="00BD12FC">
              <w:rPr>
                <w:b/>
                <w:bCs/>
              </w:rPr>
              <w:t xml:space="preserve"> hazard </w:t>
            </w:r>
            <w:r w:rsidR="00A62B6F" w:rsidRPr="00BD12FC">
              <w:rPr>
                <w:b/>
                <w:bCs/>
              </w:rPr>
              <w:t>c</w:t>
            </w:r>
            <w:r w:rsidRPr="00BD12FC">
              <w:rPr>
                <w:b/>
                <w:bCs/>
              </w:rPr>
              <w:t>haracteristic, unless one or more of the below exception criteria apply</w:t>
            </w:r>
          </w:p>
        </w:tc>
      </w:tr>
      <w:tr w:rsidR="0084395C" w14:paraId="58D0641C" w14:textId="77777777" w:rsidTr="00BD12FC">
        <w:trPr>
          <w:trHeight w:val="300"/>
        </w:trPr>
        <w:tc>
          <w:tcPr>
            <w:tcW w:w="2268" w:type="dxa"/>
          </w:tcPr>
          <w:p w14:paraId="288FF6CC" w14:textId="77777777" w:rsidR="0084395C" w:rsidRDefault="002C6F2C">
            <w:r w:rsidRPr="002C6F2C">
              <w:t>90-43-7</w:t>
            </w:r>
          </w:p>
        </w:tc>
        <w:tc>
          <w:tcPr>
            <w:tcW w:w="3118" w:type="dxa"/>
          </w:tcPr>
          <w:p w14:paraId="35FBC395" w14:textId="77777777" w:rsidR="0084395C" w:rsidRDefault="00C50E9C">
            <w:r w:rsidRPr="00C50E9C">
              <w:t>[1,1’-Biphenyl]-2-o</w:t>
            </w:r>
            <w:r w:rsidR="00460B95">
              <w:t>l</w:t>
            </w:r>
          </w:p>
        </w:tc>
        <w:tc>
          <w:tcPr>
            <w:tcW w:w="3685" w:type="dxa"/>
          </w:tcPr>
          <w:p w14:paraId="168AEBF2" w14:textId="77777777" w:rsidR="0084395C" w:rsidRDefault="0084395C" w:rsidP="000A5B68">
            <w:pPr>
              <w:pStyle w:val="Tablebullet"/>
            </w:pPr>
            <w:r>
              <w:t>the salt/ester is a high molecular weight polymer, with low levels of low molecular weight species</w:t>
            </w:r>
          </w:p>
          <w:p w14:paraId="6A8A5AF5" w14:textId="77777777" w:rsidR="0084395C" w:rsidRDefault="0084395C" w:rsidP="000A5B68">
            <w:pPr>
              <w:pStyle w:val="Tablebullet"/>
            </w:pPr>
            <w:r>
              <w:t>the molecular weight of the salt/ester is greater than or equal to 1,000 g/mol</w:t>
            </w:r>
          </w:p>
        </w:tc>
      </w:tr>
      <w:tr w:rsidR="0084395C" w14:paraId="5F6C816E" w14:textId="77777777" w:rsidTr="00BD12FC">
        <w:trPr>
          <w:trHeight w:val="300"/>
        </w:trPr>
        <w:tc>
          <w:tcPr>
            <w:tcW w:w="2268" w:type="dxa"/>
          </w:tcPr>
          <w:p w14:paraId="4D9D70B8" w14:textId="77777777" w:rsidR="0084395C" w:rsidRDefault="0038742F">
            <w:r w:rsidRPr="0038742F">
              <w:lastRenderedPageBreak/>
              <w:t>615-05-4</w:t>
            </w:r>
          </w:p>
        </w:tc>
        <w:tc>
          <w:tcPr>
            <w:tcW w:w="3118" w:type="dxa"/>
          </w:tcPr>
          <w:p w14:paraId="2BFA27EC" w14:textId="3CD39C56" w:rsidR="0084395C" w:rsidRDefault="00260162">
            <w:r>
              <w:t>1,3-Benzenediamine, 4-methoxy-</w:t>
            </w:r>
            <w:r w:rsidR="00EC5DA7">
              <w:t xml:space="preserve"> </w:t>
            </w:r>
            <w:r>
              <w:t>(</w:t>
            </w:r>
            <w:proofErr w:type="spellStart"/>
            <w:r>
              <w:t>diaminoanisole</w:t>
            </w:r>
            <w:proofErr w:type="spellEnd"/>
            <w:r>
              <w:t>)</w:t>
            </w:r>
          </w:p>
        </w:tc>
        <w:tc>
          <w:tcPr>
            <w:tcW w:w="3685" w:type="dxa"/>
          </w:tcPr>
          <w:p w14:paraId="36DA63D9" w14:textId="77777777" w:rsidR="0084395C" w:rsidRDefault="0084395C" w:rsidP="000A5B68">
            <w:pPr>
              <w:pStyle w:val="Tablebullet"/>
            </w:pPr>
            <w:r>
              <w:t>the salt is a high molecular weight polymer, with low levels of low molecular weight species</w:t>
            </w:r>
          </w:p>
          <w:p w14:paraId="733550DF" w14:textId="7B1CA44F" w:rsidR="0084395C" w:rsidRDefault="0084395C" w:rsidP="000A5B68">
            <w:pPr>
              <w:pStyle w:val="Tablebullet"/>
            </w:pPr>
            <w:r>
              <w:t xml:space="preserve">the molecular weight of the salt is greater than or equal to 1,000 </w:t>
            </w:r>
            <w:r w:rsidR="002B428A">
              <w:t>g</w:t>
            </w:r>
            <w:r>
              <w:t>/mo</w:t>
            </w:r>
            <w:r w:rsidR="00EB755E">
              <w:t>l</w:t>
            </w:r>
          </w:p>
        </w:tc>
      </w:tr>
      <w:tr w:rsidR="0084395C" w14:paraId="1C11CAE6" w14:textId="77777777" w:rsidTr="00BD12FC">
        <w:trPr>
          <w:trHeight w:val="300"/>
        </w:trPr>
        <w:tc>
          <w:tcPr>
            <w:tcW w:w="2268" w:type="dxa"/>
          </w:tcPr>
          <w:p w14:paraId="60AE5411" w14:textId="77777777" w:rsidR="0084395C" w:rsidRDefault="001562E1">
            <w:r w:rsidRPr="001562E1">
              <w:t>123-30-8</w:t>
            </w:r>
          </w:p>
        </w:tc>
        <w:tc>
          <w:tcPr>
            <w:tcW w:w="3118" w:type="dxa"/>
          </w:tcPr>
          <w:p w14:paraId="1ADBFABA" w14:textId="77777777" w:rsidR="0084395C" w:rsidRDefault="00BF46B9">
            <w:r w:rsidRPr="00BF46B9">
              <w:t>Phenol, 4-amino-</w:t>
            </w:r>
          </w:p>
        </w:tc>
        <w:tc>
          <w:tcPr>
            <w:tcW w:w="3685" w:type="dxa"/>
          </w:tcPr>
          <w:p w14:paraId="042E704A" w14:textId="77777777" w:rsidR="0084395C" w:rsidRDefault="0084395C" w:rsidP="000A5B68">
            <w:pPr>
              <w:pStyle w:val="Tablebullet"/>
            </w:pPr>
            <w:r>
              <w:t>the salt/ester is a high molecular weight polymer, with low levels of low molecular weight species</w:t>
            </w:r>
          </w:p>
          <w:p w14:paraId="04967BA3" w14:textId="77777777" w:rsidR="0084395C" w:rsidRDefault="0084395C" w:rsidP="000A5B68">
            <w:pPr>
              <w:pStyle w:val="Tablebullet"/>
            </w:pPr>
            <w:r>
              <w:t>the molecular weight of the salt/ester is greater than or equal to 1,000 g/mol</w:t>
            </w:r>
          </w:p>
        </w:tc>
      </w:tr>
      <w:tr w:rsidR="00DD51A5" w14:paraId="5E62E7BF" w14:textId="77777777" w:rsidTr="00BD12FC">
        <w:trPr>
          <w:trHeight w:val="300"/>
        </w:trPr>
        <w:tc>
          <w:tcPr>
            <w:tcW w:w="2268" w:type="dxa"/>
          </w:tcPr>
          <w:p w14:paraId="71A1933F" w14:textId="77777777" w:rsidR="00DD51A5" w:rsidRPr="00E0754E" w:rsidRDefault="00B95C37">
            <w:r w:rsidRPr="00B95C37">
              <w:t>95-55-6,</w:t>
            </w:r>
          </w:p>
        </w:tc>
        <w:tc>
          <w:tcPr>
            <w:tcW w:w="3118" w:type="dxa"/>
          </w:tcPr>
          <w:p w14:paraId="5E9AD2D8" w14:textId="77A10B92" w:rsidR="00DD51A5" w:rsidRDefault="00B43976">
            <w:r w:rsidRPr="00B43976">
              <w:t xml:space="preserve">Phenol, </w:t>
            </w:r>
            <w:r w:rsidR="002B428A">
              <w:t>2</w:t>
            </w:r>
            <w:r w:rsidRPr="00B43976">
              <w:t>-amino-</w:t>
            </w:r>
          </w:p>
        </w:tc>
        <w:tc>
          <w:tcPr>
            <w:tcW w:w="3685" w:type="dxa"/>
          </w:tcPr>
          <w:p w14:paraId="74978527" w14:textId="77777777" w:rsidR="00261319" w:rsidRDefault="00261319" w:rsidP="000A5B68">
            <w:pPr>
              <w:pStyle w:val="Tablebullet"/>
            </w:pPr>
            <w:r>
              <w:t>the salt/ester is a high molecular weight polymer, with low levels of low molecular weight species</w:t>
            </w:r>
          </w:p>
          <w:p w14:paraId="73DC1D74" w14:textId="77777777" w:rsidR="00DD51A5" w:rsidRDefault="00261319" w:rsidP="000A5B68">
            <w:pPr>
              <w:pStyle w:val="Tablebullet"/>
            </w:pPr>
            <w:r>
              <w:t>the molecular weight of the salt/ester is greater than or equal to 1,000 g/mol</w:t>
            </w:r>
          </w:p>
        </w:tc>
      </w:tr>
    </w:tbl>
    <w:p w14:paraId="136166ED" w14:textId="69FDFECB" w:rsidR="00B43C8C" w:rsidRDefault="00B43C8C" w:rsidP="000A5B68">
      <w:pPr>
        <w:pStyle w:val="Bulletlist"/>
      </w:pPr>
      <w:r>
        <w:t xml:space="preserve">in addition, if the human health exposure band for the introduction is 4 and the chemical is a UV filter, information is required to justify why the chemical would not cause genetic toxicity </w:t>
      </w:r>
      <w:r w:rsidR="0035708E">
        <w:t>mediated</w:t>
      </w:r>
      <w:r>
        <w:t xml:space="preserve"> by UV light. This may include one or more of the following:</w:t>
      </w:r>
    </w:p>
    <w:p w14:paraId="1AB65217" w14:textId="7D30D9CE" w:rsidR="00F8185A" w:rsidRDefault="00F8185A" w:rsidP="00F8185A">
      <w:pPr>
        <w:pStyle w:val="Bulletlist2"/>
      </w:pPr>
      <w:r w:rsidRPr="00F8185A">
        <w:t>the chemical has a molar extinction coefficient/absorption coefficient of &lt; 1,000 L·mol</w:t>
      </w:r>
      <w:r w:rsidRPr="00F8185A">
        <w:rPr>
          <w:vertAlign w:val="superscript"/>
        </w:rPr>
        <w:t>-1</w:t>
      </w:r>
      <w:r w:rsidRPr="00F8185A">
        <w:t>·cm</w:t>
      </w:r>
      <w:r w:rsidRPr="00F8185A">
        <w:rPr>
          <w:vertAlign w:val="superscript"/>
        </w:rPr>
        <w:t>-1</w:t>
      </w:r>
      <w:r>
        <w:t xml:space="preserve"> </w:t>
      </w:r>
      <w:r w:rsidRPr="00F8185A">
        <w:t>at wavelengths between 290 and 700 nm (based on the results of a study following OECD test guideline 101), or</w:t>
      </w:r>
    </w:p>
    <w:p w14:paraId="5F77F47A" w14:textId="77777777" w:rsidR="00B43C8C" w:rsidRDefault="00B43C8C" w:rsidP="00C144B1">
      <w:pPr>
        <w:pStyle w:val="Bulletlist2"/>
      </w:pPr>
      <w:r>
        <w:t>results from in vitro phototoxicity studies, or</w:t>
      </w:r>
    </w:p>
    <w:p w14:paraId="17EAC809" w14:textId="77777777" w:rsidR="00B43C8C" w:rsidRDefault="00B43C8C" w:rsidP="00C144B1">
      <w:pPr>
        <w:pStyle w:val="Bulletlist2"/>
      </w:pPr>
      <w:r>
        <w:t xml:space="preserve">results from in vitro or in vivo genetic toxicity studies where the methods have been </w:t>
      </w:r>
      <w:r w:rsidR="00834F95">
        <w:t>m</w:t>
      </w:r>
      <w:r>
        <w:t>odified to include photoactivation.</w:t>
      </w:r>
    </w:p>
    <w:p w14:paraId="2508C156" w14:textId="77777777" w:rsidR="00B43C8C" w:rsidRDefault="00B43C8C" w:rsidP="00E94C77">
      <w:pPr>
        <w:pStyle w:val="Heading2"/>
      </w:pPr>
      <w:bookmarkStart w:id="23" w:name="_Toc238816815"/>
      <w:r>
        <w:t xml:space="preserve">6.8 </w:t>
      </w:r>
      <w:r w:rsidR="00E94C77">
        <w:tab/>
      </w:r>
      <w:r>
        <w:t>High molecular weight polymer that is water absorbing – Human health hazard band B</w:t>
      </w:r>
      <w:bookmarkEnd w:id="23"/>
    </w:p>
    <w:p w14:paraId="5BEDBF55" w14:textId="77777777" w:rsidR="00B43C8C" w:rsidRDefault="00B43C8C" w:rsidP="00E94C77">
      <w:pPr>
        <w:pStyle w:val="Heading3"/>
      </w:pPr>
      <w:r>
        <w:t xml:space="preserve">6.8.1 </w:t>
      </w:r>
      <w:r w:rsidR="00F3706C">
        <w:tab/>
      </w:r>
      <w:r>
        <w:t>Clause 2 of Part 1, Schedule 1 to the IC General Rules</w:t>
      </w:r>
    </w:p>
    <w:p w14:paraId="4AD1F778" w14:textId="77777777" w:rsidR="0058047E" w:rsidRDefault="00B43C8C" w:rsidP="5E1450C1">
      <w:r>
        <w:t>For the purposes of table item 6 of Clause 2, Part 1, Schedule 1 to the IC General Ru</w:t>
      </w:r>
      <w:r w:rsidR="002D2C3F">
        <w:t>les:</w:t>
      </w:r>
    </w:p>
    <w:p w14:paraId="740F9D64" w14:textId="77777777" w:rsidR="002D2C3F" w:rsidRDefault="002D2C3F" w:rsidP="002D2C3F">
      <w:r w:rsidRPr="009F1C9C">
        <w:rPr>
          <w:b/>
          <w:bCs/>
        </w:rPr>
        <w:t>High molecular weight polymer that is water absorbing</w:t>
      </w:r>
      <w:r>
        <w:t xml:space="preserve"> means that </w:t>
      </w:r>
      <w:proofErr w:type="gramStart"/>
      <w:r>
        <w:t>all of</w:t>
      </w:r>
      <w:proofErr w:type="gramEnd"/>
      <w:r>
        <w:t xml:space="preserve"> the following apply to the industrial chemical:</w:t>
      </w:r>
    </w:p>
    <w:p w14:paraId="16160DA0" w14:textId="77777777" w:rsidR="002D2C3F" w:rsidRDefault="002D2C3F" w:rsidP="000A5B68">
      <w:pPr>
        <w:pStyle w:val="Bulletlist"/>
      </w:pPr>
      <w:r>
        <w:t>it is a high molecular weight polymer, and</w:t>
      </w:r>
    </w:p>
    <w:p w14:paraId="6715762F" w14:textId="77777777" w:rsidR="002D2C3F" w:rsidRDefault="002D2C3F" w:rsidP="000A5B68">
      <w:pPr>
        <w:pStyle w:val="Bulletlist"/>
      </w:pPr>
      <w:r>
        <w:t>it has a number average molecular weight that is ≥ 10,000 g/mol, and</w:t>
      </w:r>
    </w:p>
    <w:p w14:paraId="3D63D8B8" w14:textId="77777777" w:rsidR="002D2C3F" w:rsidRDefault="002D2C3F" w:rsidP="000A5B68">
      <w:pPr>
        <w:pStyle w:val="Bulletlist"/>
      </w:pPr>
      <w:r>
        <w:t xml:space="preserve">it </w:t>
      </w:r>
      <w:proofErr w:type="gramStart"/>
      <w:r>
        <w:t>is capable of absorbing</w:t>
      </w:r>
      <w:proofErr w:type="gramEnd"/>
      <w:r>
        <w:t xml:space="preserve"> its own weight, or more, in water, and</w:t>
      </w:r>
    </w:p>
    <w:p w14:paraId="3A7DD70C" w14:textId="77777777" w:rsidR="002D2C3F" w:rsidRDefault="002D2C3F" w:rsidP="000A5B68">
      <w:pPr>
        <w:pStyle w:val="Bulletlist"/>
      </w:pPr>
      <w:r>
        <w:t>it contains particles with a particle size &lt; 10 micrometres (microns).</w:t>
      </w:r>
    </w:p>
    <w:p w14:paraId="08AFB6C9" w14:textId="77777777" w:rsidR="002D2C3F" w:rsidRDefault="002D2C3F" w:rsidP="00AA590D">
      <w:pPr>
        <w:pStyle w:val="Heading3"/>
      </w:pPr>
      <w:r>
        <w:lastRenderedPageBreak/>
        <w:t xml:space="preserve">6.8.2 </w:t>
      </w:r>
      <w:r w:rsidR="00AA590D">
        <w:tab/>
      </w:r>
      <w:r>
        <w:t xml:space="preserve">Section 30 of the IC General Rules </w:t>
      </w:r>
      <w:r w:rsidR="005B0230">
        <w:t>–</w:t>
      </w:r>
      <w:r>
        <w:t xml:space="preserve"> Information required to demonstrate the absence of hazard characteristics </w:t>
      </w:r>
    </w:p>
    <w:p w14:paraId="5804052D" w14:textId="77777777" w:rsidR="002D2C3F" w:rsidRDefault="002D2C3F" w:rsidP="002D2C3F">
      <w:r>
        <w:t>For the purposes of subparagraph 30(2)(c)(iv) of the IC General Rules:</w:t>
      </w:r>
    </w:p>
    <w:p w14:paraId="2D47661E" w14:textId="77777777" w:rsidR="002D2C3F" w:rsidRDefault="002D2C3F" w:rsidP="002D2C3F">
      <w:r>
        <w:t>If the chemical is a high molecular weight polymer, the information required to demonstrate</w:t>
      </w:r>
      <w:r w:rsidR="00D8626C">
        <w:t xml:space="preserve"> </w:t>
      </w:r>
      <w:r>
        <w:t xml:space="preserve">that it does not have the hazard characteristic, </w:t>
      </w:r>
      <w:r w:rsidRPr="00D8626C">
        <w:rPr>
          <w:b/>
          <w:bCs/>
        </w:rPr>
        <w:t>high molecular weight polymer that is water absorbing</w:t>
      </w:r>
      <w:r>
        <w:t>, is at least one of:</w:t>
      </w:r>
    </w:p>
    <w:p w14:paraId="27254D6A" w14:textId="77777777" w:rsidR="002D2C3F" w:rsidRDefault="002D2C3F" w:rsidP="000A5B68">
      <w:pPr>
        <w:pStyle w:val="Bulletlist"/>
      </w:pPr>
      <w:r>
        <w:t>molecular weight information that demonstrates the number average molecular weight (NAMW) is &lt; 10,000 g/mol, or</w:t>
      </w:r>
    </w:p>
    <w:p w14:paraId="5D179E0B" w14:textId="77777777" w:rsidR="002D2C3F" w:rsidRDefault="002D2C3F" w:rsidP="000A5B68">
      <w:pPr>
        <w:pStyle w:val="Bulletlist"/>
      </w:pPr>
      <w:r>
        <w:t>information that demonstrates that the polymer is not introduced in a particulate form, or</w:t>
      </w:r>
    </w:p>
    <w:p w14:paraId="6E16F139" w14:textId="77777777" w:rsidR="002D2C3F" w:rsidRDefault="002D2C3F" w:rsidP="000A5B68">
      <w:pPr>
        <w:pStyle w:val="Bulletlist"/>
      </w:pPr>
      <w:r>
        <w:t>particle size information that demonstrates that the particle size is ≥ 10 micrometres (microns), or</w:t>
      </w:r>
    </w:p>
    <w:p w14:paraId="013100C3" w14:textId="77777777" w:rsidR="002D2C3F" w:rsidRDefault="002D2C3F" w:rsidP="000A5B68">
      <w:pPr>
        <w:pStyle w:val="Bulletlist"/>
      </w:pPr>
      <w:r>
        <w:t xml:space="preserve">information that demonstrates that the polymer does not absorb its own weight or more in </w:t>
      </w:r>
      <w:r w:rsidR="00D8626C">
        <w:t>w</w:t>
      </w:r>
      <w:r>
        <w:t>ater, such as experiments that show that it does not form a gel in water, or that if it does, the gel dissolves upon addition of more water</w:t>
      </w:r>
    </w:p>
    <w:p w14:paraId="4FF6DF6D" w14:textId="77777777" w:rsidR="008760C5" w:rsidRDefault="008760C5" w:rsidP="008C6305">
      <w:pPr>
        <w:pStyle w:val="Heading2"/>
      </w:pPr>
      <w:bookmarkStart w:id="24" w:name="_Toc238816816"/>
      <w:r>
        <w:t xml:space="preserve">6.9 </w:t>
      </w:r>
      <w:r w:rsidR="0081368A">
        <w:tab/>
      </w:r>
      <w:r>
        <w:t>Respiratory sensitisation – Human health hazard band B</w:t>
      </w:r>
      <w:bookmarkEnd w:id="24"/>
    </w:p>
    <w:p w14:paraId="4CE64758" w14:textId="77777777" w:rsidR="008760C5" w:rsidRDefault="008760C5" w:rsidP="0081368A">
      <w:pPr>
        <w:pStyle w:val="Heading3"/>
      </w:pPr>
      <w:r>
        <w:t>6.9.1 Clause 2 of Part 1, Schedule 1 to the IC General Rules</w:t>
      </w:r>
    </w:p>
    <w:p w14:paraId="394BCBBE" w14:textId="77777777" w:rsidR="008760C5" w:rsidRDefault="008760C5" w:rsidP="008760C5">
      <w:r>
        <w:t>For the purposes of table item 7 of Clause 2, Part 1, Schedule 1 to the IC General Rules:</w:t>
      </w:r>
    </w:p>
    <w:p w14:paraId="2BD40A85" w14:textId="77777777" w:rsidR="008760C5" w:rsidRDefault="008760C5" w:rsidP="008760C5">
      <w:r w:rsidRPr="009A758B">
        <w:rPr>
          <w:b/>
          <w:bCs/>
        </w:rPr>
        <w:t>Respiratory sensitisation</w:t>
      </w:r>
      <w:r>
        <w:t xml:space="preserve"> means that any of the following apply to the industrial chemical:</w:t>
      </w:r>
    </w:p>
    <w:p w14:paraId="00A469A3" w14:textId="77777777" w:rsidR="008760C5" w:rsidRDefault="008760C5" w:rsidP="000A5B68">
      <w:pPr>
        <w:pStyle w:val="Bulletlist"/>
      </w:pPr>
      <w:r>
        <w:t>the chemical is known or presumed to produce hypersensitivity of the airways in humans, as described in chapter 3.4 of the GHS, with the chemical classified as respiratory sensitisation (category 1), or</w:t>
      </w:r>
    </w:p>
    <w:p w14:paraId="3E75331C" w14:textId="77777777" w:rsidR="008760C5" w:rsidRDefault="008760C5" w:rsidP="000A5B68">
      <w:pPr>
        <w:pStyle w:val="Bulletlist"/>
      </w:pPr>
      <w:r>
        <w:t>the chemical is named:</w:t>
      </w:r>
    </w:p>
    <w:p w14:paraId="3136890C" w14:textId="5CCB104C" w:rsidR="008760C5" w:rsidRDefault="008760C5" w:rsidP="00C144B1">
      <w:pPr>
        <w:pStyle w:val="Bulletlist2"/>
      </w:pPr>
      <w:r>
        <w:t xml:space="preserve">on the EU SVHC Candidate list for authorisation, based on respiratory sensitising properties </w:t>
      </w:r>
      <w:hyperlink r:id="rId16" w:history="1">
        <w:r w:rsidRPr="000245B2">
          <w:rPr>
            <w:rStyle w:val="Hyperlink"/>
          </w:rPr>
          <w:t>(https://echa.europa.eu/candidate-list-table)</w:t>
        </w:r>
      </w:hyperlink>
      <w:r>
        <w:t>, or</w:t>
      </w:r>
    </w:p>
    <w:p w14:paraId="1434686E" w14:textId="45A67F01" w:rsidR="008760C5" w:rsidRDefault="008760C5" w:rsidP="00C144B1">
      <w:pPr>
        <w:pStyle w:val="Bulletlist2"/>
      </w:pPr>
      <w:r>
        <w:t>in the Danish EPA (Q)SAR Database as a predicted respiratory sensitiser</w:t>
      </w:r>
      <w:r w:rsidR="0013201C">
        <w:t xml:space="preserve"> </w:t>
      </w:r>
      <w:hyperlink r:id="rId17" w:history="1">
        <w:r w:rsidRPr="000F12C6">
          <w:rPr>
            <w:rStyle w:val="Hyperlink"/>
          </w:rPr>
          <w:t>(http://qsar.food.dtu.dk/)</w:t>
        </w:r>
      </w:hyperlink>
      <w:r>
        <w:t>, or</w:t>
      </w:r>
    </w:p>
    <w:p w14:paraId="3996F9FC" w14:textId="77777777" w:rsidR="008760C5" w:rsidRDefault="008760C5" w:rsidP="000A5B68">
      <w:pPr>
        <w:pStyle w:val="Bulletlist"/>
      </w:pPr>
      <w:r>
        <w:t>the chemical is an enzyme, or</w:t>
      </w:r>
    </w:p>
    <w:p w14:paraId="700110F6" w14:textId="77777777" w:rsidR="008760C5" w:rsidRDefault="008760C5" w:rsidP="000A5B68">
      <w:pPr>
        <w:pStyle w:val="Bulletlist"/>
      </w:pPr>
      <w:r>
        <w:t>the chemical is a polymer that contains one or more free isocyanate groups, or</w:t>
      </w:r>
    </w:p>
    <w:p w14:paraId="73F49417" w14:textId="6019044A" w:rsidR="008760C5" w:rsidRDefault="008760C5" w:rsidP="000A5B68">
      <w:pPr>
        <w:pStyle w:val="Bulletlist"/>
      </w:pPr>
      <w:r>
        <w:t xml:space="preserve">an in vivo study on the chemical indicates hypersensitivity of the airways, as discussed </w:t>
      </w:r>
      <w:r w:rsidR="00662B17">
        <w:t>in</w:t>
      </w:r>
      <w:r>
        <w:t xml:space="preserve"> chapter 3.4 of the GHS, or</w:t>
      </w:r>
    </w:p>
    <w:p w14:paraId="08E237C3" w14:textId="77777777" w:rsidR="008760C5" w:rsidRDefault="008760C5" w:rsidP="000A5B68">
      <w:pPr>
        <w:pStyle w:val="Bulletlist"/>
      </w:pPr>
      <w:r>
        <w:t>an in vitro study on the chemical:</w:t>
      </w:r>
    </w:p>
    <w:p w14:paraId="6981DBA0" w14:textId="77777777" w:rsidR="008760C5" w:rsidRDefault="008760C5" w:rsidP="00C144B1">
      <w:pPr>
        <w:pStyle w:val="Bulletlist2"/>
      </w:pPr>
      <w:r>
        <w:t xml:space="preserve">indicates hypersensitivity of the airways, as discussed in chapter 3.4 of the GHS, and </w:t>
      </w:r>
    </w:p>
    <w:p w14:paraId="35D37446" w14:textId="7CDCF408" w:rsidR="0084395C" w:rsidRDefault="008760C5" w:rsidP="00C144B1">
      <w:pPr>
        <w:pStyle w:val="Bulletlist2"/>
      </w:pPr>
      <w:r>
        <w:t>the result of the study has not been negated by in vivo studies conducted on the chemical for hypersensitivity of the airway</w:t>
      </w:r>
      <w:r w:rsidR="00093F41">
        <w:t>s</w:t>
      </w:r>
      <w:r w:rsidR="00662B17">
        <w:t>.</w:t>
      </w:r>
    </w:p>
    <w:p w14:paraId="0C207188" w14:textId="77777777" w:rsidR="00F51184" w:rsidRDefault="00F51184" w:rsidP="00794C60">
      <w:pPr>
        <w:pStyle w:val="Heading3"/>
      </w:pPr>
      <w:r>
        <w:t xml:space="preserve">6.9.2 </w:t>
      </w:r>
      <w:r w:rsidR="008312AF">
        <w:tab/>
      </w:r>
      <w:r>
        <w:t xml:space="preserve">Section 30 of the IC General Rules </w:t>
      </w:r>
      <w:r w:rsidR="005B0230">
        <w:t>–</w:t>
      </w:r>
      <w:r>
        <w:t xml:space="preserve"> Information required to demonstrate the absence of hazard characteristics </w:t>
      </w:r>
    </w:p>
    <w:p w14:paraId="53B0288D" w14:textId="77777777" w:rsidR="0084395C" w:rsidRDefault="00F51184" w:rsidP="5E1450C1">
      <w:r>
        <w:t xml:space="preserve">For the purposes of subparagraph 30(2)(c)(iv) of the IC General Rules, there are no information requirements to demonstrate the absence of the hazard characteristic, </w:t>
      </w:r>
      <w:r w:rsidRPr="00236656">
        <w:rPr>
          <w:b/>
          <w:bCs/>
        </w:rPr>
        <w:t>respiratory sensitisation</w:t>
      </w:r>
      <w:r>
        <w:t xml:space="preserve">. If you do </w:t>
      </w:r>
      <w:r>
        <w:lastRenderedPageBreak/>
        <w:t>not have any of the information detailed in part 6.9.1</w:t>
      </w:r>
      <w:r w:rsidR="0068714E">
        <w:rPr>
          <w:rStyle w:val="FootnoteReference"/>
        </w:rPr>
        <w:footnoteReference w:id="7"/>
      </w:r>
      <w:r w:rsidR="00583854">
        <w:t xml:space="preserve"> </w:t>
      </w:r>
      <w:r>
        <w:t xml:space="preserve">that demonstrates that the chemical has this hazard </w:t>
      </w:r>
      <w:proofErr w:type="gramStart"/>
      <w:r>
        <w:t>characteristic</w:t>
      </w:r>
      <w:proofErr w:type="gramEnd"/>
      <w:r>
        <w:t xml:space="preserve"> then you can assume it does not for the purposes of categorisation.</w:t>
      </w:r>
    </w:p>
    <w:p w14:paraId="28108144" w14:textId="77777777" w:rsidR="00C64F59" w:rsidRDefault="00C64F59" w:rsidP="00A8798E">
      <w:pPr>
        <w:pStyle w:val="Heading2"/>
      </w:pPr>
      <w:bookmarkStart w:id="25" w:name="_Toc238816817"/>
      <w:r>
        <w:t xml:space="preserve">6.10 </w:t>
      </w:r>
      <w:r w:rsidR="005778DD">
        <w:tab/>
      </w:r>
      <w:r>
        <w:t>Corrosive to the respiratory tract – Human health hazard band B</w:t>
      </w:r>
      <w:bookmarkEnd w:id="25"/>
    </w:p>
    <w:p w14:paraId="1C3BD197" w14:textId="77777777" w:rsidR="00C64F59" w:rsidRDefault="00C64F59" w:rsidP="00A8798E">
      <w:pPr>
        <w:pStyle w:val="Heading3"/>
      </w:pPr>
      <w:r>
        <w:t>6.10.1 Clause 2 of Part 1, Schedule 1 to the IC General Rules</w:t>
      </w:r>
    </w:p>
    <w:p w14:paraId="3DE45710" w14:textId="77777777" w:rsidR="00C64F59" w:rsidRDefault="00C64F59" w:rsidP="00C64F59">
      <w:r>
        <w:t>For the purposes of table item 8 of Clause 2, Part 1, Schedule 1 to the IC General Rules:</w:t>
      </w:r>
    </w:p>
    <w:p w14:paraId="7BECC60B" w14:textId="77777777" w:rsidR="00C64F59" w:rsidRDefault="00C64F59" w:rsidP="00C64F59">
      <w:r>
        <w:t>Corrosive to the respiratory tract means that any of the following apply to the industrial chemical:</w:t>
      </w:r>
    </w:p>
    <w:p w14:paraId="45768DE8" w14:textId="77777777" w:rsidR="00C64F59" w:rsidRDefault="00C64F59" w:rsidP="000A5B68">
      <w:pPr>
        <w:pStyle w:val="Bulletlist"/>
      </w:pPr>
      <w:r>
        <w:t xml:space="preserve">the chemical is known to cause destruction of the respiratory tract tissue, as described in chapter 3.1 of the GHS, with the chemical classified as corrosive to the respiratory tract (AUH071 </w:t>
      </w:r>
      <w:r w:rsidR="00EB1DE1">
        <w:t>–</w:t>
      </w:r>
      <w:r>
        <w:t xml:space="preserve"> non-GHS hazard statement), or</w:t>
      </w:r>
    </w:p>
    <w:p w14:paraId="702EC523" w14:textId="77777777" w:rsidR="00C64F59" w:rsidRDefault="00C64F59" w:rsidP="000A5B68">
      <w:pPr>
        <w:pStyle w:val="Bulletlist"/>
      </w:pPr>
      <w:r>
        <w:t>an in vivo study on the chemical conducted following an acceptable test guideline for acute inhalation toxicity, subacute inhalation toxicity or subchronic inhalation toxicity results in destruction of the respiratory tract, as described in chapter 3.1 of the GHS.</w:t>
      </w:r>
    </w:p>
    <w:p w14:paraId="4D4DB0F9" w14:textId="77777777" w:rsidR="00C64F59" w:rsidRDefault="00C64F59" w:rsidP="00A8798E">
      <w:pPr>
        <w:pStyle w:val="Heading3"/>
      </w:pPr>
      <w:r>
        <w:t xml:space="preserve">6.10.2 Section 30 of the IC General Rules </w:t>
      </w:r>
      <w:r w:rsidR="005B7E03">
        <w:t>–</w:t>
      </w:r>
      <w:r>
        <w:t xml:space="preserve"> Information required to demonstrate the absence of hazard characteristics </w:t>
      </w:r>
    </w:p>
    <w:p w14:paraId="388B119B" w14:textId="77777777" w:rsidR="00F93512" w:rsidRDefault="00C64F59" w:rsidP="00C64F59">
      <w:r>
        <w:t xml:space="preserve">For the purposes of subparagraph 30(2)(c)(iv) of the IC General Rules there are no information requirements to demonstrate the absence of the hazard characteristic, </w:t>
      </w:r>
      <w:r w:rsidRPr="00FA7117">
        <w:rPr>
          <w:b/>
          <w:bCs/>
        </w:rPr>
        <w:t>corrosive to the respiratory tract</w:t>
      </w:r>
      <w:r>
        <w:t xml:space="preserve">. If you do not have any of the information detailed in part 6.10.1 that demonstrates that the chemical has this hazard characteristic, then you can assume it does not for the purposes of </w:t>
      </w:r>
      <w:r w:rsidR="00FA7117">
        <w:t>c</w:t>
      </w:r>
      <w:r>
        <w:t>ategorisation.</w:t>
      </w:r>
    </w:p>
    <w:p w14:paraId="4A2F3648" w14:textId="77777777" w:rsidR="00890358" w:rsidRDefault="00890358" w:rsidP="00AF0A04">
      <w:pPr>
        <w:pStyle w:val="Heading2"/>
      </w:pPr>
      <w:bookmarkStart w:id="26" w:name="_Toc238816818"/>
      <w:r>
        <w:t>6.11 Specific target organ toxicity after a single exposure (significant toxicity) – Human health hazard band B</w:t>
      </w:r>
      <w:bookmarkEnd w:id="26"/>
    </w:p>
    <w:p w14:paraId="1042533B" w14:textId="77777777" w:rsidR="00890358" w:rsidRDefault="00890358" w:rsidP="00AF0A04">
      <w:pPr>
        <w:pStyle w:val="Heading3"/>
      </w:pPr>
      <w:r>
        <w:t>6.11.1</w:t>
      </w:r>
      <w:r w:rsidR="00C83BF7">
        <w:tab/>
      </w:r>
      <w:r>
        <w:t>Clause 2 of Part 1, Schedule 1 to the IC General Rules</w:t>
      </w:r>
    </w:p>
    <w:p w14:paraId="5B7FC790" w14:textId="77777777" w:rsidR="00890358" w:rsidRDefault="00890358" w:rsidP="00890358">
      <w:r>
        <w:t>For the purposes of table item 9 of Clause 2, Part 1, Schedule 1 of the IC General Rules:</w:t>
      </w:r>
    </w:p>
    <w:p w14:paraId="5017C3F1" w14:textId="77777777" w:rsidR="00890358" w:rsidRDefault="00890358" w:rsidP="00890358">
      <w:r w:rsidRPr="00F60FC9">
        <w:rPr>
          <w:b/>
          <w:bCs/>
        </w:rPr>
        <w:t>Specific target organ toxicity after a single exposure (significant toxicity)</w:t>
      </w:r>
      <w:r>
        <w:t xml:space="preserve"> means that any of the following apply to the industrial chemical:</w:t>
      </w:r>
    </w:p>
    <w:p w14:paraId="3AC4CC38" w14:textId="77777777" w:rsidR="00890358" w:rsidRDefault="00890358" w:rsidP="000A5B68">
      <w:pPr>
        <w:pStyle w:val="Bulletlist"/>
      </w:pPr>
      <w:r>
        <w:t>the chemical is known or presumed to produce significant toxicity in humans, as described in chapter 3.8 of the GHS, with the chemical classified as specific target organ toxicity – single exposure (category 1), or</w:t>
      </w:r>
    </w:p>
    <w:p w14:paraId="2ADB47C1" w14:textId="77777777" w:rsidR="00890358" w:rsidRDefault="00890358" w:rsidP="000A5B68">
      <w:pPr>
        <w:pStyle w:val="Bulletlist"/>
      </w:pPr>
      <w:r>
        <w:t>an in vivo study on the chemical:</w:t>
      </w:r>
    </w:p>
    <w:p w14:paraId="395C6E90" w14:textId="77777777" w:rsidR="00890358" w:rsidRDefault="00890358" w:rsidP="00C144B1">
      <w:pPr>
        <w:pStyle w:val="Bulletlist2"/>
      </w:pPr>
      <w:r>
        <w:lastRenderedPageBreak/>
        <w:t xml:space="preserve">conducted following an acceptable test guideline for acute oral toxicity results in significant toxic effects of relevance to human health, as discussed in </w:t>
      </w:r>
      <w:r w:rsidR="00C2128E">
        <w:t>c</w:t>
      </w:r>
      <w:r>
        <w:t>hapter 3.8 of the GHS, at ≤ 300 mg/kg bw, or</w:t>
      </w:r>
    </w:p>
    <w:p w14:paraId="2A0A4DAD" w14:textId="77777777" w:rsidR="00890358" w:rsidRDefault="00890358" w:rsidP="00C144B1">
      <w:pPr>
        <w:pStyle w:val="Bulletlist2"/>
      </w:pPr>
      <w:r>
        <w:t>conducted following an acceptable test guideline for acute dermal toxicity results in significant toxic effects of relevance to human health, as discussed in chapter 3.8 of the GHS, at ≤ 1,000 mg/kg bw, or</w:t>
      </w:r>
    </w:p>
    <w:p w14:paraId="6852A4A3" w14:textId="77777777" w:rsidR="00890358" w:rsidRDefault="00890358" w:rsidP="00C144B1">
      <w:pPr>
        <w:pStyle w:val="Bulletlist2"/>
      </w:pPr>
      <w:r>
        <w:t>conducted following an acceptable test guideline for acute inhalation toxicity</w:t>
      </w:r>
      <w:r w:rsidR="00C2128E">
        <w:t xml:space="preserve"> </w:t>
      </w:r>
      <w:r>
        <w:t>results in significant toxic effects of relevance to human health, as discussed in chapter 3.8 of the GHS:</w:t>
      </w:r>
    </w:p>
    <w:p w14:paraId="4582E34C" w14:textId="77777777" w:rsidR="00890358" w:rsidRDefault="00890358" w:rsidP="00103519">
      <w:pPr>
        <w:pStyle w:val="Bulletlist3"/>
      </w:pPr>
      <w:r>
        <w:t xml:space="preserve">for gases </w:t>
      </w:r>
      <w:bookmarkStart w:id="27" w:name="_Hlk177648028"/>
      <w:r w:rsidR="008177CA">
        <w:t>–</w:t>
      </w:r>
      <w:bookmarkEnd w:id="27"/>
      <w:r>
        <w:t xml:space="preserve"> ≤ 2,500 </w:t>
      </w:r>
      <w:proofErr w:type="spellStart"/>
      <w:r>
        <w:t>ppmV</w:t>
      </w:r>
      <w:proofErr w:type="spellEnd"/>
      <w:r>
        <w:t>/4h, or</w:t>
      </w:r>
    </w:p>
    <w:p w14:paraId="4956AB88" w14:textId="77777777" w:rsidR="00890358" w:rsidRDefault="00890358" w:rsidP="00103519">
      <w:pPr>
        <w:pStyle w:val="Bulletlist3"/>
      </w:pPr>
      <w:r>
        <w:t xml:space="preserve">for vapours </w:t>
      </w:r>
      <w:r w:rsidR="008177CA">
        <w:t>–</w:t>
      </w:r>
      <w:r>
        <w:t xml:space="preserve"> ≤ 10 mg/L/4h, or</w:t>
      </w:r>
    </w:p>
    <w:p w14:paraId="1CFF60D7" w14:textId="77777777" w:rsidR="00FA7117" w:rsidRDefault="00890358" w:rsidP="00103519">
      <w:pPr>
        <w:pStyle w:val="Bulletlist3"/>
      </w:pPr>
      <w:r>
        <w:t xml:space="preserve">for dusts/mists/fumes </w:t>
      </w:r>
      <w:r w:rsidR="004D5A24">
        <w:t>–</w:t>
      </w:r>
      <w:r>
        <w:t xml:space="preserve"> ≤ 1 mg/L/4h.</w:t>
      </w:r>
    </w:p>
    <w:p w14:paraId="0C32E92E" w14:textId="77777777" w:rsidR="00DC45C7" w:rsidRDefault="00DC45C7" w:rsidP="005973F0">
      <w:pPr>
        <w:pStyle w:val="Heading3"/>
      </w:pPr>
      <w:r>
        <w:t>6.11.2</w:t>
      </w:r>
      <w:r w:rsidR="00C83BF7">
        <w:tab/>
      </w:r>
      <w:r>
        <w:t xml:space="preserve">Section 30 of the IC General Rules </w:t>
      </w:r>
      <w:r w:rsidR="005B7E03">
        <w:t>–</w:t>
      </w:r>
      <w:r>
        <w:t xml:space="preserve"> Information required to demonstrate the absence of hazard characteristics</w:t>
      </w:r>
    </w:p>
    <w:p w14:paraId="182851B8" w14:textId="77777777" w:rsidR="00DC45C7" w:rsidRDefault="00DC45C7" w:rsidP="00DC45C7">
      <w:r>
        <w:t xml:space="preserve">For the purposes of subparagraph 30(2)(c)(iv) of the IC General Rules there are no information requirements to demonstrate the absence of the hazard characteristic, </w:t>
      </w:r>
      <w:r w:rsidRPr="00165DCF">
        <w:rPr>
          <w:b/>
          <w:bCs/>
        </w:rPr>
        <w:t>specific target organ toxicity after a single exposure (significant toxicity)</w:t>
      </w:r>
      <w:r>
        <w:t>. If you do not have any of the information detailed in part 6.11.1 that demonstrates that the chemical has this hazard characteristic, then you can assume it does not for the purposes of categorisation.</w:t>
      </w:r>
    </w:p>
    <w:p w14:paraId="5DD3C8AC" w14:textId="77777777" w:rsidR="00DC45C7" w:rsidRDefault="00DC45C7" w:rsidP="00FF5400">
      <w:pPr>
        <w:pStyle w:val="Heading2"/>
      </w:pPr>
      <w:bookmarkStart w:id="28" w:name="_Toc238816819"/>
      <w:r>
        <w:t>6.12</w:t>
      </w:r>
      <w:r w:rsidR="00C83BF7">
        <w:tab/>
      </w:r>
      <w:r>
        <w:t>Skin corrosion – Human health hazard band B</w:t>
      </w:r>
      <w:bookmarkEnd w:id="28"/>
    </w:p>
    <w:p w14:paraId="20C65D9B" w14:textId="77777777" w:rsidR="00DC45C7" w:rsidRDefault="00DC45C7" w:rsidP="003A50D0">
      <w:pPr>
        <w:pStyle w:val="Heading3"/>
      </w:pPr>
      <w:r>
        <w:t>6.12.1</w:t>
      </w:r>
      <w:r w:rsidR="00C83BF7">
        <w:tab/>
      </w:r>
      <w:r>
        <w:t>Clause 2 of Part 1, Schedule 1 to the IC General Rules</w:t>
      </w:r>
    </w:p>
    <w:p w14:paraId="7501C518" w14:textId="77777777" w:rsidR="00DC45C7" w:rsidRDefault="00DC45C7" w:rsidP="00DC45C7">
      <w:r>
        <w:t>For the purposes of table item 10 of Clause 2, Part 1, Schedule 1 to the IC General Rules:</w:t>
      </w:r>
    </w:p>
    <w:p w14:paraId="5FF315FD" w14:textId="77777777" w:rsidR="00DC45C7" w:rsidRDefault="00DC45C7" w:rsidP="00DC45C7">
      <w:r w:rsidRPr="00D87C58">
        <w:rPr>
          <w:b/>
          <w:bCs/>
        </w:rPr>
        <w:t>Skin corrosion</w:t>
      </w:r>
      <w:r>
        <w:t xml:space="preserve"> means that any of the following apply to the industrial chemical:</w:t>
      </w:r>
    </w:p>
    <w:p w14:paraId="0B9F76E3" w14:textId="77777777" w:rsidR="00DC45C7" w:rsidRDefault="00DC45C7" w:rsidP="000A5B68">
      <w:pPr>
        <w:pStyle w:val="Bulletlist"/>
      </w:pPr>
      <w:r>
        <w:t>the chemical is known to produce irreversible damage to the skin, as described in chapter 3.2 of the GHS, with the chemical classified as skin corrosion (category 1), or</w:t>
      </w:r>
    </w:p>
    <w:p w14:paraId="7FA08C1F" w14:textId="77777777" w:rsidR="00DC45C7" w:rsidRDefault="00DC45C7" w:rsidP="000A5B68">
      <w:pPr>
        <w:pStyle w:val="Bulletlist"/>
      </w:pPr>
      <w:r>
        <w:t>an in vitro study on the chemical conducted following an acceptable test guideline</w:t>
      </w:r>
      <w:r w:rsidR="002D4036">
        <w:t xml:space="preserve"> </w:t>
      </w:r>
      <w:r>
        <w:t>for skin corrosion results in the prediction of skin corrosion effects, or</w:t>
      </w:r>
    </w:p>
    <w:p w14:paraId="4D2C812A" w14:textId="77777777" w:rsidR="00DC45C7" w:rsidRDefault="00DC45C7" w:rsidP="000A5B68">
      <w:pPr>
        <w:pStyle w:val="Bulletlist"/>
      </w:pPr>
      <w:r>
        <w:t>an in vivo study on the chemical conducted following an acceptable test guideline for skin irritation results in destruction of skin tissue, as described for skin corrosion in chapter 3.2 of the GHS, or</w:t>
      </w:r>
    </w:p>
    <w:p w14:paraId="3F64047F" w14:textId="77777777" w:rsidR="00F93512" w:rsidRDefault="00DC45C7" w:rsidP="000A5B68">
      <w:pPr>
        <w:pStyle w:val="Bulletlist"/>
      </w:pPr>
      <w:r>
        <w:t>the chemical is a pyrophoric liquid or a pyrophoric solid, as described in chapters 2.9 and 2.10 of the GHS respectively.</w:t>
      </w:r>
    </w:p>
    <w:p w14:paraId="7B0D469D" w14:textId="77777777" w:rsidR="00BD1275" w:rsidRDefault="00BD1275" w:rsidP="005B2DFC">
      <w:pPr>
        <w:pStyle w:val="Heading3"/>
      </w:pPr>
      <w:r>
        <w:t>6.12.2</w:t>
      </w:r>
      <w:r w:rsidR="00C83BF7">
        <w:tab/>
      </w:r>
      <w:r>
        <w:t xml:space="preserve">Section 30 of the IC General Rules </w:t>
      </w:r>
      <w:r w:rsidR="005B7E03">
        <w:t>–</w:t>
      </w:r>
      <w:r>
        <w:t xml:space="preserve"> Information required to demonstrate the absence of hazard characteristics </w:t>
      </w:r>
    </w:p>
    <w:p w14:paraId="475AE401" w14:textId="77777777" w:rsidR="00BD1275" w:rsidRDefault="00BD1275" w:rsidP="00BD1275">
      <w:r>
        <w:t xml:space="preserve">For the purposes of subparagraph 30(2)(c)(iv) of the IC General Rules, the information required to demonstrate that a chemical does not have the hazard characteristic, </w:t>
      </w:r>
      <w:r w:rsidRPr="005B2DFC">
        <w:rPr>
          <w:b/>
          <w:bCs/>
        </w:rPr>
        <w:t>skin corrosion</w:t>
      </w:r>
      <w:r>
        <w:t>, is at least one of the following:</w:t>
      </w:r>
    </w:p>
    <w:p w14:paraId="04E9D4A8" w14:textId="77777777" w:rsidR="00BD1275" w:rsidRDefault="00BD1275" w:rsidP="000A5B68">
      <w:pPr>
        <w:pStyle w:val="Bulletlist"/>
      </w:pPr>
      <w:r>
        <w:t>information</w:t>
      </w:r>
      <w:bookmarkStart w:id="29" w:name="_Ref191044812"/>
      <w:r w:rsidR="00945AA8">
        <w:rPr>
          <w:rStyle w:val="FootnoteReference"/>
        </w:rPr>
        <w:footnoteReference w:id="8"/>
      </w:r>
      <w:bookmarkEnd w:id="29"/>
      <w:r w:rsidR="004601BB">
        <w:t xml:space="preserve"> </w:t>
      </w:r>
      <w:r>
        <w:t>that demonstrates that the chemical is a high molecular weight polymer that does not contain any of the following reactive functional groups:</w:t>
      </w:r>
    </w:p>
    <w:p w14:paraId="198FDFCA" w14:textId="77777777" w:rsidR="00BD1275" w:rsidRDefault="00BD1275" w:rsidP="00C144B1">
      <w:pPr>
        <w:pStyle w:val="Bulletlist2"/>
      </w:pPr>
      <w:r>
        <w:t>anhydride, or</w:t>
      </w:r>
    </w:p>
    <w:p w14:paraId="3F89090C" w14:textId="77777777" w:rsidR="00BD1275" w:rsidRDefault="00BD1275" w:rsidP="00C144B1">
      <w:pPr>
        <w:pStyle w:val="Bulletlist2"/>
      </w:pPr>
      <w:r>
        <w:lastRenderedPageBreak/>
        <w:t>epoxide, or</w:t>
      </w:r>
    </w:p>
    <w:p w14:paraId="072CE1D6" w14:textId="77777777" w:rsidR="00BD1275" w:rsidRDefault="00BD1275" w:rsidP="00C144B1">
      <w:pPr>
        <w:pStyle w:val="Bulletlist2"/>
      </w:pPr>
      <w:r>
        <w:t>sulfonic acid, or</w:t>
      </w:r>
    </w:p>
    <w:p w14:paraId="5FE0855D" w14:textId="77777777" w:rsidR="00BD1275" w:rsidRDefault="00BD1275" w:rsidP="00C144B1">
      <w:pPr>
        <w:pStyle w:val="Bulletlist2"/>
      </w:pPr>
      <w:r>
        <w:t>amine, or</w:t>
      </w:r>
    </w:p>
    <w:p w14:paraId="43692A96" w14:textId="2F3CC769" w:rsidR="00BD1275" w:rsidRDefault="00BD1275" w:rsidP="000A5B68">
      <w:pPr>
        <w:pStyle w:val="Bulletlist"/>
      </w:pPr>
      <w:r>
        <w:t>information</w:t>
      </w:r>
      <w:bookmarkStart w:id="30" w:name="_Ref191386679"/>
      <w:r w:rsidR="0074168E">
        <w:rPr>
          <w:rStyle w:val="FootnoteReference"/>
        </w:rPr>
        <w:footnoteReference w:id="9"/>
      </w:r>
      <w:bookmarkEnd w:id="30"/>
      <w:r w:rsidR="009D4A7C">
        <w:t xml:space="preserve"> </w:t>
      </w:r>
      <w:r>
        <w:t>that demonstrates that the chemical is a high molecular weight polymer that contains any of the following reactive functional groups and the polymer has a combined functional group equivalent weight of ≥</w:t>
      </w:r>
      <w:r w:rsidR="00AE6933">
        <w:t xml:space="preserve"> </w:t>
      </w:r>
      <w:r>
        <w:t>1,000 g/mol:</w:t>
      </w:r>
    </w:p>
    <w:p w14:paraId="34938240" w14:textId="77777777" w:rsidR="00BD1275" w:rsidRDefault="00BD1275" w:rsidP="00C144B1">
      <w:pPr>
        <w:pStyle w:val="Bulletlist2"/>
      </w:pPr>
      <w:r>
        <w:t>anhydride, or</w:t>
      </w:r>
    </w:p>
    <w:p w14:paraId="19F8AF36" w14:textId="77777777" w:rsidR="00BD1275" w:rsidRDefault="00BD1275" w:rsidP="00C144B1">
      <w:pPr>
        <w:pStyle w:val="Bulletlist2"/>
      </w:pPr>
      <w:r>
        <w:t>epoxide, or</w:t>
      </w:r>
    </w:p>
    <w:p w14:paraId="74667BE9" w14:textId="77777777" w:rsidR="00BD1275" w:rsidRDefault="00BD1275" w:rsidP="00C144B1">
      <w:pPr>
        <w:pStyle w:val="Bulletlist2"/>
      </w:pPr>
      <w:r>
        <w:t>sulfonic acid, or</w:t>
      </w:r>
    </w:p>
    <w:p w14:paraId="1AAC9CEC" w14:textId="77777777" w:rsidR="00BD1275" w:rsidRDefault="00BD1275" w:rsidP="00C144B1">
      <w:pPr>
        <w:pStyle w:val="Bulletlist2"/>
      </w:pPr>
      <w:r>
        <w:t>amine, or</w:t>
      </w:r>
    </w:p>
    <w:p w14:paraId="6B0CC633" w14:textId="77777777" w:rsidR="00AE4DCA" w:rsidRDefault="00BD1275" w:rsidP="000A5B68">
      <w:pPr>
        <w:pStyle w:val="Bulletlist"/>
      </w:pPr>
      <w:r>
        <w:t>if the human health exposure band for the introduction is 3</w:t>
      </w:r>
      <w:r w:rsidR="000E34D3">
        <w:rPr>
          <w:rStyle w:val="FootnoteReference"/>
        </w:rPr>
        <w:footnoteReference w:id="10"/>
      </w:r>
      <w:r w:rsidR="009D4A7C">
        <w:t xml:space="preserve"> </w:t>
      </w:r>
      <w:r w:rsidR="001B2B6C">
        <w:t>–</w:t>
      </w:r>
      <w:r>
        <w:t xml:space="preserve"> a suitable in silico prediction indicating that the chemical is not irritating to skin or has no alerting groups for skin irritation, or</w:t>
      </w:r>
    </w:p>
    <w:p w14:paraId="641C82C5" w14:textId="3A97C490" w:rsidR="00BD1275" w:rsidRDefault="00BD1275" w:rsidP="000A5B68">
      <w:pPr>
        <w:pStyle w:val="Bulletlist"/>
      </w:pPr>
      <w:r>
        <w:t>test results</w:t>
      </w:r>
      <w:r w:rsidR="0074168E">
        <w:rPr>
          <w:vertAlign w:val="superscript"/>
        </w:rPr>
        <w:fldChar w:fldCharType="begin"/>
      </w:r>
      <w:r w:rsidR="0074168E">
        <w:instrText xml:space="preserve"> NOTEREF _Ref191386679 \f \h </w:instrText>
      </w:r>
      <w:r w:rsidR="0074168E">
        <w:rPr>
          <w:vertAlign w:val="superscript"/>
        </w:rPr>
      </w:r>
      <w:r w:rsidR="0074168E">
        <w:rPr>
          <w:vertAlign w:val="superscript"/>
        </w:rPr>
        <w:fldChar w:fldCharType="separate"/>
      </w:r>
      <w:r w:rsidR="00791D8C" w:rsidRPr="00791D8C">
        <w:rPr>
          <w:rStyle w:val="FootnoteReference"/>
        </w:rPr>
        <w:t>8</w:t>
      </w:r>
      <w:r w:rsidR="0074168E">
        <w:rPr>
          <w:vertAlign w:val="superscript"/>
        </w:rPr>
        <w:fldChar w:fldCharType="end"/>
      </w:r>
      <w:r w:rsidR="00A16002" w:rsidRPr="00791D8C">
        <w:rPr>
          <w:vertAlign w:val="superscript"/>
        </w:rPr>
        <w:t xml:space="preserve"> </w:t>
      </w:r>
      <w:r>
        <w:t>from an in vitro study on the chemical or from suitable read</w:t>
      </w:r>
      <w:r w:rsidR="00A16002">
        <w:t>-</w:t>
      </w:r>
      <w:r>
        <w:t>across information, conducted following an acceptable test guideline for skin corrosion, with a non-corrosive prediction, or</w:t>
      </w:r>
    </w:p>
    <w:p w14:paraId="34D19D4D" w14:textId="590DE323" w:rsidR="00BD1275" w:rsidRDefault="00BD1275" w:rsidP="000A5B68">
      <w:pPr>
        <w:pStyle w:val="Bulletlist"/>
      </w:pPr>
      <w:r>
        <w:t>test results</w:t>
      </w:r>
      <w:r w:rsidR="0074168E">
        <w:rPr>
          <w:vertAlign w:val="superscript"/>
        </w:rPr>
        <w:fldChar w:fldCharType="begin"/>
      </w:r>
      <w:r w:rsidR="0074168E">
        <w:instrText xml:space="preserve"> NOTEREF _Ref191386679 \f \h </w:instrText>
      </w:r>
      <w:r w:rsidR="0074168E">
        <w:rPr>
          <w:vertAlign w:val="superscript"/>
        </w:rPr>
      </w:r>
      <w:r w:rsidR="0074168E">
        <w:rPr>
          <w:vertAlign w:val="superscript"/>
        </w:rPr>
        <w:fldChar w:fldCharType="separate"/>
      </w:r>
      <w:r w:rsidR="00791D8C" w:rsidRPr="00791D8C">
        <w:rPr>
          <w:rStyle w:val="FootnoteReference"/>
        </w:rPr>
        <w:t>8</w:t>
      </w:r>
      <w:r w:rsidR="0074168E">
        <w:rPr>
          <w:vertAlign w:val="superscript"/>
        </w:rPr>
        <w:fldChar w:fldCharType="end"/>
      </w:r>
      <w:r w:rsidR="00762ED2" w:rsidRPr="00791D8C">
        <w:rPr>
          <w:vertAlign w:val="superscript"/>
        </w:rPr>
        <w:t xml:space="preserve"> </w:t>
      </w:r>
      <w:r>
        <w:t>from an in vitro study on the chemical or from suitable read across information, conducted following an acceptable test guideline for skin irritation, with a non-irritant prediction, or</w:t>
      </w:r>
    </w:p>
    <w:p w14:paraId="688C75BA" w14:textId="29AC0D4B" w:rsidR="0058047E" w:rsidRDefault="00BD1275" w:rsidP="000A5B68">
      <w:pPr>
        <w:pStyle w:val="Bulletlist"/>
      </w:pPr>
      <w:r>
        <w:t>test results</w:t>
      </w:r>
      <w:r w:rsidR="0074168E">
        <w:rPr>
          <w:vertAlign w:val="superscript"/>
        </w:rPr>
        <w:fldChar w:fldCharType="begin"/>
      </w:r>
      <w:r w:rsidR="0074168E">
        <w:rPr>
          <w:vertAlign w:val="superscript"/>
        </w:rPr>
        <w:instrText xml:space="preserve"> NOTEREF _Ref191386679 \f \h </w:instrText>
      </w:r>
      <w:r w:rsidR="0074168E">
        <w:rPr>
          <w:vertAlign w:val="superscript"/>
        </w:rPr>
      </w:r>
      <w:r w:rsidR="0074168E">
        <w:rPr>
          <w:vertAlign w:val="superscript"/>
        </w:rPr>
        <w:fldChar w:fldCharType="separate"/>
      </w:r>
      <w:r w:rsidR="00791D8C" w:rsidRPr="00791D8C">
        <w:rPr>
          <w:rStyle w:val="FootnoteReference"/>
        </w:rPr>
        <w:t>8</w:t>
      </w:r>
      <w:r w:rsidR="0074168E">
        <w:rPr>
          <w:vertAlign w:val="superscript"/>
        </w:rPr>
        <w:fldChar w:fldCharType="end"/>
      </w:r>
      <w:r w:rsidR="00762ED2">
        <w:t xml:space="preserve"> </w:t>
      </w:r>
      <w:r>
        <w:t>from an in vivo study on the chemical or from suitable read across information, conducted following an acceptable test guideline for skin irritation, which does not result in destruction of skin tissue, as described for skin corrosion</w:t>
      </w:r>
      <w:r w:rsidR="00A64021">
        <w:t xml:space="preserve"> (category 1)</w:t>
      </w:r>
      <w:r>
        <w:t xml:space="preserve"> in chapter 3.2 of the GHS.</w:t>
      </w:r>
    </w:p>
    <w:p w14:paraId="6F8D49D8" w14:textId="77777777" w:rsidR="001B585C" w:rsidRDefault="001B585C" w:rsidP="009224B7">
      <w:pPr>
        <w:pStyle w:val="Heading2"/>
      </w:pPr>
      <w:bookmarkStart w:id="31" w:name="_Toc238816820"/>
      <w:r>
        <w:t>6.13</w:t>
      </w:r>
      <w:r w:rsidR="00C83BF7">
        <w:tab/>
      </w:r>
      <w:r>
        <w:t>Eye damage – Human health hazard band B</w:t>
      </w:r>
      <w:bookmarkEnd w:id="31"/>
    </w:p>
    <w:p w14:paraId="1A56C52E" w14:textId="77777777" w:rsidR="001B585C" w:rsidRDefault="001B585C" w:rsidP="009224B7">
      <w:pPr>
        <w:pStyle w:val="Heading3"/>
      </w:pPr>
      <w:r>
        <w:t>6.13.1</w:t>
      </w:r>
      <w:r w:rsidR="00C83BF7">
        <w:tab/>
      </w:r>
      <w:r>
        <w:t>Clause 2 of Part 1, Schedule 1 to the IC General Rules</w:t>
      </w:r>
    </w:p>
    <w:p w14:paraId="0DD723CC" w14:textId="77777777" w:rsidR="001B585C" w:rsidRDefault="001B585C" w:rsidP="001B585C">
      <w:r>
        <w:t>For the purposes of table item 11 of Clause 2, Part 1, Schedule 1 to the IC General Rules:</w:t>
      </w:r>
    </w:p>
    <w:p w14:paraId="1184F16D" w14:textId="77777777" w:rsidR="001B585C" w:rsidRDefault="001B585C" w:rsidP="001B585C">
      <w:r w:rsidRPr="006A7A6E">
        <w:rPr>
          <w:b/>
          <w:bCs/>
        </w:rPr>
        <w:t>Eye damage</w:t>
      </w:r>
      <w:r>
        <w:t xml:space="preserve"> means that any of the following apply to the industrial chemical:</w:t>
      </w:r>
    </w:p>
    <w:p w14:paraId="342E8B6F" w14:textId="77777777" w:rsidR="001B585C" w:rsidRDefault="001B585C" w:rsidP="000A5B68">
      <w:pPr>
        <w:pStyle w:val="Bulletlist"/>
      </w:pPr>
      <w:r>
        <w:t>the chemical is known to produce serious eye damage, as described in chapter 3.3 of the GHS, with the chemical classified as eye damage (category 1), or</w:t>
      </w:r>
    </w:p>
    <w:p w14:paraId="78A7FAEF" w14:textId="77777777" w:rsidR="001B585C" w:rsidRDefault="001B585C" w:rsidP="000A5B68">
      <w:pPr>
        <w:pStyle w:val="Bulletlist"/>
      </w:pPr>
      <w:r>
        <w:t>an in vitro study on the chemical conducted following an acceptable test guideline</w:t>
      </w:r>
      <w:r w:rsidR="004C0F33">
        <w:t xml:space="preserve"> </w:t>
      </w:r>
      <w:r>
        <w:t>for eye damage results in the prediction of serious eye damage effects, or</w:t>
      </w:r>
    </w:p>
    <w:p w14:paraId="5F52AC51" w14:textId="77777777" w:rsidR="001B585C" w:rsidRDefault="001B585C" w:rsidP="000A5B68">
      <w:pPr>
        <w:pStyle w:val="Bulletlist"/>
      </w:pPr>
      <w:r>
        <w:t>an in vivo study on the chemical conducted following an acceptable test guideline for eye irritation results in effects on the eye, as described for serious eye damage in chapter 3.3 of the GHS, or</w:t>
      </w:r>
    </w:p>
    <w:p w14:paraId="01A98542" w14:textId="77777777" w:rsidR="001B585C" w:rsidRDefault="001B585C" w:rsidP="000A5B68">
      <w:pPr>
        <w:pStyle w:val="Bulletlist"/>
      </w:pPr>
      <w:r>
        <w:t xml:space="preserve">the chemical is a pyrophoric liquid or a pyrophoric solid, as described in chapters 2.9 and 2.10 of the GHS, respectively. </w:t>
      </w:r>
    </w:p>
    <w:p w14:paraId="5F69E2AE" w14:textId="77777777" w:rsidR="001B585C" w:rsidRDefault="001B585C" w:rsidP="004C0F33">
      <w:pPr>
        <w:pStyle w:val="Heading3"/>
      </w:pPr>
      <w:r>
        <w:t>6.13.2</w:t>
      </w:r>
      <w:r w:rsidR="00C83BF7">
        <w:tab/>
      </w:r>
      <w:r>
        <w:t xml:space="preserve">Section 30 of the IC General Rules </w:t>
      </w:r>
      <w:r w:rsidR="005B7E03">
        <w:t>–</w:t>
      </w:r>
      <w:r>
        <w:t xml:space="preserve"> Information required to demonstrate the absence of hazard characteristics </w:t>
      </w:r>
    </w:p>
    <w:p w14:paraId="7C2A25C5" w14:textId="77777777" w:rsidR="001B585C" w:rsidRDefault="001B585C" w:rsidP="001B585C">
      <w:r>
        <w:t xml:space="preserve">For the purposes of subparagraph 30(2)(c)(iv) of the IC General Rules, the information required to demonstrate that a chemical does not have the hazard characteristic, </w:t>
      </w:r>
      <w:r w:rsidRPr="00D21BA6">
        <w:rPr>
          <w:b/>
          <w:bCs/>
        </w:rPr>
        <w:t>eye damage</w:t>
      </w:r>
      <w:r>
        <w:t>, is at least one of the following:</w:t>
      </w:r>
    </w:p>
    <w:p w14:paraId="77F7E5D5" w14:textId="678ADC59" w:rsidR="001B585C" w:rsidRDefault="001B585C" w:rsidP="000A5B68">
      <w:pPr>
        <w:pStyle w:val="Bulletlist"/>
      </w:pPr>
      <w:r>
        <w:lastRenderedPageBreak/>
        <w:t>information</w:t>
      </w:r>
      <w:bookmarkStart w:id="32" w:name="_Ref191045570"/>
      <w:r w:rsidR="00410301">
        <w:rPr>
          <w:rStyle w:val="FootnoteReference"/>
        </w:rPr>
        <w:footnoteReference w:id="11"/>
      </w:r>
      <w:bookmarkEnd w:id="32"/>
      <w:r>
        <w:t xml:space="preserve"> that demonstrates that the chemical is a high molecular weight polymer that does not contain any of the following reactive functional groups:</w:t>
      </w:r>
    </w:p>
    <w:p w14:paraId="7C39128A" w14:textId="77777777" w:rsidR="001B585C" w:rsidRDefault="001B585C" w:rsidP="00C144B1">
      <w:pPr>
        <w:pStyle w:val="Bulletlist2"/>
      </w:pPr>
      <w:r>
        <w:t>anhydride, or</w:t>
      </w:r>
    </w:p>
    <w:p w14:paraId="34892335" w14:textId="77777777" w:rsidR="001B585C" w:rsidRDefault="001B585C" w:rsidP="00C144B1">
      <w:pPr>
        <w:pStyle w:val="Bulletlist2"/>
      </w:pPr>
      <w:r>
        <w:t>epoxide, or</w:t>
      </w:r>
    </w:p>
    <w:p w14:paraId="0C187176" w14:textId="77777777" w:rsidR="001B585C" w:rsidRDefault="001B585C" w:rsidP="00C144B1">
      <w:pPr>
        <w:pStyle w:val="Bulletlist2"/>
      </w:pPr>
      <w:r>
        <w:t>sulfonic acid, or</w:t>
      </w:r>
    </w:p>
    <w:p w14:paraId="20C5811A" w14:textId="77777777" w:rsidR="001B585C" w:rsidRDefault="001B585C" w:rsidP="00C144B1">
      <w:pPr>
        <w:pStyle w:val="Bulletlist2"/>
      </w:pPr>
      <w:r>
        <w:t>amine, or</w:t>
      </w:r>
    </w:p>
    <w:p w14:paraId="53F695FD" w14:textId="760977C0" w:rsidR="001B585C" w:rsidRDefault="001B585C" w:rsidP="000A5B68">
      <w:pPr>
        <w:pStyle w:val="Bulletlist"/>
      </w:pPr>
      <w:r>
        <w:t>information</w:t>
      </w:r>
      <w:r w:rsidR="001F7FF6">
        <w:fldChar w:fldCharType="begin"/>
      </w:r>
      <w:r w:rsidR="001F7FF6">
        <w:instrText xml:space="preserve"> NOTEREF _Ref191045570 \h  \* MERGEFORMAT </w:instrText>
      </w:r>
      <w:r w:rsidR="001F7FF6">
        <w:fldChar w:fldCharType="separate"/>
      </w:r>
      <w:r w:rsidR="00791D8C" w:rsidRPr="00791D8C">
        <w:rPr>
          <w:vertAlign w:val="superscript"/>
        </w:rPr>
        <w:t>10</w:t>
      </w:r>
      <w:r w:rsidR="001F7FF6">
        <w:fldChar w:fldCharType="end"/>
      </w:r>
      <w:r>
        <w:t xml:space="preserve"> that demonstrates that the chemical is a high molecular weight polymer that contains any of the following reactive functional groups with a combined functional group equivalent weight of ≥ 1,000 g/mol:</w:t>
      </w:r>
    </w:p>
    <w:p w14:paraId="35E4F90E" w14:textId="77777777" w:rsidR="001B585C" w:rsidRDefault="001B585C" w:rsidP="00C144B1">
      <w:pPr>
        <w:pStyle w:val="Bulletlist2"/>
      </w:pPr>
      <w:r>
        <w:t>anhydride, or</w:t>
      </w:r>
    </w:p>
    <w:p w14:paraId="2C336860" w14:textId="77777777" w:rsidR="001B585C" w:rsidRDefault="001B585C" w:rsidP="00C144B1">
      <w:pPr>
        <w:pStyle w:val="Bulletlist2"/>
      </w:pPr>
      <w:r>
        <w:t>epoxide, or</w:t>
      </w:r>
    </w:p>
    <w:p w14:paraId="4B37FFFE" w14:textId="77777777" w:rsidR="001B585C" w:rsidRDefault="001B585C" w:rsidP="00C144B1">
      <w:pPr>
        <w:pStyle w:val="Bulletlist2"/>
      </w:pPr>
      <w:r>
        <w:t>sulfonic acid, or</w:t>
      </w:r>
    </w:p>
    <w:p w14:paraId="3E649A4D" w14:textId="77777777" w:rsidR="001B585C" w:rsidRDefault="001B585C" w:rsidP="00C144B1">
      <w:pPr>
        <w:pStyle w:val="Bulletlist2"/>
      </w:pPr>
      <w:r>
        <w:t>amine, or</w:t>
      </w:r>
    </w:p>
    <w:p w14:paraId="34804C72" w14:textId="77777777" w:rsidR="001B585C" w:rsidRDefault="001B585C" w:rsidP="000A5B68">
      <w:pPr>
        <w:pStyle w:val="Bulletlist"/>
      </w:pPr>
      <w:r>
        <w:t>if the human health exposure band for the introduction is 3</w:t>
      </w:r>
      <w:r w:rsidR="00F7498D">
        <w:rPr>
          <w:rStyle w:val="FootnoteReference"/>
        </w:rPr>
        <w:footnoteReference w:id="12"/>
      </w:r>
      <w:r w:rsidR="00401A19">
        <w:t>–</w:t>
      </w:r>
      <w:r>
        <w:t xml:space="preserve"> a suitable in silico</w:t>
      </w:r>
      <w:r w:rsidR="00BD0DDB">
        <w:t xml:space="preserve"> </w:t>
      </w:r>
      <w:r>
        <w:t>prediction indicating that the chemical is not irritating to the eye, or</w:t>
      </w:r>
    </w:p>
    <w:p w14:paraId="39018E67" w14:textId="1C420C4B" w:rsidR="00B83F21" w:rsidRDefault="001B585C" w:rsidP="000A5B68">
      <w:pPr>
        <w:pStyle w:val="Bulletlist"/>
      </w:pPr>
      <w:r>
        <w:t>test results</w:t>
      </w:r>
      <w:r w:rsidR="001F7FF6" w:rsidRPr="00791D8C">
        <w:rPr>
          <w:vertAlign w:val="superscript"/>
        </w:rPr>
        <w:fldChar w:fldCharType="begin"/>
      </w:r>
      <w:r w:rsidR="001F7FF6" w:rsidRPr="00791D8C">
        <w:rPr>
          <w:vertAlign w:val="superscript"/>
        </w:rPr>
        <w:instrText xml:space="preserve"> NOTEREF _Ref191045570 \h </w:instrText>
      </w:r>
      <w:r w:rsidR="001F7FF6">
        <w:rPr>
          <w:vertAlign w:val="superscript"/>
        </w:rPr>
        <w:instrText xml:space="preserve"> \* MERGEFORMAT </w:instrText>
      </w:r>
      <w:r w:rsidR="001F7FF6" w:rsidRPr="00791D8C">
        <w:rPr>
          <w:vertAlign w:val="superscript"/>
        </w:rPr>
      </w:r>
      <w:r w:rsidR="001F7FF6" w:rsidRPr="00791D8C">
        <w:rPr>
          <w:vertAlign w:val="superscript"/>
        </w:rPr>
        <w:fldChar w:fldCharType="separate"/>
      </w:r>
      <w:r w:rsidR="00791D8C">
        <w:rPr>
          <w:vertAlign w:val="superscript"/>
        </w:rPr>
        <w:t>10</w:t>
      </w:r>
      <w:r w:rsidR="001F7FF6" w:rsidRPr="00791D8C">
        <w:rPr>
          <w:vertAlign w:val="superscript"/>
        </w:rPr>
        <w:fldChar w:fldCharType="end"/>
      </w:r>
      <w:r w:rsidRPr="00791D8C">
        <w:rPr>
          <w:vertAlign w:val="superscript"/>
        </w:rPr>
        <w:t xml:space="preserve"> </w:t>
      </w:r>
      <w:r>
        <w:t>from an in vitro study on the chemical or from suitable read</w:t>
      </w:r>
      <w:r w:rsidR="00A36AFB">
        <w:t>-</w:t>
      </w:r>
      <w:r>
        <w:t>across information, conducted following an acceptable test guideline for eye damage, which predicts the chemical would not induce serious eye damage</w:t>
      </w:r>
    </w:p>
    <w:p w14:paraId="0BC0C8DB" w14:textId="670CC88F" w:rsidR="00B738D3" w:rsidRDefault="00B738D3" w:rsidP="000A5B68">
      <w:pPr>
        <w:pStyle w:val="Bulletlist"/>
      </w:pPr>
      <w:r>
        <w:t>test results</w:t>
      </w:r>
      <w:r w:rsidR="001F7FF6" w:rsidRPr="00791D8C">
        <w:rPr>
          <w:vertAlign w:val="superscript"/>
        </w:rPr>
        <w:fldChar w:fldCharType="begin"/>
      </w:r>
      <w:r w:rsidR="001F7FF6" w:rsidRPr="00791D8C">
        <w:rPr>
          <w:vertAlign w:val="superscript"/>
        </w:rPr>
        <w:instrText xml:space="preserve"> NOTEREF _Ref191045570 \h  \* MERGEFORMAT </w:instrText>
      </w:r>
      <w:r w:rsidR="001F7FF6" w:rsidRPr="00791D8C">
        <w:rPr>
          <w:vertAlign w:val="superscript"/>
        </w:rPr>
      </w:r>
      <w:r w:rsidR="001F7FF6" w:rsidRPr="00791D8C">
        <w:rPr>
          <w:vertAlign w:val="superscript"/>
        </w:rPr>
        <w:fldChar w:fldCharType="separate"/>
      </w:r>
      <w:r w:rsidR="00791D8C">
        <w:rPr>
          <w:vertAlign w:val="superscript"/>
        </w:rPr>
        <w:t>10</w:t>
      </w:r>
      <w:r w:rsidR="001F7FF6" w:rsidRPr="00791D8C">
        <w:rPr>
          <w:vertAlign w:val="superscript"/>
        </w:rPr>
        <w:fldChar w:fldCharType="end"/>
      </w:r>
      <w:r>
        <w:t xml:space="preserve"> from an in vivo study on the chemical or from suitable read across information, conducted following an acceptable test guideline for eye irritation, which does not result in effects on the eye, as described for eye damage (category 1) in chapter 3.3 of the GHS.</w:t>
      </w:r>
    </w:p>
    <w:p w14:paraId="7DE63F50" w14:textId="77777777" w:rsidR="00B738D3" w:rsidRDefault="00B738D3" w:rsidP="004E5800">
      <w:pPr>
        <w:pStyle w:val="Heading2"/>
      </w:pPr>
      <w:bookmarkStart w:id="33" w:name="_Toc238816821"/>
      <w:r>
        <w:t>6.14 Skin sensitisation – Human health hazard band B</w:t>
      </w:r>
      <w:bookmarkEnd w:id="33"/>
    </w:p>
    <w:p w14:paraId="0517E464" w14:textId="77777777" w:rsidR="00B738D3" w:rsidRDefault="00B738D3" w:rsidP="004E5800">
      <w:pPr>
        <w:pStyle w:val="Heading3"/>
      </w:pPr>
      <w:r>
        <w:t>6.14.1 Clause 2 of Part 1, Schedule 1 to the IC General Rules</w:t>
      </w:r>
    </w:p>
    <w:p w14:paraId="00A17B6B" w14:textId="77777777" w:rsidR="00B738D3" w:rsidRDefault="00B738D3" w:rsidP="00B738D3">
      <w:r>
        <w:t>For the purposes of table item 12 of Clause 2, Part 1, Schedule 1 to the IC General Rules:</w:t>
      </w:r>
    </w:p>
    <w:p w14:paraId="4E0855FE" w14:textId="77777777" w:rsidR="00B738D3" w:rsidRDefault="00B738D3" w:rsidP="00B738D3">
      <w:r w:rsidRPr="001C7D7C">
        <w:rPr>
          <w:b/>
          <w:bCs/>
        </w:rPr>
        <w:t>Skin sensitisation</w:t>
      </w:r>
      <w:r>
        <w:t xml:space="preserve"> means that any of the following apply to the industrial chemical:</w:t>
      </w:r>
    </w:p>
    <w:p w14:paraId="30D7CBDD" w14:textId="77777777" w:rsidR="00B738D3" w:rsidRDefault="00B738D3" w:rsidP="000A5B68">
      <w:pPr>
        <w:pStyle w:val="Bulletlist"/>
      </w:pPr>
      <w:r>
        <w:t>the chemical is known to cause an allergic response following skin contact, as described in chapter 3.4 of the GHS, with the chemical classified as skin sensitisation (category 1), or</w:t>
      </w:r>
    </w:p>
    <w:p w14:paraId="61B4B360" w14:textId="77777777" w:rsidR="00B738D3" w:rsidRDefault="00B738D3" w:rsidP="000A5B68">
      <w:pPr>
        <w:pStyle w:val="Bulletlist"/>
      </w:pPr>
      <w:r>
        <w:t>human testing or epidemiological studies on the chemical result in evidence of an allergic response, as described in chapter 3.4 of the GHS, or</w:t>
      </w:r>
    </w:p>
    <w:p w14:paraId="6C525EC3" w14:textId="77777777" w:rsidR="00B738D3" w:rsidRDefault="00B738D3" w:rsidP="000A5B68">
      <w:pPr>
        <w:pStyle w:val="Bulletlist"/>
      </w:pPr>
      <w:r>
        <w:t>an in vitro study on the chemical:</w:t>
      </w:r>
    </w:p>
    <w:p w14:paraId="2F0A4678" w14:textId="77777777" w:rsidR="00B738D3" w:rsidRDefault="00B738D3" w:rsidP="00C144B1">
      <w:pPr>
        <w:pStyle w:val="Bulletlist2"/>
      </w:pPr>
      <w:r>
        <w:t>conducted following an acceptable test guideline for skin sensitisation, results in the prediction of skin sensitisation effects, and</w:t>
      </w:r>
    </w:p>
    <w:p w14:paraId="383E252A" w14:textId="77777777" w:rsidR="00B738D3" w:rsidRDefault="00B738D3" w:rsidP="00C144B1">
      <w:pPr>
        <w:pStyle w:val="Bulletlist2"/>
      </w:pPr>
      <w:r>
        <w:t>the results of the study have not been negated by in vivo studies conducted on the chemical for skin sensitisation, or</w:t>
      </w:r>
    </w:p>
    <w:p w14:paraId="43247F3E" w14:textId="77777777" w:rsidR="00B738D3" w:rsidRDefault="00B738D3" w:rsidP="000A5B68">
      <w:pPr>
        <w:pStyle w:val="Bulletlist"/>
      </w:pPr>
      <w:r>
        <w:t xml:space="preserve">an in </w:t>
      </w:r>
      <w:proofErr w:type="spellStart"/>
      <w:r>
        <w:t>chemico</w:t>
      </w:r>
      <w:proofErr w:type="spellEnd"/>
      <w:r>
        <w:t xml:space="preserve"> study on the chemical:</w:t>
      </w:r>
    </w:p>
    <w:p w14:paraId="6A325632" w14:textId="77777777" w:rsidR="00B738D3" w:rsidRDefault="00B738D3" w:rsidP="00C144B1">
      <w:pPr>
        <w:pStyle w:val="Bulletlist2"/>
      </w:pPr>
      <w:r>
        <w:t>conducted following an acceptable test guideline for skin sensitisation, results in the prediction of skin sensitisation effects, and</w:t>
      </w:r>
    </w:p>
    <w:p w14:paraId="2821B2DA" w14:textId="77777777" w:rsidR="00B738D3" w:rsidRDefault="00B738D3" w:rsidP="00C144B1">
      <w:pPr>
        <w:pStyle w:val="Bulletlist2"/>
      </w:pPr>
      <w:r>
        <w:t>the results of the study have not been negated by in vivo studies conducted on the chemical for skin sensitisation, or</w:t>
      </w:r>
    </w:p>
    <w:p w14:paraId="2FD7243F" w14:textId="77777777" w:rsidR="00B83F21" w:rsidRDefault="00B738D3" w:rsidP="000A5B68">
      <w:pPr>
        <w:pStyle w:val="Bulletlist"/>
      </w:pPr>
      <w:r>
        <w:t>an in vivo study on the chemical conducted following an acceptable test guideline for skin sensitisation, results in the induction of an allergic response, as described in chapter 3.4 of the GHS.</w:t>
      </w:r>
    </w:p>
    <w:p w14:paraId="6B965090" w14:textId="77777777" w:rsidR="00AD72E1" w:rsidRDefault="00AD72E1" w:rsidP="00EE01E0">
      <w:pPr>
        <w:pStyle w:val="Heading3"/>
      </w:pPr>
      <w:r>
        <w:lastRenderedPageBreak/>
        <w:t xml:space="preserve">6.14.2 Section 30 of the IC General Rules </w:t>
      </w:r>
      <w:r w:rsidR="005B7E03">
        <w:t>–</w:t>
      </w:r>
      <w:r>
        <w:t xml:space="preserve"> </w:t>
      </w:r>
      <w:bookmarkStart w:id="34" w:name="_Hlk179371532"/>
      <w:r>
        <w:t xml:space="preserve">Information required to demonstrate the absence of hazard characteristics </w:t>
      </w:r>
      <w:bookmarkEnd w:id="34"/>
    </w:p>
    <w:p w14:paraId="009D8FB0" w14:textId="77777777" w:rsidR="00B83F21" w:rsidRDefault="00AD72E1" w:rsidP="00AD72E1">
      <w:r>
        <w:t>For the purposes of subparagraph 30(2)(c)(iv) of the IC General Rules:</w:t>
      </w:r>
    </w:p>
    <w:p w14:paraId="379E11A7" w14:textId="77777777" w:rsidR="004D75A3" w:rsidRDefault="004D75A3" w:rsidP="000A5B68">
      <w:pPr>
        <w:pStyle w:val="Bulletlist"/>
      </w:pPr>
      <w:r>
        <w:t>there are no information requirements to demonstrate the absence of the hazard</w:t>
      </w:r>
      <w:r w:rsidR="00DC1B12">
        <w:t xml:space="preserve"> </w:t>
      </w:r>
      <w:r>
        <w:t xml:space="preserve">characteristic, </w:t>
      </w:r>
      <w:r w:rsidRPr="00DC1B12">
        <w:rPr>
          <w:b/>
          <w:bCs/>
        </w:rPr>
        <w:t>skin sensitisation</w:t>
      </w:r>
      <w:r>
        <w:t>, if the chemical is corrosive to the skin (GHS category 1) as the in vivo tests cannot be conducted</w:t>
      </w:r>
    </w:p>
    <w:p w14:paraId="46180EC8" w14:textId="77777777" w:rsidR="004D75A3" w:rsidRDefault="004D75A3" w:rsidP="000A5B68">
      <w:pPr>
        <w:pStyle w:val="Bulletlist"/>
      </w:pPr>
      <w:r>
        <w:t>otherwise, the information</w:t>
      </w:r>
      <w:r w:rsidR="00C0682F">
        <w:rPr>
          <w:rStyle w:val="FootnoteReference"/>
        </w:rPr>
        <w:footnoteReference w:id="13"/>
      </w:r>
      <w:r>
        <w:t xml:space="preserve"> required to demonstrate that a chemical does not have the hazard characteristic, </w:t>
      </w:r>
      <w:r w:rsidRPr="00DC1B12">
        <w:rPr>
          <w:b/>
          <w:bCs/>
        </w:rPr>
        <w:t>skin sensitisation</w:t>
      </w:r>
      <w:r>
        <w:t>, is at least one of the following:</w:t>
      </w:r>
    </w:p>
    <w:p w14:paraId="23FBEF2A" w14:textId="77777777" w:rsidR="004D75A3" w:rsidRDefault="004D75A3" w:rsidP="00C144B1">
      <w:pPr>
        <w:pStyle w:val="Bulletlist2"/>
      </w:pPr>
      <w:r>
        <w:t>information that demonstrates that the chemical is a high molecular weight polymer for which at least one of the following applies:</w:t>
      </w:r>
    </w:p>
    <w:p w14:paraId="1312F64D" w14:textId="77777777" w:rsidR="004D75A3" w:rsidRDefault="004D75A3" w:rsidP="00103519">
      <w:pPr>
        <w:pStyle w:val="Bulletlist3"/>
      </w:pPr>
      <w:r>
        <w:t>it contains only low concern reactive functional groups</w:t>
      </w:r>
      <w:bookmarkStart w:id="35" w:name="_Ref191046391"/>
      <w:r w:rsidR="00C0682F">
        <w:rPr>
          <w:rStyle w:val="FootnoteReference"/>
        </w:rPr>
        <w:footnoteReference w:id="14"/>
      </w:r>
      <w:bookmarkEnd w:id="35"/>
      <w:r>
        <w:t>, or</w:t>
      </w:r>
    </w:p>
    <w:p w14:paraId="597FABDB" w14:textId="20103094" w:rsidR="004D75A3" w:rsidRDefault="004D75A3" w:rsidP="00103519">
      <w:pPr>
        <w:pStyle w:val="Bulletlist3"/>
      </w:pPr>
      <w:r>
        <w:t>it contains only low concern reactive functional groups</w:t>
      </w:r>
      <w:r w:rsidR="00D40FAE" w:rsidRPr="00D40FAE">
        <w:rPr>
          <w:vertAlign w:val="superscript"/>
        </w:rPr>
        <w:fldChar w:fldCharType="begin"/>
      </w:r>
      <w:r w:rsidR="00D40FAE" w:rsidRPr="00791D8C">
        <w:rPr>
          <w:vertAlign w:val="superscript"/>
        </w:rPr>
        <w:instrText xml:space="preserve"> NOTEREF _Ref191046391 \h  \* MERGEFORMAT </w:instrText>
      </w:r>
      <w:r w:rsidR="00D40FAE" w:rsidRPr="00D40FAE">
        <w:rPr>
          <w:vertAlign w:val="superscript"/>
        </w:rPr>
      </w:r>
      <w:r w:rsidR="00D40FAE" w:rsidRPr="00D40FAE">
        <w:rPr>
          <w:vertAlign w:val="superscript"/>
        </w:rPr>
        <w:fldChar w:fldCharType="separate"/>
      </w:r>
      <w:r w:rsidR="00791D8C">
        <w:rPr>
          <w:vertAlign w:val="superscript"/>
        </w:rPr>
        <w:t>13</w:t>
      </w:r>
      <w:r w:rsidR="00D40FAE" w:rsidRPr="00D40FAE">
        <w:rPr>
          <w:vertAlign w:val="superscript"/>
        </w:rPr>
        <w:fldChar w:fldCharType="end"/>
      </w:r>
      <w:r>
        <w:t xml:space="preserve"> and unsubstituted positions ortho and para to phenolic hydroxyl groups, or</w:t>
      </w:r>
    </w:p>
    <w:p w14:paraId="11F0E021" w14:textId="77777777" w:rsidR="004D75A3" w:rsidRDefault="004D75A3" w:rsidP="00103519">
      <w:pPr>
        <w:pStyle w:val="Bulletlist3"/>
      </w:pPr>
      <w:r>
        <w:t>the only reactive functional groups it contains are unsubstituted positions ortho and para to phenolic hydroxyl groups, or</w:t>
      </w:r>
    </w:p>
    <w:p w14:paraId="60D31738" w14:textId="1910525D" w:rsidR="004D75A3" w:rsidRDefault="004D75A3" w:rsidP="00103519">
      <w:pPr>
        <w:pStyle w:val="Bulletlist3"/>
      </w:pPr>
      <w:bookmarkStart w:id="36" w:name="_Hlk179371276"/>
      <w:r>
        <w:t>it contains only low</w:t>
      </w:r>
      <w:r w:rsidR="00D40FAE" w:rsidRPr="00D40FAE">
        <w:rPr>
          <w:vertAlign w:val="superscript"/>
        </w:rPr>
        <w:fldChar w:fldCharType="begin"/>
      </w:r>
      <w:r w:rsidR="00D40FAE" w:rsidRPr="00791D8C">
        <w:rPr>
          <w:vertAlign w:val="superscript"/>
        </w:rPr>
        <w:instrText xml:space="preserve"> NOTEREF _Ref191046391 \h  \* MERGEFORMAT </w:instrText>
      </w:r>
      <w:r w:rsidR="00D40FAE" w:rsidRPr="00D40FAE">
        <w:rPr>
          <w:vertAlign w:val="superscript"/>
        </w:rPr>
      </w:r>
      <w:r w:rsidR="00D40FAE" w:rsidRPr="00D40FAE">
        <w:rPr>
          <w:vertAlign w:val="superscript"/>
        </w:rPr>
        <w:fldChar w:fldCharType="separate"/>
      </w:r>
      <w:r w:rsidR="00791D8C">
        <w:rPr>
          <w:vertAlign w:val="superscript"/>
        </w:rPr>
        <w:t>13</w:t>
      </w:r>
      <w:r w:rsidR="00D40FAE" w:rsidRPr="00D40FAE">
        <w:rPr>
          <w:vertAlign w:val="superscript"/>
        </w:rPr>
        <w:fldChar w:fldCharType="end"/>
      </w:r>
      <w:r>
        <w:t xml:space="preserve"> and moderate concern reactive functional groups</w:t>
      </w:r>
      <w:bookmarkStart w:id="37" w:name="_Ref191046516"/>
      <w:r w:rsidR="00F82F55">
        <w:rPr>
          <w:rStyle w:val="FootnoteReference"/>
        </w:rPr>
        <w:footnoteReference w:id="15"/>
      </w:r>
      <w:bookmarkEnd w:id="37"/>
      <w:r>
        <w:t xml:space="preserve">, with a combined functional group equivalent weight </w:t>
      </w:r>
      <w:r w:rsidR="00A64021">
        <w:t xml:space="preserve">for the moderate-concern </w:t>
      </w:r>
      <w:r w:rsidR="00836E6B">
        <w:t xml:space="preserve">functional groups </w:t>
      </w:r>
      <w:r>
        <w:t>of ≥ 1000 g/mol, or</w:t>
      </w:r>
    </w:p>
    <w:bookmarkEnd w:id="36"/>
    <w:p w14:paraId="1D2EB941" w14:textId="52DA17C9" w:rsidR="004D75A3" w:rsidRDefault="004D75A3" w:rsidP="00103519">
      <w:pPr>
        <w:pStyle w:val="Bulletlist3"/>
      </w:pPr>
      <w:r>
        <w:t>it contains only moderate concern reactive functional groups</w:t>
      </w:r>
      <w:r w:rsidR="00D40FAE" w:rsidRPr="00D40FAE">
        <w:rPr>
          <w:vertAlign w:val="superscript"/>
        </w:rPr>
        <w:fldChar w:fldCharType="begin"/>
      </w:r>
      <w:r w:rsidR="00D40FAE" w:rsidRPr="00791D8C">
        <w:rPr>
          <w:vertAlign w:val="superscript"/>
        </w:rPr>
        <w:instrText xml:space="preserve"> NOTEREF _Ref191046516 \h  \* MERGEFORMAT </w:instrText>
      </w:r>
      <w:r w:rsidR="00D40FAE" w:rsidRPr="00D40FAE">
        <w:rPr>
          <w:vertAlign w:val="superscript"/>
        </w:rPr>
      </w:r>
      <w:r w:rsidR="00D40FAE" w:rsidRPr="00D40FAE">
        <w:rPr>
          <w:vertAlign w:val="superscript"/>
        </w:rPr>
        <w:fldChar w:fldCharType="separate"/>
      </w:r>
      <w:r w:rsidR="00791D8C">
        <w:rPr>
          <w:vertAlign w:val="superscript"/>
        </w:rPr>
        <w:t>14</w:t>
      </w:r>
      <w:r w:rsidR="00D40FAE" w:rsidRPr="00D40FAE">
        <w:rPr>
          <w:vertAlign w:val="superscript"/>
        </w:rPr>
        <w:fldChar w:fldCharType="end"/>
      </w:r>
      <w:r>
        <w:t>, with a combined functional group equivalent weight of ≥ 1000 g/mol, or</w:t>
      </w:r>
    </w:p>
    <w:p w14:paraId="2485BA66" w14:textId="77777777" w:rsidR="004D75A3" w:rsidRDefault="004D75A3" w:rsidP="00103519">
      <w:pPr>
        <w:pStyle w:val="Bulletlist3"/>
      </w:pPr>
      <w:r>
        <w:t>it has a number average molecular weight that is greater than or equal to 10,000 g/mol and both:</w:t>
      </w:r>
    </w:p>
    <w:p w14:paraId="394C8EFB" w14:textId="77777777" w:rsidR="004D75A3" w:rsidRPr="00881ECD" w:rsidRDefault="004D75A3" w:rsidP="00881ECD">
      <w:pPr>
        <w:pStyle w:val="Bulletlist4"/>
      </w:pPr>
      <w:r w:rsidRPr="00881ECD">
        <w:t>&lt; 2% by mass of molecules with molecular weight that is &lt; 500 g/mol, and</w:t>
      </w:r>
    </w:p>
    <w:p w14:paraId="4916084D" w14:textId="77777777" w:rsidR="004D75A3" w:rsidRPr="00881ECD" w:rsidRDefault="004D75A3" w:rsidP="00881ECD">
      <w:pPr>
        <w:pStyle w:val="Bulletlist4"/>
      </w:pPr>
      <w:r w:rsidRPr="00881ECD">
        <w:t>&lt; 5% by mass of molecules with molecular weight that is &lt; 1,000 g/mol, or</w:t>
      </w:r>
    </w:p>
    <w:p w14:paraId="6D4958FF" w14:textId="77777777" w:rsidR="004D75A3" w:rsidRDefault="004D75A3" w:rsidP="00C144B1">
      <w:pPr>
        <w:pStyle w:val="Bulletlist2"/>
      </w:pPr>
      <w:r>
        <w:t>information that demonstrates that the chemical is a substance covered by Entry 9 of Annex V, of the REACH Regulation, or</w:t>
      </w:r>
    </w:p>
    <w:p w14:paraId="31E82579" w14:textId="77777777" w:rsidR="00472D72" w:rsidRDefault="004D75A3" w:rsidP="00C144B1">
      <w:pPr>
        <w:pStyle w:val="Bulletlist2"/>
      </w:pPr>
      <w:r>
        <w:t>results from a defined approach (combination of tests) described in OECD TG 497, with a non-sensitising prediction</w:t>
      </w:r>
      <w:r w:rsidR="00370072">
        <w:rPr>
          <w:rStyle w:val="FootnoteReference"/>
        </w:rPr>
        <w:footnoteReference w:id="16"/>
      </w:r>
      <w:r w:rsidR="00472D72">
        <w:t xml:space="preserve"> </w:t>
      </w:r>
    </w:p>
    <w:p w14:paraId="31F27018" w14:textId="77777777" w:rsidR="004D75A3" w:rsidRDefault="004D75A3" w:rsidP="00C144B1">
      <w:pPr>
        <w:pStyle w:val="Bulletlist2"/>
      </w:pPr>
      <w:proofErr w:type="gramStart"/>
      <w:r>
        <w:t>all of</w:t>
      </w:r>
      <w:proofErr w:type="gramEnd"/>
      <w:r>
        <w:t xml:space="preserve"> the following:</w:t>
      </w:r>
    </w:p>
    <w:p w14:paraId="3CC31A17" w14:textId="77777777" w:rsidR="00A36658" w:rsidRDefault="004D75A3" w:rsidP="00103519">
      <w:pPr>
        <w:pStyle w:val="Bulletlist3"/>
      </w:pPr>
      <w:r>
        <w:t xml:space="preserve">test results from an in </w:t>
      </w:r>
      <w:proofErr w:type="spellStart"/>
      <w:r>
        <w:t>chemico</w:t>
      </w:r>
      <w:proofErr w:type="spellEnd"/>
      <w:r>
        <w:t xml:space="preserve"> test on the chemical or from suitable read-across information, conducted following an acceptable test guideline for the 1st key event in the adverse outcome pathway for skin sensitisation, with a non-sensitising prediction, and</w:t>
      </w:r>
    </w:p>
    <w:p w14:paraId="23CCC83D" w14:textId="77777777" w:rsidR="00C51C63" w:rsidRDefault="00C51C63" w:rsidP="00103519">
      <w:pPr>
        <w:pStyle w:val="Bulletlist3"/>
      </w:pPr>
      <w:r>
        <w:lastRenderedPageBreak/>
        <w:t>test results from an in vitro study on the chemical or from suitable read</w:t>
      </w:r>
      <w:r w:rsidR="00036E32">
        <w:t>-</w:t>
      </w:r>
      <w:r>
        <w:t>across information, conducted following an acceptable test guideline for the 2nd key event in the adverse outcome pathway for skin sensitisation, with a non-sensitising prediction, and</w:t>
      </w:r>
    </w:p>
    <w:p w14:paraId="022A8483" w14:textId="77777777" w:rsidR="00C51C63" w:rsidRDefault="00C51C63" w:rsidP="00103519">
      <w:pPr>
        <w:pStyle w:val="Bulletlist3"/>
      </w:pPr>
      <w:r>
        <w:t>test results from an in vitro study on the chemical or from suitable read</w:t>
      </w:r>
      <w:r w:rsidR="00C1484C">
        <w:t>-</w:t>
      </w:r>
      <w:r>
        <w:t>across information, conducted following an acceptable test guideline for the 3rd key event in the adverse outcome pathway for skin sensitisation, with a non-sensitising prediction</w:t>
      </w:r>
    </w:p>
    <w:p w14:paraId="342A397B" w14:textId="77777777" w:rsidR="00C51C63" w:rsidRDefault="00C51C63" w:rsidP="00C144B1">
      <w:pPr>
        <w:pStyle w:val="Bulletlist2"/>
      </w:pPr>
      <w:r>
        <w:t>test results from an in vivo study on the chemical or from suitable read-across information, conducted following an acceptable test guideline for skin sensitisation, which does not result in induction of an allergic response, as described in chapter 3.4 of the GHS</w:t>
      </w:r>
    </w:p>
    <w:p w14:paraId="52EBFDC0" w14:textId="77777777" w:rsidR="00C51C63" w:rsidRDefault="00C51C63" w:rsidP="000A5B68">
      <w:pPr>
        <w:pStyle w:val="Bulletlist"/>
      </w:pPr>
      <w:r>
        <w:t xml:space="preserve">in addition, if the human health exposure band for the introduction is 4 and the chemical is a UV filter or is introduced for an end use in a tattoo ink, information is required to justify why the chemical would not cause skin sensitisation mediated by UV light. This may include one or </w:t>
      </w:r>
      <w:r w:rsidR="00F3089B">
        <w:t>m</w:t>
      </w:r>
      <w:r>
        <w:t>ore of the following:</w:t>
      </w:r>
    </w:p>
    <w:p w14:paraId="427285F7" w14:textId="0C55023F" w:rsidR="00C51C63" w:rsidRDefault="00C51C63" w:rsidP="00C144B1">
      <w:pPr>
        <w:pStyle w:val="Bulletlist2"/>
      </w:pPr>
      <w:r>
        <w:t>the chemical has a molar extinction coefficient/absorption coefficient of &lt; 1,000 L·mol</w:t>
      </w:r>
      <w:r w:rsidRPr="005D331B">
        <w:rPr>
          <w:vertAlign w:val="superscript"/>
        </w:rPr>
        <w:t>-1</w:t>
      </w:r>
      <w:r>
        <w:t>·cm</w:t>
      </w:r>
      <w:r w:rsidRPr="004375AF">
        <w:rPr>
          <w:vertAlign w:val="superscript"/>
        </w:rPr>
        <w:t>-</w:t>
      </w:r>
      <w:r w:rsidRPr="00472D72">
        <w:rPr>
          <w:vertAlign w:val="superscript"/>
        </w:rPr>
        <w:t>1</w:t>
      </w:r>
      <w:r w:rsidR="00F3089B">
        <w:t xml:space="preserve"> </w:t>
      </w:r>
      <w:r>
        <w:t>at wavelengths between 290 and 700 nm (based on the results of a study following OECD test guideline 101), or</w:t>
      </w:r>
    </w:p>
    <w:p w14:paraId="3E8A3F0E" w14:textId="77777777" w:rsidR="00C51C63" w:rsidRDefault="00C51C63" w:rsidP="00C144B1">
      <w:pPr>
        <w:pStyle w:val="Bulletlist2"/>
      </w:pPr>
      <w:r>
        <w:t>results from in vitro phototoxicity studies, or</w:t>
      </w:r>
    </w:p>
    <w:p w14:paraId="58A1CC42" w14:textId="6937C259" w:rsidR="00B9799A" w:rsidRDefault="00C51C63" w:rsidP="00C144B1">
      <w:pPr>
        <w:pStyle w:val="Bulletlist2"/>
      </w:pPr>
      <w:r>
        <w:t xml:space="preserve">results from in vitro or in vivo skin sensitisation studies where the methods </w:t>
      </w:r>
      <w:r w:rsidR="00180DC6">
        <w:t>h</w:t>
      </w:r>
      <w:r>
        <w:t>ave been modified to include photoactivation.</w:t>
      </w:r>
    </w:p>
    <w:p w14:paraId="5225E774" w14:textId="77777777" w:rsidR="00AE5220" w:rsidRDefault="00AE5220" w:rsidP="00130CE9">
      <w:pPr>
        <w:pStyle w:val="Heading2"/>
      </w:pPr>
      <w:bookmarkStart w:id="38" w:name="_Toc238816822"/>
      <w:r>
        <w:t>6.15 Acute toxicity (fatal or toxic) – Human health hazard band B</w:t>
      </w:r>
      <w:bookmarkEnd w:id="38"/>
    </w:p>
    <w:p w14:paraId="132D2110" w14:textId="77777777" w:rsidR="00AE5220" w:rsidRDefault="00AE5220" w:rsidP="00130CE9">
      <w:pPr>
        <w:pStyle w:val="Heading3"/>
      </w:pPr>
      <w:r>
        <w:t>6.15.1 Clause 2 of Part 1, Schedule 1 to the IC General Rules</w:t>
      </w:r>
    </w:p>
    <w:p w14:paraId="455A2712" w14:textId="77777777" w:rsidR="00AE5220" w:rsidRDefault="00AE5220" w:rsidP="00AE5220">
      <w:r>
        <w:t>For the purposes of table item 13 of Clause 2, Part 1, Schedule 1 to the IC General Rules:</w:t>
      </w:r>
    </w:p>
    <w:p w14:paraId="2E99C996" w14:textId="77777777" w:rsidR="00AE5220" w:rsidRDefault="00AE5220" w:rsidP="00AE5220">
      <w:r w:rsidRPr="005210C0">
        <w:rPr>
          <w:b/>
          <w:bCs/>
        </w:rPr>
        <w:t>Acute toxicity (fatal or toxic)</w:t>
      </w:r>
      <w:r>
        <w:t xml:space="preserve"> means that any of the following apply to the industrial chemical:</w:t>
      </w:r>
    </w:p>
    <w:p w14:paraId="5CD7567C" w14:textId="77777777" w:rsidR="00AE5220" w:rsidRDefault="00AE5220" w:rsidP="000A5B68">
      <w:pPr>
        <w:pStyle w:val="Bulletlist"/>
      </w:pPr>
      <w:r>
        <w:t>the chemical is known to exhibit acute toxicity effects, as described in chapter 3.1 of the GHS, with the chemical classified as acute toxicity (category 1 or 2 or 3), or</w:t>
      </w:r>
    </w:p>
    <w:p w14:paraId="4C1DA877" w14:textId="77777777" w:rsidR="00AE5220" w:rsidRDefault="00AE5220" w:rsidP="000A5B68">
      <w:pPr>
        <w:pStyle w:val="Bulletlist"/>
      </w:pPr>
      <w:r>
        <w:t>an in vitro study on the chemical:</w:t>
      </w:r>
    </w:p>
    <w:p w14:paraId="28D4B9C5" w14:textId="77777777" w:rsidR="00AE5220" w:rsidRDefault="00AE5220" w:rsidP="00C144B1">
      <w:pPr>
        <w:pStyle w:val="Bulletlist2"/>
      </w:pPr>
      <w:r>
        <w:t>conducted following an acceptable test guideline for acute oral toxicity, results in a predicted acute oral toxicity LD50 value of ≤ 300 mg/kg bw, and</w:t>
      </w:r>
    </w:p>
    <w:p w14:paraId="03E77A8F" w14:textId="77777777" w:rsidR="00AE5220" w:rsidRDefault="00AE5220" w:rsidP="00C144B1">
      <w:pPr>
        <w:pStyle w:val="Bulletlist2"/>
      </w:pPr>
      <w:r>
        <w:t>the results of the study have not been negated by in vivo studies conducted on the chemical for acute toxicity, or</w:t>
      </w:r>
    </w:p>
    <w:p w14:paraId="62557812" w14:textId="77777777" w:rsidR="00AE5220" w:rsidRDefault="00AE5220" w:rsidP="000A5B68">
      <w:pPr>
        <w:pStyle w:val="Bulletlist"/>
      </w:pPr>
      <w:r>
        <w:t>an in vivo study on the chemical:</w:t>
      </w:r>
    </w:p>
    <w:p w14:paraId="03EC2641" w14:textId="77777777" w:rsidR="00AE5220" w:rsidRDefault="00AE5220" w:rsidP="00C144B1">
      <w:pPr>
        <w:pStyle w:val="Bulletlist2"/>
      </w:pPr>
      <w:r>
        <w:t>conducted following an acceptable test guideline for acute oral toxicity results in an acute oral LD50 value of ≤ 300 mg/kg bw, or</w:t>
      </w:r>
    </w:p>
    <w:p w14:paraId="15844BAE" w14:textId="77777777" w:rsidR="00AE5220" w:rsidRDefault="00AE5220" w:rsidP="00C144B1">
      <w:pPr>
        <w:pStyle w:val="Bulletlist2"/>
      </w:pPr>
      <w:r>
        <w:t>conducted following an acceptable test guideline for acute dermal toxicity results in an acute dermal LD50 value of ≤ 1,000 mg/kg bw, or</w:t>
      </w:r>
    </w:p>
    <w:p w14:paraId="0F58114E" w14:textId="1D28276C" w:rsidR="00AE5220" w:rsidRDefault="00AE5220" w:rsidP="00C144B1">
      <w:pPr>
        <w:pStyle w:val="Bulletlist2"/>
      </w:pPr>
      <w:r>
        <w:t>conducted following an acceptable test guideline for acute inhalation toxicity</w:t>
      </w:r>
      <w:r w:rsidR="009B00F0">
        <w:t xml:space="preserve"> </w:t>
      </w:r>
      <w:r>
        <w:t>results in an acute inhalation LC50 value of:</w:t>
      </w:r>
    </w:p>
    <w:p w14:paraId="409C8E90" w14:textId="77777777" w:rsidR="00AE5220" w:rsidRPr="00103519" w:rsidRDefault="00AE5220" w:rsidP="00103519">
      <w:pPr>
        <w:pStyle w:val="Bulletlist3"/>
      </w:pPr>
      <w:r w:rsidRPr="00103519">
        <w:t xml:space="preserve">for gases </w:t>
      </w:r>
      <w:r w:rsidR="003D5E69" w:rsidRPr="00103519">
        <w:t>–</w:t>
      </w:r>
      <w:r w:rsidRPr="00103519">
        <w:t xml:space="preserve"> ≤ 2,500 </w:t>
      </w:r>
      <w:proofErr w:type="spellStart"/>
      <w:r w:rsidRPr="00103519">
        <w:t>ppmV</w:t>
      </w:r>
      <w:proofErr w:type="spellEnd"/>
      <w:r w:rsidRPr="00103519">
        <w:t>/4h, or</w:t>
      </w:r>
    </w:p>
    <w:p w14:paraId="5116111D" w14:textId="77777777" w:rsidR="00AE5220" w:rsidRPr="00103519" w:rsidRDefault="00AE5220" w:rsidP="00103519">
      <w:pPr>
        <w:pStyle w:val="Bulletlist3"/>
      </w:pPr>
      <w:r w:rsidRPr="00103519">
        <w:t xml:space="preserve">for vapours </w:t>
      </w:r>
      <w:r w:rsidR="003D5E69" w:rsidRPr="00103519">
        <w:t>–</w:t>
      </w:r>
      <w:r w:rsidRPr="00103519">
        <w:t xml:space="preserve"> ≤ 10 mg/L/4h, or </w:t>
      </w:r>
    </w:p>
    <w:p w14:paraId="569B6777" w14:textId="02FDC463" w:rsidR="00AE5220" w:rsidRPr="00103519" w:rsidRDefault="00AE5220" w:rsidP="00103519">
      <w:pPr>
        <w:pStyle w:val="Bulletlist3"/>
      </w:pPr>
      <w:r w:rsidRPr="00103519">
        <w:t xml:space="preserve">for dusts/mists/fumes </w:t>
      </w:r>
      <w:r w:rsidR="003D5E69" w:rsidRPr="00103519">
        <w:t>–</w:t>
      </w:r>
      <w:r w:rsidRPr="00103519">
        <w:t xml:space="preserve"> ≤ 1 mg/L/4h, or</w:t>
      </w:r>
    </w:p>
    <w:p w14:paraId="22DD2995" w14:textId="77777777" w:rsidR="00AE5220" w:rsidRDefault="00AE5220" w:rsidP="000A5B68">
      <w:pPr>
        <w:pStyle w:val="Bulletlist"/>
      </w:pPr>
      <w:r>
        <w:t>evidence in humans of systemic toxicity after eye contact, with the chemical classified with the non-GHS hazard statement – AUH070, or</w:t>
      </w:r>
    </w:p>
    <w:p w14:paraId="1990FB71" w14:textId="77777777" w:rsidR="00B9799A" w:rsidRDefault="00AE5220" w:rsidP="000A5B68">
      <w:pPr>
        <w:pStyle w:val="Bulletlist"/>
      </w:pPr>
      <w:r>
        <w:t>an in vivo study, conducted following an acceptable test guideline for eye irritation,</w:t>
      </w:r>
      <w:r w:rsidR="00D01180">
        <w:t xml:space="preserve"> </w:t>
      </w:r>
      <w:r>
        <w:t>results in overt signs of systemic toxicity or mortality, which is likely to be attributed to absorption of the chemical through the mucous membranes of the eye, with the chemical classified with the non-GHS hazard statement – AUH070.</w:t>
      </w:r>
    </w:p>
    <w:p w14:paraId="6A0AEE5F" w14:textId="77777777" w:rsidR="00C65BAF" w:rsidRDefault="00C65BAF" w:rsidP="00C65BAF">
      <w:pPr>
        <w:pStyle w:val="Heading3"/>
      </w:pPr>
      <w:r>
        <w:lastRenderedPageBreak/>
        <w:t xml:space="preserve">6.15.2 Section 30 of the IC General Rules </w:t>
      </w:r>
      <w:r w:rsidR="005B7E03">
        <w:t>–</w:t>
      </w:r>
      <w:r>
        <w:t xml:space="preserve"> Information required to demonstrate the absence of hazard characteristics </w:t>
      </w:r>
    </w:p>
    <w:p w14:paraId="4067A7ED" w14:textId="77777777" w:rsidR="00C65BAF" w:rsidRDefault="00C65BAF" w:rsidP="00C65BAF">
      <w:r>
        <w:t>For the purposes of subparagraph 30(2)(c)(iv) of the IC General Rules:</w:t>
      </w:r>
    </w:p>
    <w:p w14:paraId="63A1FAC6" w14:textId="77777777" w:rsidR="00C65BAF" w:rsidRDefault="00C65BAF" w:rsidP="000A5B68">
      <w:pPr>
        <w:pStyle w:val="Bulletlist"/>
      </w:pPr>
      <w:r>
        <w:t xml:space="preserve">there are no information requirements to demonstrate the absence of the hazard characteristic, </w:t>
      </w:r>
      <w:r w:rsidRPr="00283E03">
        <w:rPr>
          <w:b/>
          <w:bCs/>
        </w:rPr>
        <w:t>acute toxicity (fatal or toxic)</w:t>
      </w:r>
      <w:r>
        <w:t>, if the chemical is corrosive to the skin (GHS category 1), or likely to be corrosive to the skin (that is, the chemical is a strong acid (pH ≤ 2.0) or base (pH ≥ 11.5), and has high buffering capacity (if relevant)), as the in vivo tests cannot be conducted</w:t>
      </w:r>
    </w:p>
    <w:p w14:paraId="581E694D" w14:textId="77777777" w:rsidR="00C65BAF" w:rsidRDefault="00C65BAF" w:rsidP="000A5B68">
      <w:pPr>
        <w:pStyle w:val="Bulletlist"/>
      </w:pPr>
      <w:r>
        <w:t xml:space="preserve">otherwise, the information required to demonstrate that a chemical does not have the hazard characteristic, </w:t>
      </w:r>
      <w:r w:rsidRPr="00103519">
        <w:rPr>
          <w:b/>
          <w:bCs/>
        </w:rPr>
        <w:t>acute toxicity (fatal or toxic)</w:t>
      </w:r>
      <w:r>
        <w:t>, is at least one of the following:</w:t>
      </w:r>
    </w:p>
    <w:p w14:paraId="21BA93FA" w14:textId="77777777" w:rsidR="00C65BAF" w:rsidRDefault="00C65BAF" w:rsidP="00C144B1">
      <w:pPr>
        <w:pStyle w:val="Bulletlist2"/>
      </w:pPr>
      <w:r>
        <w:t>if the human health exposure band for the introduction is 3</w:t>
      </w:r>
      <w:r w:rsidR="007B330A">
        <w:rPr>
          <w:rStyle w:val="FootnoteReference"/>
        </w:rPr>
        <w:footnoteReference w:id="17"/>
      </w:r>
      <w:r w:rsidR="008C60C4">
        <w:t xml:space="preserve"> </w:t>
      </w:r>
      <w:r w:rsidR="006E4C20">
        <w:t>–</w:t>
      </w:r>
      <w:r>
        <w:t xml:space="preserve"> both of the following:</w:t>
      </w:r>
    </w:p>
    <w:p w14:paraId="0DCBB1F8" w14:textId="77777777" w:rsidR="00C65BAF" w:rsidRDefault="00C65BAF" w:rsidP="00103519">
      <w:pPr>
        <w:pStyle w:val="Bulletlist3"/>
      </w:pPr>
      <w:r>
        <w:t>a suitable in silico prediction for acute toxicity (LD50) of the chemical of &gt; 2,000 mg/kg bw/day, and</w:t>
      </w:r>
    </w:p>
    <w:p w14:paraId="5A7729E5" w14:textId="77777777" w:rsidR="00C65BAF" w:rsidRDefault="00C65BAF" w:rsidP="00103519">
      <w:pPr>
        <w:pStyle w:val="Bulletlist3"/>
      </w:pPr>
      <w:r>
        <w:t>test results from an in vitro study on the chemical or from suitable read across information for acute toxicity (LD50), conducted following an acceptable test guideline for acute oral toxicity, of &gt; 300 mg/kg bw, or</w:t>
      </w:r>
    </w:p>
    <w:p w14:paraId="288F15E0" w14:textId="77777777" w:rsidR="00C65BAF" w:rsidRDefault="00C65BAF" w:rsidP="00C144B1">
      <w:pPr>
        <w:pStyle w:val="Bulletlist2"/>
      </w:pPr>
      <w:r>
        <w:t>information</w:t>
      </w:r>
      <w:bookmarkStart w:id="39" w:name="_Ref191048055"/>
      <w:r w:rsidR="002F7C1D">
        <w:rPr>
          <w:rStyle w:val="FootnoteReference"/>
        </w:rPr>
        <w:footnoteReference w:id="18"/>
      </w:r>
      <w:bookmarkEnd w:id="39"/>
      <w:r>
        <w:t xml:space="preserve"> that demonstrates that the chemical is a high molecular weight polymer that has:</w:t>
      </w:r>
    </w:p>
    <w:p w14:paraId="14470A7E" w14:textId="77777777" w:rsidR="00C65BAF" w:rsidRDefault="00C65BAF" w:rsidP="00103519">
      <w:pPr>
        <w:pStyle w:val="Bulletlist3"/>
      </w:pPr>
      <w:r>
        <w:t>&lt; 5% by mass of molecules with molecular weight &lt; 1,000 g/mol, and</w:t>
      </w:r>
    </w:p>
    <w:p w14:paraId="046A4EA1" w14:textId="77777777" w:rsidR="00C65BAF" w:rsidRDefault="00C65BAF" w:rsidP="00103519">
      <w:pPr>
        <w:pStyle w:val="Bulletlist3"/>
      </w:pPr>
      <w:r>
        <w:t>&lt; 2% by mass of molecules with molecular weight &lt; 500 g/mol, or</w:t>
      </w:r>
    </w:p>
    <w:p w14:paraId="7D573B92" w14:textId="122783BD" w:rsidR="00575BD2" w:rsidRDefault="00C65BAF" w:rsidP="00C144B1">
      <w:pPr>
        <w:pStyle w:val="Bulletlist2"/>
      </w:pPr>
      <w:r>
        <w:t>inclusion</w:t>
      </w:r>
      <w:r w:rsidR="00EB6F1A" w:rsidRPr="00EB6F1A">
        <w:rPr>
          <w:vertAlign w:val="superscript"/>
        </w:rPr>
        <w:fldChar w:fldCharType="begin"/>
      </w:r>
      <w:r w:rsidR="00EB6F1A" w:rsidRPr="00791D8C">
        <w:rPr>
          <w:vertAlign w:val="superscript"/>
        </w:rPr>
        <w:instrText xml:space="preserve"> NOTEREF _Ref191048055 \h  \* MERGEFORMAT </w:instrText>
      </w:r>
      <w:r w:rsidR="00EB6F1A" w:rsidRPr="00EB6F1A">
        <w:rPr>
          <w:vertAlign w:val="superscript"/>
        </w:rPr>
      </w:r>
      <w:r w:rsidR="00EB6F1A" w:rsidRPr="00EB6F1A">
        <w:rPr>
          <w:vertAlign w:val="superscript"/>
        </w:rPr>
        <w:fldChar w:fldCharType="separate"/>
      </w:r>
      <w:r w:rsidR="00791D8C">
        <w:rPr>
          <w:vertAlign w:val="superscript"/>
        </w:rPr>
        <w:t>17</w:t>
      </w:r>
      <w:r w:rsidR="00EB6F1A" w:rsidRPr="00EB6F1A">
        <w:rPr>
          <w:vertAlign w:val="superscript"/>
        </w:rPr>
        <w:fldChar w:fldCharType="end"/>
      </w:r>
      <w:r>
        <w:t xml:space="preserve"> of the chemical in the Select Committee on GRAS Substances (SCOGS) Database as a Type 1 conclusion, </w:t>
      </w:r>
      <w:proofErr w:type="gramStart"/>
      <w:r>
        <w:t>as long as</w:t>
      </w:r>
      <w:proofErr w:type="gramEnd"/>
      <w:r>
        <w:t xml:space="preserve"> the human health</w:t>
      </w:r>
      <w:r w:rsidR="0028749E">
        <w:t xml:space="preserve"> exposure expected from the industrial use of the chemical is no higher than the human health exposure expected from food use, or</w:t>
      </w:r>
    </w:p>
    <w:p w14:paraId="16953C03" w14:textId="38F360E3" w:rsidR="00166345" w:rsidRDefault="00166345" w:rsidP="00C144B1">
      <w:pPr>
        <w:pStyle w:val="Bulletlist2"/>
      </w:pPr>
      <w:r>
        <w:t>the chemical</w:t>
      </w:r>
      <w:r w:rsidR="00EB6F1A" w:rsidRPr="00791D8C">
        <w:rPr>
          <w:vertAlign w:val="superscript"/>
        </w:rPr>
        <w:fldChar w:fldCharType="begin"/>
      </w:r>
      <w:r w:rsidR="00EB6F1A" w:rsidRPr="00791D8C">
        <w:rPr>
          <w:vertAlign w:val="superscript"/>
        </w:rPr>
        <w:instrText xml:space="preserve"> NOTEREF _Ref191048055 \h </w:instrText>
      </w:r>
      <w:r w:rsidR="00EB6F1A" w:rsidRPr="00EB6F1A">
        <w:rPr>
          <w:vertAlign w:val="superscript"/>
        </w:rPr>
        <w:instrText xml:space="preserve"> \* MERGEFORMAT </w:instrText>
      </w:r>
      <w:r w:rsidR="00EB6F1A" w:rsidRPr="00791D8C">
        <w:rPr>
          <w:vertAlign w:val="superscript"/>
        </w:rPr>
      </w:r>
      <w:r w:rsidR="00EB6F1A" w:rsidRPr="00791D8C">
        <w:rPr>
          <w:vertAlign w:val="superscript"/>
        </w:rPr>
        <w:fldChar w:fldCharType="separate"/>
      </w:r>
      <w:r w:rsidR="00791D8C">
        <w:rPr>
          <w:vertAlign w:val="superscript"/>
        </w:rPr>
        <w:t>17</w:t>
      </w:r>
      <w:r w:rsidR="00EB6F1A" w:rsidRPr="00791D8C">
        <w:rPr>
          <w:vertAlign w:val="superscript"/>
        </w:rPr>
        <w:fldChar w:fldCharType="end"/>
      </w:r>
      <w:r>
        <w:t xml:space="preserve"> has been notified to the US FDA GRAS notification program and FDA had no questions about the notifier’s conclusion of GRAS status, as long as the human health exposure expected from the industrial use of the chemical is no higher than the human health exposure expected from food use, or</w:t>
      </w:r>
    </w:p>
    <w:p w14:paraId="762C0F2F" w14:textId="764B7985" w:rsidR="00166345" w:rsidRDefault="00166345" w:rsidP="00C144B1">
      <w:pPr>
        <w:pStyle w:val="Bulletlist2"/>
      </w:pPr>
      <w:r>
        <w:t>the chemical</w:t>
      </w:r>
      <w:r w:rsidR="00EB6F1A" w:rsidRPr="00EB6F1A">
        <w:rPr>
          <w:vertAlign w:val="superscript"/>
        </w:rPr>
        <w:fldChar w:fldCharType="begin"/>
      </w:r>
      <w:r w:rsidR="00EB6F1A" w:rsidRPr="00791D8C">
        <w:rPr>
          <w:vertAlign w:val="superscript"/>
        </w:rPr>
        <w:instrText xml:space="preserve"> NOTEREF _Ref191048055 \h  \* MERGEFORMAT </w:instrText>
      </w:r>
      <w:r w:rsidR="00EB6F1A" w:rsidRPr="00EB6F1A">
        <w:rPr>
          <w:vertAlign w:val="superscript"/>
        </w:rPr>
      </w:r>
      <w:r w:rsidR="00EB6F1A" w:rsidRPr="00EB6F1A">
        <w:rPr>
          <w:vertAlign w:val="superscript"/>
        </w:rPr>
        <w:fldChar w:fldCharType="separate"/>
      </w:r>
      <w:r w:rsidR="00791D8C">
        <w:rPr>
          <w:vertAlign w:val="superscript"/>
        </w:rPr>
        <w:t>17</w:t>
      </w:r>
      <w:r w:rsidR="00EB6F1A" w:rsidRPr="00EB6F1A">
        <w:rPr>
          <w:vertAlign w:val="superscript"/>
        </w:rPr>
        <w:fldChar w:fldCharType="end"/>
      </w:r>
      <w:r>
        <w:t xml:space="preserve"> is permitted to be used as a food additive according to Schedule 15 of the </w:t>
      </w:r>
      <w:r w:rsidRPr="00C775D7">
        <w:rPr>
          <w:i/>
          <w:iCs/>
        </w:rPr>
        <w:t xml:space="preserve">Australia New Zealand Food Standards </w:t>
      </w:r>
      <w:r w:rsidRPr="009B506C">
        <w:rPr>
          <w:i/>
          <w:iCs/>
        </w:rPr>
        <w:t xml:space="preserve">Code </w:t>
      </w:r>
      <w:r w:rsidR="00DC11B9">
        <w:t>–</w:t>
      </w:r>
      <w:r w:rsidRPr="009B506C">
        <w:rPr>
          <w:i/>
          <w:iCs/>
        </w:rPr>
        <w:t xml:space="preserve"> Standard 1.3.1 </w:t>
      </w:r>
      <w:r w:rsidR="00DC11B9">
        <w:t>–</w:t>
      </w:r>
      <w:r w:rsidRPr="009B506C">
        <w:rPr>
          <w:i/>
          <w:iCs/>
        </w:rPr>
        <w:t xml:space="preserve"> Food Additives</w:t>
      </w:r>
      <w:r>
        <w:t>, as long as the human health exposure expected from the industrial use of the chemical is no higher than the human health exposure expected from food use, or</w:t>
      </w:r>
    </w:p>
    <w:p w14:paraId="134F84F3" w14:textId="39C8B9A7" w:rsidR="00166345" w:rsidRDefault="00166345" w:rsidP="00C144B1">
      <w:pPr>
        <w:pStyle w:val="Bulletlist2"/>
      </w:pPr>
      <w:r>
        <w:t>information</w:t>
      </w:r>
      <w:r w:rsidR="00EB6F1A" w:rsidRPr="00EB6F1A">
        <w:rPr>
          <w:vertAlign w:val="superscript"/>
        </w:rPr>
        <w:fldChar w:fldCharType="begin"/>
      </w:r>
      <w:r w:rsidR="00EB6F1A" w:rsidRPr="00791D8C">
        <w:rPr>
          <w:vertAlign w:val="superscript"/>
        </w:rPr>
        <w:instrText xml:space="preserve"> NOTEREF _Ref191048055 \h  \* MERGEFORMAT </w:instrText>
      </w:r>
      <w:r w:rsidR="00EB6F1A" w:rsidRPr="00EB6F1A">
        <w:rPr>
          <w:vertAlign w:val="superscript"/>
        </w:rPr>
      </w:r>
      <w:r w:rsidR="00EB6F1A" w:rsidRPr="00EB6F1A">
        <w:rPr>
          <w:vertAlign w:val="superscript"/>
        </w:rPr>
        <w:fldChar w:fldCharType="separate"/>
      </w:r>
      <w:r w:rsidR="00791D8C">
        <w:rPr>
          <w:vertAlign w:val="superscript"/>
        </w:rPr>
        <w:t>17</w:t>
      </w:r>
      <w:r w:rsidR="00EB6F1A" w:rsidRPr="00EB6F1A">
        <w:rPr>
          <w:vertAlign w:val="superscript"/>
        </w:rPr>
        <w:fldChar w:fldCharType="end"/>
      </w:r>
      <w:r>
        <w:t xml:space="preserve"> that demonstrates that the chemical is a substance covered by Entry 9 of Annex V of the REACH Regulation, or</w:t>
      </w:r>
    </w:p>
    <w:p w14:paraId="6CAC0FF4" w14:textId="2965BB09" w:rsidR="00166345" w:rsidRDefault="00166345" w:rsidP="00C144B1">
      <w:pPr>
        <w:pStyle w:val="Bulletlist2"/>
      </w:pPr>
      <w:r>
        <w:t>a test result</w:t>
      </w:r>
      <w:r w:rsidR="00EB6F1A" w:rsidRPr="00EB6F1A">
        <w:rPr>
          <w:vertAlign w:val="superscript"/>
        </w:rPr>
        <w:fldChar w:fldCharType="begin"/>
      </w:r>
      <w:r w:rsidR="00EB6F1A" w:rsidRPr="00791D8C">
        <w:rPr>
          <w:vertAlign w:val="superscript"/>
        </w:rPr>
        <w:instrText xml:space="preserve"> NOTEREF _Ref191048055 \h  \* MERGEFORMAT </w:instrText>
      </w:r>
      <w:r w:rsidR="00EB6F1A" w:rsidRPr="00EB6F1A">
        <w:rPr>
          <w:vertAlign w:val="superscript"/>
        </w:rPr>
      </w:r>
      <w:r w:rsidR="00EB6F1A" w:rsidRPr="00EB6F1A">
        <w:rPr>
          <w:vertAlign w:val="superscript"/>
        </w:rPr>
        <w:fldChar w:fldCharType="separate"/>
      </w:r>
      <w:r w:rsidR="00791D8C">
        <w:rPr>
          <w:vertAlign w:val="superscript"/>
        </w:rPr>
        <w:t>17</w:t>
      </w:r>
      <w:r w:rsidR="00EB6F1A" w:rsidRPr="00EB6F1A">
        <w:rPr>
          <w:vertAlign w:val="superscript"/>
        </w:rPr>
        <w:fldChar w:fldCharType="end"/>
      </w:r>
      <w:r>
        <w:t xml:space="preserve"> from at least one in vivo study on the chemical or from suitable read across information, as detailed below, with the administration route dependent on the most relevant route of exposure (or the oral route if information on the most relevant route is not available):</w:t>
      </w:r>
    </w:p>
    <w:p w14:paraId="1FECEDE4" w14:textId="0620E230" w:rsidR="00166345" w:rsidRDefault="00166345" w:rsidP="00103519">
      <w:pPr>
        <w:pStyle w:val="Bulletlist3"/>
      </w:pPr>
      <w:r>
        <w:t>conducted following an acceptable test guideline for acute oral toxicity with an LD50 &gt;</w:t>
      </w:r>
      <w:r w:rsidR="00515DA0">
        <w:t xml:space="preserve"> </w:t>
      </w:r>
      <w:r>
        <w:t>300 mg/kg bw, or</w:t>
      </w:r>
    </w:p>
    <w:p w14:paraId="5F6F0D2E" w14:textId="77777777" w:rsidR="00166345" w:rsidRDefault="00166345" w:rsidP="00103519">
      <w:pPr>
        <w:pStyle w:val="Bulletlist3"/>
      </w:pPr>
      <w:r>
        <w:t>conducted following an acceptable test guideline for acute dermal toxicity with an LD50 &gt; 1,000 mg/kg bw, or</w:t>
      </w:r>
    </w:p>
    <w:p w14:paraId="4259973F" w14:textId="77777777" w:rsidR="00166345" w:rsidRDefault="00166345" w:rsidP="00103519">
      <w:pPr>
        <w:pStyle w:val="Bulletlist3"/>
      </w:pPr>
      <w:r>
        <w:t>conducted following an acceptable test guideline for acute inhalation toxicity, with an LC50:</w:t>
      </w:r>
    </w:p>
    <w:p w14:paraId="020C1732" w14:textId="77777777" w:rsidR="00166345" w:rsidRDefault="00166345" w:rsidP="00881ECD">
      <w:pPr>
        <w:pStyle w:val="Bulletlist4"/>
      </w:pPr>
      <w:r>
        <w:t xml:space="preserve">for gases </w:t>
      </w:r>
      <w:r w:rsidR="0080112F">
        <w:t>–</w:t>
      </w:r>
      <w:r>
        <w:t xml:space="preserve"> &gt; 2,500 </w:t>
      </w:r>
      <w:proofErr w:type="spellStart"/>
      <w:r>
        <w:t>ppmV</w:t>
      </w:r>
      <w:proofErr w:type="spellEnd"/>
      <w:r>
        <w:t xml:space="preserve">/4h, or </w:t>
      </w:r>
    </w:p>
    <w:p w14:paraId="24E27B55" w14:textId="77777777" w:rsidR="00166345" w:rsidRDefault="00166345" w:rsidP="00881ECD">
      <w:pPr>
        <w:pStyle w:val="Bulletlist4"/>
      </w:pPr>
      <w:r>
        <w:t xml:space="preserve">for vapours </w:t>
      </w:r>
      <w:r w:rsidR="0080112F">
        <w:t>–</w:t>
      </w:r>
      <w:r>
        <w:t xml:space="preserve"> &gt; 10 mg/L/4h, or </w:t>
      </w:r>
    </w:p>
    <w:p w14:paraId="1FA23F21" w14:textId="130552C0" w:rsidR="00166345" w:rsidRDefault="00166345" w:rsidP="00881ECD">
      <w:pPr>
        <w:pStyle w:val="Bulletlist4"/>
      </w:pPr>
      <w:r>
        <w:t xml:space="preserve">for dusts/mists/fumes </w:t>
      </w:r>
      <w:r w:rsidR="0080112F">
        <w:t>–</w:t>
      </w:r>
      <w:r>
        <w:t xml:space="preserve"> &gt;</w:t>
      </w:r>
      <w:r w:rsidR="00515DA0">
        <w:t xml:space="preserve"> </w:t>
      </w:r>
      <w:r>
        <w:t>1 mg/L/4h, or</w:t>
      </w:r>
    </w:p>
    <w:p w14:paraId="2E5C97E7" w14:textId="041141E1" w:rsidR="00B72C01" w:rsidRDefault="00166345" w:rsidP="00C144B1">
      <w:pPr>
        <w:pStyle w:val="Bulletlist2"/>
      </w:pPr>
      <w:r>
        <w:lastRenderedPageBreak/>
        <w:t>test results</w:t>
      </w:r>
      <w:r w:rsidR="00EB6F1A">
        <w:rPr>
          <w:rStyle w:val="FootnoteReference"/>
        </w:rPr>
        <w:footnoteReference w:id="19"/>
      </w:r>
      <w:r>
        <w:t xml:space="preserve"> from an in vivo study via the oral route on the chemical or from suitable read</w:t>
      </w:r>
      <w:r w:rsidR="007701ED">
        <w:t>-</w:t>
      </w:r>
      <w:r>
        <w:t>across information, conducted following an acceptable test guideline for subacute oral toxicity, with a NOAEL ≥ 1,000 mg/kg bw/day.</w:t>
      </w:r>
    </w:p>
    <w:p w14:paraId="313C3443" w14:textId="77777777" w:rsidR="00EB2589" w:rsidRDefault="00EB2589" w:rsidP="00AA46DC">
      <w:pPr>
        <w:pStyle w:val="Heading2"/>
      </w:pPr>
      <w:bookmarkStart w:id="40" w:name="_Toc238816823"/>
      <w:r>
        <w:t>6.16</w:t>
      </w:r>
      <w:r w:rsidR="00F93FFD">
        <w:tab/>
      </w:r>
      <w:r>
        <w:t>Specific target organ toxicity after repeated exposure – Human health hazard band B</w:t>
      </w:r>
      <w:bookmarkEnd w:id="40"/>
    </w:p>
    <w:p w14:paraId="6DADC2C8" w14:textId="77777777" w:rsidR="00EB2589" w:rsidRDefault="00EB2589" w:rsidP="00AA46DC">
      <w:pPr>
        <w:pStyle w:val="Heading3"/>
      </w:pPr>
      <w:r>
        <w:t>6.16.1</w:t>
      </w:r>
      <w:r w:rsidR="00F93FFD">
        <w:tab/>
      </w:r>
      <w:r>
        <w:t>Clause 2 of Part 1, Schedule 1 to the IC General Rules</w:t>
      </w:r>
    </w:p>
    <w:p w14:paraId="3E1667B2" w14:textId="77777777" w:rsidR="00EB2589" w:rsidRDefault="00EB2589" w:rsidP="00EB2589">
      <w:r>
        <w:t>For the purposes of table item 14 of Clause 2, Part 1, Schedule 1 of the IC General Rules:</w:t>
      </w:r>
    </w:p>
    <w:p w14:paraId="7C94E702" w14:textId="77777777" w:rsidR="00EB2589" w:rsidRDefault="00EB2589" w:rsidP="00EB2589">
      <w:r w:rsidRPr="00AA46DC">
        <w:rPr>
          <w:b/>
          <w:bCs/>
        </w:rPr>
        <w:t>Specific target organ toxicity after repeated exposure</w:t>
      </w:r>
      <w:r>
        <w:t xml:space="preserve"> means that any of the following apply to the industrial chemical:</w:t>
      </w:r>
    </w:p>
    <w:p w14:paraId="776F45A3" w14:textId="77777777" w:rsidR="00EB2589" w:rsidRDefault="00EB2589" w:rsidP="000A5B68">
      <w:pPr>
        <w:pStyle w:val="Bulletlist"/>
      </w:pPr>
      <w:r>
        <w:t>the chemical is known to exhibit significant toxicity or be potentially harmful to human health following repeated exposure, as described in chapter 3.9 of the GHS, with the chemical classified as specific target organ toxicity – repeated exposure (category 1 or 2), or</w:t>
      </w:r>
    </w:p>
    <w:p w14:paraId="02CF7F9F" w14:textId="77777777" w:rsidR="00EB2589" w:rsidRDefault="00EB2589" w:rsidP="000A5B68">
      <w:pPr>
        <w:pStyle w:val="Bulletlist"/>
      </w:pPr>
      <w:r>
        <w:t>an in vivo study on the chemical:</w:t>
      </w:r>
    </w:p>
    <w:p w14:paraId="6D5F9E8C" w14:textId="77777777" w:rsidR="00EB2589" w:rsidRDefault="00EB2589" w:rsidP="00C144B1">
      <w:pPr>
        <w:pStyle w:val="Bulletlist2"/>
      </w:pPr>
      <w:r>
        <w:t>conducted following an acceptable test guideline for subacute oral toxicity</w:t>
      </w:r>
      <w:r w:rsidR="000007C0">
        <w:t xml:space="preserve"> </w:t>
      </w:r>
      <w:r>
        <w:t>results in significant toxic effects of relevance to human health, as discussed in chapter 3.9 of the GHS, and a NOAEL (oral) value of &lt; 300 mg/kg bw/day, or</w:t>
      </w:r>
    </w:p>
    <w:p w14:paraId="08524C03" w14:textId="54CB740A" w:rsidR="00EB2589" w:rsidRDefault="00EB2589" w:rsidP="00C144B1">
      <w:pPr>
        <w:pStyle w:val="Bulletlist2"/>
      </w:pPr>
      <w:r>
        <w:t>conducted following an acceptable test guideline for subchronic oral toxicity</w:t>
      </w:r>
      <w:r w:rsidR="008F5476">
        <w:t xml:space="preserve"> </w:t>
      </w:r>
      <w:r>
        <w:t>results in significant toxic effects of relevance to human health, as discussed in chapter 3.9 of the GHS, and a NOAEL (oral) of &lt; 100 mg/kg bw/day, or</w:t>
      </w:r>
    </w:p>
    <w:p w14:paraId="583ACFE7" w14:textId="77777777" w:rsidR="00EB2589" w:rsidRDefault="00EB2589" w:rsidP="00C144B1">
      <w:pPr>
        <w:pStyle w:val="Bulletlist2"/>
      </w:pPr>
      <w:r>
        <w:t>conducted following an acceptable test guideline for subacute dermal toxicity</w:t>
      </w:r>
      <w:r w:rsidR="0092309B">
        <w:t xml:space="preserve"> </w:t>
      </w:r>
      <w:r>
        <w:t>results in significant toxic effects of relevance to human health, as discussed in chapter 3.9 of the GHS, and a NOAEL (dermal) value of &lt; 600 mg/kg bw/day, or</w:t>
      </w:r>
    </w:p>
    <w:p w14:paraId="6346AF53" w14:textId="77777777" w:rsidR="00EB2589" w:rsidRDefault="00EB2589" w:rsidP="00C144B1">
      <w:pPr>
        <w:pStyle w:val="Bulletlist2"/>
      </w:pPr>
      <w:r>
        <w:t>conducted following an acceptable test guideline for subchronic dermal toxicity results in significant toxic effects of relevance to human health, as discussed in chapter 3.9 of the GHS, and a NOAEL (dermal) of &lt; 200 mg/kg bw/day, or</w:t>
      </w:r>
    </w:p>
    <w:p w14:paraId="29C0FE43" w14:textId="77777777" w:rsidR="00EB2589" w:rsidRDefault="00EB2589" w:rsidP="00C144B1">
      <w:pPr>
        <w:pStyle w:val="Bulletlist2"/>
      </w:pPr>
      <w:r>
        <w:t>conducted following an acceptable test guideline for subacute inhalation toxicity results in significant toxic effects of relevance to human health, as discussed in chapter 3.9 of the GHS, and a NOAEC (inhalation) of:</w:t>
      </w:r>
    </w:p>
    <w:p w14:paraId="6BE71486" w14:textId="77777777" w:rsidR="00EB2589" w:rsidRDefault="00EB2589" w:rsidP="00103519">
      <w:pPr>
        <w:pStyle w:val="Bulletlist3"/>
      </w:pPr>
      <w:r>
        <w:t xml:space="preserve">for gases </w:t>
      </w:r>
      <w:r w:rsidR="00CE1683">
        <w:t>–</w:t>
      </w:r>
      <w:r>
        <w:t xml:space="preserve"> &lt; 750 </w:t>
      </w:r>
      <w:proofErr w:type="spellStart"/>
      <w:r>
        <w:t>ppmV</w:t>
      </w:r>
      <w:proofErr w:type="spellEnd"/>
      <w:r>
        <w:t>/6 h/day, or</w:t>
      </w:r>
    </w:p>
    <w:p w14:paraId="1B0B3DC3" w14:textId="77777777" w:rsidR="00EB2589" w:rsidRDefault="00EB2589" w:rsidP="00CE1683">
      <w:pPr>
        <w:pStyle w:val="Bulletlist3"/>
      </w:pPr>
      <w:r>
        <w:t>for vapours</w:t>
      </w:r>
      <w:r w:rsidR="00CE1683">
        <w:t xml:space="preserve"> –</w:t>
      </w:r>
      <w:r>
        <w:t xml:space="preserve"> &lt; 3 mg/L/6 h/day, or</w:t>
      </w:r>
    </w:p>
    <w:p w14:paraId="194D16AB" w14:textId="77777777" w:rsidR="00EB2589" w:rsidRDefault="00EB2589" w:rsidP="00103519">
      <w:pPr>
        <w:pStyle w:val="Bulletlist3"/>
      </w:pPr>
      <w:r>
        <w:t>for dusts/mists/fumes</w:t>
      </w:r>
      <w:r w:rsidR="00A47B5E">
        <w:t xml:space="preserve"> –</w:t>
      </w:r>
      <w:r>
        <w:t xml:space="preserve"> &lt; 0.6 mg/L/6 h/day, or</w:t>
      </w:r>
    </w:p>
    <w:p w14:paraId="3D6B53C5" w14:textId="77777777" w:rsidR="00EB2589" w:rsidRDefault="00EB2589" w:rsidP="00C144B1">
      <w:pPr>
        <w:pStyle w:val="Bulletlist2"/>
      </w:pPr>
      <w:r>
        <w:t>conducted following an acceptable test guideline for subchronic inhalation toxicity results in significant toxic effects of relevance to human health, as discussed in chapter 3.9 of the GHS, and a NOAEC (inhalation) of:</w:t>
      </w:r>
    </w:p>
    <w:p w14:paraId="59798881" w14:textId="77777777" w:rsidR="00EB2589" w:rsidRDefault="00EB2589" w:rsidP="00103519">
      <w:pPr>
        <w:pStyle w:val="Bulletlist3"/>
      </w:pPr>
      <w:r>
        <w:t xml:space="preserve">for gases </w:t>
      </w:r>
      <w:r w:rsidR="00A47B5E">
        <w:t>–</w:t>
      </w:r>
      <w:r>
        <w:t xml:space="preserve"> &lt; 250 </w:t>
      </w:r>
      <w:proofErr w:type="spellStart"/>
      <w:r>
        <w:t>ppmV</w:t>
      </w:r>
      <w:proofErr w:type="spellEnd"/>
      <w:r>
        <w:t>/6 h/day, or</w:t>
      </w:r>
    </w:p>
    <w:p w14:paraId="267691D5" w14:textId="77777777" w:rsidR="00EB2589" w:rsidRDefault="00EB2589" w:rsidP="00103519">
      <w:pPr>
        <w:pStyle w:val="Bulletlist3"/>
      </w:pPr>
      <w:r>
        <w:t xml:space="preserve">for vapours </w:t>
      </w:r>
      <w:r w:rsidR="005368A5">
        <w:t>–</w:t>
      </w:r>
      <w:r>
        <w:t xml:space="preserve"> &lt; 1 mg/L/6 h/day, or</w:t>
      </w:r>
    </w:p>
    <w:p w14:paraId="2DC57178" w14:textId="77777777" w:rsidR="00B72C01" w:rsidRDefault="00EB2589" w:rsidP="00103519">
      <w:pPr>
        <w:pStyle w:val="Bulletlist3"/>
      </w:pPr>
      <w:r>
        <w:t xml:space="preserve">for dusts/mists/fumes </w:t>
      </w:r>
      <w:r w:rsidR="005368A5">
        <w:t xml:space="preserve">– </w:t>
      </w:r>
      <w:r>
        <w:t>&lt; 0.2 mg/L/6 h/da</w:t>
      </w:r>
      <w:r w:rsidR="009954A4">
        <w:t>y</w:t>
      </w:r>
    </w:p>
    <w:p w14:paraId="0A9EE150" w14:textId="77777777" w:rsidR="00F05F81" w:rsidRDefault="00F05F81" w:rsidP="005A5E0D">
      <w:pPr>
        <w:pStyle w:val="Heading3"/>
      </w:pPr>
      <w:r>
        <w:lastRenderedPageBreak/>
        <w:t>6.16.2</w:t>
      </w:r>
      <w:r w:rsidR="005A5E0D">
        <w:tab/>
      </w:r>
      <w:r>
        <w:t xml:space="preserve">Section 30 of the IC General Rules </w:t>
      </w:r>
      <w:r w:rsidR="005B7E03">
        <w:t>–</w:t>
      </w:r>
      <w:r>
        <w:t xml:space="preserve"> Information required to demonstrate the absence of hazard characteristics </w:t>
      </w:r>
    </w:p>
    <w:p w14:paraId="0C366FF0" w14:textId="77777777" w:rsidR="00F05F81" w:rsidRDefault="00F05F81" w:rsidP="00F05F81">
      <w:r>
        <w:t xml:space="preserve">For the purposes of subparagraph 30(2)(c)(iv) of the IC General Rules, information is required to demonstrate the absence of the hazard characteristic, </w:t>
      </w:r>
      <w:r w:rsidRPr="00DB7F45">
        <w:rPr>
          <w:b/>
          <w:bCs/>
        </w:rPr>
        <w:t>specific target organ toxicity after repeated exposure</w:t>
      </w:r>
      <w:r>
        <w:t>, if:</w:t>
      </w:r>
    </w:p>
    <w:p w14:paraId="1F7114AB" w14:textId="77777777" w:rsidR="00F05F81" w:rsidRPr="00BF7022" w:rsidRDefault="00F05F81" w:rsidP="000A5B68">
      <w:pPr>
        <w:pStyle w:val="Bulletlist"/>
      </w:pPr>
      <w:r w:rsidRPr="00BF7022">
        <w:t>the human health exposure band for the introduction is 4, and</w:t>
      </w:r>
    </w:p>
    <w:p w14:paraId="5032ACBA" w14:textId="77777777" w:rsidR="00F05F81" w:rsidRPr="00BF7022" w:rsidRDefault="00F05F81" w:rsidP="000A5B68">
      <w:pPr>
        <w:pStyle w:val="Bulletlist"/>
      </w:pPr>
      <w:r w:rsidRPr="00BF7022">
        <w:t>you are seeking to demonstrate that the introduction meets the criteria for low risk or very low risk,</w:t>
      </w:r>
    </w:p>
    <w:p w14:paraId="431935C9" w14:textId="77777777" w:rsidR="00F05F81" w:rsidRDefault="00F05F81" w:rsidP="00F05F81">
      <w:r>
        <w:t>and any of the following apply:</w:t>
      </w:r>
    </w:p>
    <w:p w14:paraId="39312E2C" w14:textId="63796680" w:rsidR="00F05F81" w:rsidRDefault="00F05F81" w:rsidP="001953B9">
      <w:pPr>
        <w:pStyle w:val="ListParagraph"/>
      </w:pPr>
      <w:r>
        <w:t>the human health categorisation volume for the introduction is &gt;</w:t>
      </w:r>
      <w:r w:rsidR="00515DA0">
        <w:t xml:space="preserve"> </w:t>
      </w:r>
      <w:r>
        <w:t>100 kg and the chemical is introduced for end use in any of the following types of articles:</w:t>
      </w:r>
    </w:p>
    <w:p w14:paraId="2EC512C5" w14:textId="77777777" w:rsidR="00F05F81" w:rsidRDefault="00F05F81" w:rsidP="00C144B1">
      <w:pPr>
        <w:pStyle w:val="Bulletlist2"/>
      </w:pPr>
      <w:r>
        <w:t>food contact, or</w:t>
      </w:r>
    </w:p>
    <w:p w14:paraId="596DDFAA" w14:textId="77777777" w:rsidR="00F05F81" w:rsidRDefault="00F05F81" w:rsidP="00C144B1">
      <w:pPr>
        <w:pStyle w:val="Bulletlist2"/>
      </w:pPr>
      <w:r>
        <w:t>children’s toys that can be placed in the mouth, or</w:t>
      </w:r>
    </w:p>
    <w:p w14:paraId="672A5D43" w14:textId="77777777" w:rsidR="00F05F81" w:rsidRDefault="00F05F81" w:rsidP="00C144B1">
      <w:pPr>
        <w:pStyle w:val="Bulletlist2"/>
      </w:pPr>
      <w:r>
        <w:t>children’s care products that can be placed in the mouth, or</w:t>
      </w:r>
    </w:p>
    <w:p w14:paraId="5F48D1BE" w14:textId="00FA232C" w:rsidR="00F05F81" w:rsidRDefault="00F05F81" w:rsidP="00893F5D">
      <w:pPr>
        <w:pStyle w:val="ListParagraph"/>
      </w:pPr>
      <w:r>
        <w:t>the human health categorisation volume for the introduction is &gt;</w:t>
      </w:r>
      <w:r w:rsidR="00515DA0">
        <w:t xml:space="preserve"> </w:t>
      </w:r>
      <w:r>
        <w:t>1000 kg and the chemical is not introduced for end use in any of the following types of articles:</w:t>
      </w:r>
    </w:p>
    <w:p w14:paraId="07A35047" w14:textId="77777777" w:rsidR="00F05F81" w:rsidRDefault="00F05F81" w:rsidP="00C144B1">
      <w:pPr>
        <w:pStyle w:val="Bulletlist2"/>
      </w:pPr>
      <w:r>
        <w:t>food contact, or</w:t>
      </w:r>
    </w:p>
    <w:p w14:paraId="1F4B56A3" w14:textId="77777777" w:rsidR="00F05F81" w:rsidRDefault="00F05F81" w:rsidP="00C144B1">
      <w:pPr>
        <w:pStyle w:val="Bulletlist2"/>
      </w:pPr>
      <w:r>
        <w:t>children’s toys that can be placed in the mouth, or</w:t>
      </w:r>
    </w:p>
    <w:p w14:paraId="28477073" w14:textId="77777777" w:rsidR="00B72C01" w:rsidRDefault="00F05F81" w:rsidP="00C144B1">
      <w:pPr>
        <w:pStyle w:val="Bulletlist2"/>
      </w:pPr>
      <w:r>
        <w:t>children’s care products that can be placed in the mouth.</w:t>
      </w:r>
    </w:p>
    <w:p w14:paraId="57B1BF52" w14:textId="77777777" w:rsidR="00B72C01" w:rsidRDefault="006855D1" w:rsidP="5E1450C1">
      <w:r>
        <w:t xml:space="preserve">If 1 or 2 apply, the information required to demonstrate that a chemical does not have the hazard characteristic, </w:t>
      </w:r>
      <w:r w:rsidRPr="00467EE8">
        <w:rPr>
          <w:b/>
          <w:bCs/>
        </w:rPr>
        <w:t>specific target organ toxicity after repeated exposure</w:t>
      </w:r>
      <w:r>
        <w:t>, is at least one of the following:</w:t>
      </w:r>
    </w:p>
    <w:p w14:paraId="59059AEF" w14:textId="77777777" w:rsidR="008E6797" w:rsidRDefault="008E6797" w:rsidP="000A5B68">
      <w:pPr>
        <w:pStyle w:val="Bulletlist"/>
      </w:pPr>
      <w:r>
        <w:t xml:space="preserve">inclusion of the chemical in the Select Committee on GRAS Substances (SCOGS) Database as a Type 1 conclusion, </w:t>
      </w:r>
      <w:proofErr w:type="gramStart"/>
      <w:r>
        <w:t>as long as</w:t>
      </w:r>
      <w:proofErr w:type="gramEnd"/>
      <w:r>
        <w:t xml:space="preserve"> the human health exposure expected from the industrial use of the chemical is no higher than the human health exposure expected from food use, or</w:t>
      </w:r>
    </w:p>
    <w:p w14:paraId="47159D1D" w14:textId="77777777" w:rsidR="008E6797" w:rsidRDefault="008E6797" w:rsidP="000A5B68">
      <w:pPr>
        <w:pStyle w:val="Bulletlist"/>
      </w:pPr>
      <w:r>
        <w:t xml:space="preserve">the chemical has been notified to the US FDA GRAS notification program and FDA had no questions about the notifier’s conclusion of GRAS status, </w:t>
      </w:r>
      <w:proofErr w:type="gramStart"/>
      <w:r>
        <w:t>as long as</w:t>
      </w:r>
      <w:proofErr w:type="gramEnd"/>
      <w:r>
        <w:t xml:space="preserve"> the human health exposure expected from the industrial use of the chemical is no higher than the human health exposure expected from food use, or</w:t>
      </w:r>
    </w:p>
    <w:p w14:paraId="233936A8" w14:textId="77777777" w:rsidR="008E6797" w:rsidRDefault="008E6797" w:rsidP="000A5B68">
      <w:pPr>
        <w:pStyle w:val="Bulletlist"/>
      </w:pPr>
      <w:r>
        <w:t xml:space="preserve">the chemical is permitted to be used as a food additive according to Schedule 15 of the </w:t>
      </w:r>
      <w:r w:rsidRPr="00BD555C">
        <w:rPr>
          <w:i/>
          <w:iCs/>
        </w:rPr>
        <w:t xml:space="preserve">Australia New Zealand Food Standards Code </w:t>
      </w:r>
      <w:r w:rsidR="005B7E03">
        <w:rPr>
          <w:i/>
          <w:iCs/>
        </w:rPr>
        <w:t>–</w:t>
      </w:r>
      <w:r w:rsidRPr="00BD555C">
        <w:rPr>
          <w:i/>
          <w:iCs/>
        </w:rPr>
        <w:t xml:space="preserve"> Standard 1.3.1 </w:t>
      </w:r>
      <w:r w:rsidR="005B7E03">
        <w:rPr>
          <w:i/>
          <w:iCs/>
        </w:rPr>
        <w:t>–</w:t>
      </w:r>
      <w:r w:rsidRPr="00BD555C">
        <w:rPr>
          <w:i/>
          <w:iCs/>
        </w:rPr>
        <w:t xml:space="preserve"> Food Additives</w:t>
      </w:r>
      <w:r>
        <w:t xml:space="preserve">, </w:t>
      </w:r>
      <w:proofErr w:type="gramStart"/>
      <w:r>
        <w:t>as long as</w:t>
      </w:r>
      <w:proofErr w:type="gramEnd"/>
      <w:r>
        <w:t xml:space="preserve"> the human health exposure expected from the industrial use of the chemical is no higher than the human health exposure expected from food use, or</w:t>
      </w:r>
    </w:p>
    <w:p w14:paraId="64F28BB1" w14:textId="77777777" w:rsidR="008E6797" w:rsidRDefault="008E6797" w:rsidP="000A5B68">
      <w:pPr>
        <w:pStyle w:val="Bulletlist"/>
      </w:pPr>
      <w:r>
        <w:t>information that demonstrates that the chemical is a substance covered by Entry 9 of Annex V of the REACH Regulation, or</w:t>
      </w:r>
    </w:p>
    <w:p w14:paraId="47E5FC23" w14:textId="77777777" w:rsidR="00956F09" w:rsidRDefault="008E6797" w:rsidP="000A5B68">
      <w:pPr>
        <w:pStyle w:val="Bulletlist"/>
      </w:pPr>
      <w:r>
        <w:t>information that demonstrates that the chemical is a high molecular weight polymer that has:</w:t>
      </w:r>
    </w:p>
    <w:p w14:paraId="5D06A7B3" w14:textId="573BA2C3" w:rsidR="00961DAF" w:rsidRDefault="00961DAF" w:rsidP="00C144B1">
      <w:pPr>
        <w:pStyle w:val="Bulletlist2"/>
      </w:pPr>
      <w:r>
        <w:t>&lt;</w:t>
      </w:r>
      <w:r w:rsidR="00515DA0">
        <w:t xml:space="preserve"> </w:t>
      </w:r>
      <w:r>
        <w:t>5% by mass of molecules with molecular weight &lt;</w:t>
      </w:r>
      <w:r w:rsidR="00515DA0">
        <w:t xml:space="preserve"> </w:t>
      </w:r>
      <w:r>
        <w:t>1000 g/mol, and</w:t>
      </w:r>
    </w:p>
    <w:p w14:paraId="635C67D3" w14:textId="05918D55" w:rsidR="00B72C01" w:rsidRDefault="00961DAF" w:rsidP="00C144B1">
      <w:pPr>
        <w:pStyle w:val="Bulletlist2"/>
      </w:pPr>
      <w:r>
        <w:t>&lt;</w:t>
      </w:r>
      <w:r w:rsidR="00515DA0">
        <w:t xml:space="preserve"> </w:t>
      </w:r>
      <w:r>
        <w:t>2% by mass of molecules with molecular weight &lt;</w:t>
      </w:r>
      <w:r w:rsidR="00515DA0">
        <w:t xml:space="preserve"> </w:t>
      </w:r>
      <w:r>
        <w:t>500 g/mol, or</w:t>
      </w:r>
    </w:p>
    <w:p w14:paraId="6B07F5C6" w14:textId="77777777" w:rsidR="00CC7A2B" w:rsidRDefault="00CC7A2B" w:rsidP="000A5B68">
      <w:pPr>
        <w:pStyle w:val="Bulletlist"/>
      </w:pPr>
      <w:r>
        <w:t>a test result from at least one in vivo study on the chemical or from suitable read across information, as detailed below, with the administration route dependent on the most relevant route of exposure (or the oral route if information on the most relevant route is not available):</w:t>
      </w:r>
    </w:p>
    <w:p w14:paraId="2B6C8AE4" w14:textId="77777777" w:rsidR="00CC7A2B" w:rsidRDefault="00CC7A2B" w:rsidP="00C144B1">
      <w:pPr>
        <w:pStyle w:val="Bulletlist2"/>
      </w:pPr>
      <w:r>
        <w:t>conducted following an acceptable test guideline for subacute oral toxicity, in which the NOAEL (oral) is ≥ 300 mg/kg bw/day or there were no significant toxic effects of relevance to human health (as described in chapter 3.9 of the GHS) produced, or</w:t>
      </w:r>
    </w:p>
    <w:p w14:paraId="7E191E46" w14:textId="77777777" w:rsidR="00CC7A2B" w:rsidRDefault="00CC7A2B" w:rsidP="00C144B1">
      <w:pPr>
        <w:pStyle w:val="Bulletlist2"/>
      </w:pPr>
      <w:r>
        <w:t>conducted following an acceptable test guideline for subchronic oral toxicity, in which the NOAEL (oral) is ≥ 100 mg/kg bw/day or there were no significant toxic effects of relevance to human health (as described in chapter 3.9 of the GHS) produced, or</w:t>
      </w:r>
    </w:p>
    <w:p w14:paraId="24AB4E48" w14:textId="77777777" w:rsidR="00CC7A2B" w:rsidRDefault="00CC7A2B" w:rsidP="00C144B1">
      <w:pPr>
        <w:pStyle w:val="Bulletlist2"/>
      </w:pPr>
      <w:r>
        <w:t>conducted following an acceptable test guideline for subacute dermal toxicity,</w:t>
      </w:r>
      <w:r w:rsidR="00136E2F">
        <w:t xml:space="preserve"> </w:t>
      </w:r>
      <w:r>
        <w:t>in which the NOAEL (dermal) is ≥ 600 mg/kg bw/day or there were no significant toxic effects of relevance to human health (as described in chapter 3.9 of the GHS) produced, or</w:t>
      </w:r>
    </w:p>
    <w:p w14:paraId="5AE6D488" w14:textId="77777777" w:rsidR="00CC7A2B" w:rsidRDefault="00CC7A2B" w:rsidP="00C144B1">
      <w:pPr>
        <w:pStyle w:val="Bulletlist2"/>
      </w:pPr>
      <w:r>
        <w:lastRenderedPageBreak/>
        <w:t>conducted following an acceptable test guideline for subchronic dermal toxicity, in which the NOAEL (dermal) is ≥ 200 mg/kg bw/day or there were no significant toxic effects of relevance to human health (as described in chapter 3.9 of the GHS) produced, or</w:t>
      </w:r>
    </w:p>
    <w:p w14:paraId="64743DF8" w14:textId="77777777" w:rsidR="00CC7A2B" w:rsidRDefault="00CC7A2B" w:rsidP="00C144B1">
      <w:pPr>
        <w:pStyle w:val="Bulletlist2"/>
      </w:pPr>
      <w:r>
        <w:t>conducted following an acceptable test guideline for subacute inhalation toxicity, in which there were no significant toxic effects of relevance to human health (as described in chapter 3.9 of the GHS) produced, or the NOAEC (inhalation) is:</w:t>
      </w:r>
    </w:p>
    <w:p w14:paraId="5A7A47C1" w14:textId="77777777" w:rsidR="00CC7A2B" w:rsidRDefault="00CC7A2B" w:rsidP="00103519">
      <w:pPr>
        <w:pStyle w:val="Bulletlist3"/>
      </w:pPr>
      <w:r>
        <w:t xml:space="preserve">for gases </w:t>
      </w:r>
      <w:r w:rsidR="00EA3BCC">
        <w:t>–</w:t>
      </w:r>
      <w:r>
        <w:t xml:space="preserve"> ≥ 750 </w:t>
      </w:r>
      <w:proofErr w:type="spellStart"/>
      <w:r>
        <w:t>ppmV</w:t>
      </w:r>
      <w:proofErr w:type="spellEnd"/>
      <w:r>
        <w:t>/6 h/day, or</w:t>
      </w:r>
    </w:p>
    <w:p w14:paraId="201FB033" w14:textId="77777777" w:rsidR="00CC7A2B" w:rsidRDefault="00CC7A2B" w:rsidP="00103519">
      <w:pPr>
        <w:pStyle w:val="Bulletlist3"/>
      </w:pPr>
      <w:r>
        <w:t xml:space="preserve">for vapours </w:t>
      </w:r>
      <w:r w:rsidR="00EA3BCC">
        <w:t>–</w:t>
      </w:r>
      <w:r>
        <w:t xml:space="preserve"> ≥ 3 mg/L/6 h/day, or</w:t>
      </w:r>
    </w:p>
    <w:p w14:paraId="7AB75C61" w14:textId="77777777" w:rsidR="00CC7A2B" w:rsidRDefault="00CC7A2B" w:rsidP="00103519">
      <w:pPr>
        <w:pStyle w:val="Bulletlist3"/>
      </w:pPr>
      <w:r>
        <w:t xml:space="preserve">for dusts/mists/fumes </w:t>
      </w:r>
      <w:r w:rsidR="00EA3BCC">
        <w:t>–</w:t>
      </w:r>
      <w:r>
        <w:t xml:space="preserve"> ≥ 0.6 mg/L/6 h/</w:t>
      </w:r>
      <w:proofErr w:type="gramStart"/>
      <w:r>
        <w:t>day ,</w:t>
      </w:r>
      <w:proofErr w:type="gramEnd"/>
      <w:r>
        <w:t xml:space="preserve"> or</w:t>
      </w:r>
    </w:p>
    <w:p w14:paraId="675FFCDB" w14:textId="77777777" w:rsidR="00CC7A2B" w:rsidRDefault="00CC7A2B" w:rsidP="00C144B1">
      <w:pPr>
        <w:pStyle w:val="Bulletlist2"/>
      </w:pPr>
      <w:r>
        <w:t>conducted following an acceptable test guideline for subchronic inhalation toxicity, in which there were no significant toxic effects of relevance to human health (as described in chapter 3.9 of the GHS) produced, or the NOAEC (inhalation) is:</w:t>
      </w:r>
    </w:p>
    <w:p w14:paraId="68745511" w14:textId="77777777" w:rsidR="00CC7A2B" w:rsidRDefault="00CC7A2B" w:rsidP="00103519">
      <w:pPr>
        <w:pStyle w:val="Bulletlist3"/>
      </w:pPr>
      <w:r>
        <w:t xml:space="preserve">for gases </w:t>
      </w:r>
      <w:r w:rsidR="00EA3BCC">
        <w:t>–</w:t>
      </w:r>
      <w:r>
        <w:t xml:space="preserve"> ≥ 250 </w:t>
      </w:r>
      <w:proofErr w:type="spellStart"/>
      <w:r>
        <w:t>ppmV</w:t>
      </w:r>
      <w:proofErr w:type="spellEnd"/>
      <w:r>
        <w:t>/6 h/day, or</w:t>
      </w:r>
    </w:p>
    <w:p w14:paraId="51F06283" w14:textId="77777777" w:rsidR="00CC7A2B" w:rsidRDefault="00CC7A2B" w:rsidP="00103519">
      <w:pPr>
        <w:pStyle w:val="Bulletlist3"/>
      </w:pPr>
      <w:r>
        <w:t xml:space="preserve">for vapours </w:t>
      </w:r>
      <w:r w:rsidR="00EA3BCC">
        <w:t>–</w:t>
      </w:r>
      <w:r>
        <w:t xml:space="preserve"> ≥ 1 mg/L/6 h/day, or</w:t>
      </w:r>
    </w:p>
    <w:p w14:paraId="0E0026AA" w14:textId="77777777" w:rsidR="00B72C01" w:rsidRDefault="00CC7A2B" w:rsidP="00103519">
      <w:pPr>
        <w:pStyle w:val="Bulletlist3"/>
      </w:pPr>
      <w:r>
        <w:t xml:space="preserve">for dusts/mists/fumes </w:t>
      </w:r>
      <w:r w:rsidR="00EA3BCC">
        <w:t>–</w:t>
      </w:r>
      <w:r>
        <w:t xml:space="preserve"> ≥ 0.2 mg/L/6 h/day.</w:t>
      </w:r>
    </w:p>
    <w:p w14:paraId="36D810E4" w14:textId="77777777" w:rsidR="00CE6187" w:rsidRDefault="00CE6187" w:rsidP="00CE6187">
      <w:r>
        <w:t xml:space="preserve">There are </w:t>
      </w:r>
      <w:r w:rsidRPr="00CE6187">
        <w:rPr>
          <w:b/>
          <w:bCs/>
        </w:rPr>
        <w:t>no</w:t>
      </w:r>
      <w:r>
        <w:t xml:space="preserve"> information requirements to demonstrate the absence of the hazard characteristic, </w:t>
      </w:r>
      <w:r w:rsidRPr="00CE6187">
        <w:rPr>
          <w:b/>
          <w:bCs/>
        </w:rPr>
        <w:t>specific target organ toxicity after repeated exposure</w:t>
      </w:r>
      <w:r>
        <w:t>, if:</w:t>
      </w:r>
    </w:p>
    <w:p w14:paraId="1A0CB919" w14:textId="77777777" w:rsidR="00AD640F" w:rsidRDefault="00AD640F" w:rsidP="000A5B68">
      <w:pPr>
        <w:pStyle w:val="Bulletlist"/>
      </w:pPr>
      <w:r>
        <w:t xml:space="preserve">the human health exposure band for the introduction is 4, and </w:t>
      </w:r>
    </w:p>
    <w:p w14:paraId="7525A562" w14:textId="77777777" w:rsidR="00AD640F" w:rsidRDefault="00AD640F" w:rsidP="000A5B68">
      <w:pPr>
        <w:pStyle w:val="Bulletlist"/>
      </w:pPr>
      <w:r>
        <w:t>you are seeking to demonstrate that the introduction meets the criteria for low risk or very low risk,</w:t>
      </w:r>
    </w:p>
    <w:p w14:paraId="40468E5F" w14:textId="77777777" w:rsidR="00AD640F" w:rsidRDefault="00AD640F" w:rsidP="00AD640F">
      <w:r>
        <w:t>and any of the following apply:</w:t>
      </w:r>
    </w:p>
    <w:p w14:paraId="6DD0B065" w14:textId="26F5BC6B" w:rsidR="00CA7FDB" w:rsidRDefault="00AD640F" w:rsidP="000A5B68">
      <w:pPr>
        <w:pStyle w:val="Bulletlist"/>
      </w:pPr>
      <w:r>
        <w:t>the human health categorisation volume for the introduction is ≤</w:t>
      </w:r>
      <w:r w:rsidR="00515DA0">
        <w:t xml:space="preserve"> </w:t>
      </w:r>
      <w:r>
        <w:t>100 kg and the chemical is introduced for end use in any of the following types of articles:</w:t>
      </w:r>
    </w:p>
    <w:p w14:paraId="7A0C0361" w14:textId="77777777" w:rsidR="00611F21" w:rsidRDefault="00611F21" w:rsidP="00C144B1">
      <w:pPr>
        <w:pStyle w:val="Bulletlist2"/>
      </w:pPr>
      <w:r>
        <w:t>food contact, or</w:t>
      </w:r>
    </w:p>
    <w:p w14:paraId="39EAA7A2" w14:textId="77777777" w:rsidR="00611F21" w:rsidRDefault="00611F21" w:rsidP="00C144B1">
      <w:pPr>
        <w:pStyle w:val="Bulletlist2"/>
      </w:pPr>
      <w:r>
        <w:t>children’s toys that can be placed in the mouth, or</w:t>
      </w:r>
    </w:p>
    <w:p w14:paraId="7A2DD461" w14:textId="77777777" w:rsidR="00611F21" w:rsidRDefault="00611F21" w:rsidP="00C144B1">
      <w:pPr>
        <w:pStyle w:val="Bulletlist2"/>
      </w:pPr>
      <w:r>
        <w:t>children’s care products that can be placed in the mouth, or</w:t>
      </w:r>
    </w:p>
    <w:p w14:paraId="4B3987F8" w14:textId="2E0F79A0" w:rsidR="00611F21" w:rsidRDefault="00611F21" w:rsidP="000A5B68">
      <w:pPr>
        <w:pStyle w:val="Bulletlist"/>
      </w:pPr>
      <w:r>
        <w:t>the human health categorisation volume for the introduction is ≤</w:t>
      </w:r>
      <w:r w:rsidR="00515DA0">
        <w:t xml:space="preserve"> </w:t>
      </w:r>
      <w:r>
        <w:t>1,000 kg and the chemical is not introduced for end use in any of the following types of articles:</w:t>
      </w:r>
    </w:p>
    <w:p w14:paraId="7922234F" w14:textId="77777777" w:rsidR="00611F21" w:rsidRDefault="00611F21" w:rsidP="00C144B1">
      <w:pPr>
        <w:pStyle w:val="Bulletlist2"/>
      </w:pPr>
      <w:r>
        <w:t>food contact, or</w:t>
      </w:r>
    </w:p>
    <w:p w14:paraId="2DB19552" w14:textId="77777777" w:rsidR="00611F21" w:rsidRDefault="00611F21" w:rsidP="00C144B1">
      <w:pPr>
        <w:pStyle w:val="Bulletlist2"/>
      </w:pPr>
      <w:r>
        <w:t>children’s toys that can be placed in the mouth, or</w:t>
      </w:r>
    </w:p>
    <w:p w14:paraId="10BA3BF1" w14:textId="77777777" w:rsidR="00F5001E" w:rsidRDefault="00611F21" w:rsidP="00C144B1">
      <w:pPr>
        <w:pStyle w:val="Bulletlist2"/>
      </w:pPr>
      <w:r>
        <w:t>children’s care products that can be placed in the mouth</w:t>
      </w:r>
      <w:r w:rsidR="002F1BC0">
        <w:t xml:space="preserve"> </w:t>
      </w:r>
    </w:p>
    <w:p w14:paraId="539A3529" w14:textId="77777777" w:rsidR="00CA7FDB" w:rsidRDefault="00611F21" w:rsidP="007D0962">
      <w:r>
        <w:t>In these circumstances, if you do not have any information that demonstrates that the chemical has this hazard characteristic then you can assume it does not for the purposes of categorisation.</w:t>
      </w:r>
    </w:p>
    <w:p w14:paraId="5DF650F7" w14:textId="77777777" w:rsidR="009E756E" w:rsidRDefault="009E756E" w:rsidP="00403F70">
      <w:pPr>
        <w:pStyle w:val="Heading2"/>
      </w:pPr>
      <w:bookmarkStart w:id="41" w:name="_Toc238816824"/>
      <w:r>
        <w:t>6.17</w:t>
      </w:r>
      <w:r w:rsidR="007D0962">
        <w:tab/>
      </w:r>
      <w:r>
        <w:t>High molecular weight polymer that has lung overloading potential – Human health hazard band A</w:t>
      </w:r>
      <w:bookmarkEnd w:id="41"/>
    </w:p>
    <w:p w14:paraId="4D8D0339" w14:textId="77777777" w:rsidR="009E756E" w:rsidRDefault="009E756E" w:rsidP="00403F70">
      <w:pPr>
        <w:pStyle w:val="Heading3"/>
      </w:pPr>
      <w:r>
        <w:t>6.17.1</w:t>
      </w:r>
      <w:r w:rsidR="007D0962">
        <w:tab/>
      </w:r>
      <w:r>
        <w:t>Clause 2 of Part 1, Schedule 1 to the IC General Rules</w:t>
      </w:r>
    </w:p>
    <w:p w14:paraId="35C18656" w14:textId="77777777" w:rsidR="009E756E" w:rsidRDefault="009E756E" w:rsidP="009E756E">
      <w:r>
        <w:t>For the purposes of table item 15 of Clause 2, Part 1, Schedule 1 to the IC General Rules:</w:t>
      </w:r>
    </w:p>
    <w:p w14:paraId="5C4B68E8" w14:textId="77777777" w:rsidR="009E756E" w:rsidRDefault="009E756E" w:rsidP="009E756E">
      <w:r w:rsidRPr="00403F70">
        <w:rPr>
          <w:b/>
          <w:bCs/>
        </w:rPr>
        <w:t>High molecular weight polymer that has lung overloading potential</w:t>
      </w:r>
      <w:r>
        <w:t xml:space="preserve"> means that </w:t>
      </w:r>
      <w:proofErr w:type="gramStart"/>
      <w:r>
        <w:t>all of</w:t>
      </w:r>
      <w:proofErr w:type="gramEnd"/>
      <w:r>
        <w:t xml:space="preserve"> the following apply to the industrial chemical:</w:t>
      </w:r>
    </w:p>
    <w:p w14:paraId="54047A0D" w14:textId="77777777" w:rsidR="009E756E" w:rsidRDefault="009E756E" w:rsidP="000A5B68">
      <w:pPr>
        <w:pStyle w:val="Bulletlist"/>
      </w:pPr>
      <w:r>
        <w:t>it is a polymer, and</w:t>
      </w:r>
    </w:p>
    <w:p w14:paraId="4ACB2288" w14:textId="77777777" w:rsidR="009E756E" w:rsidRDefault="009E756E" w:rsidP="000A5B68">
      <w:pPr>
        <w:pStyle w:val="Bulletlist"/>
      </w:pPr>
      <w:r>
        <w:t>it has a number average molecular weight that is &gt; 70,000 g/mol, and</w:t>
      </w:r>
    </w:p>
    <w:p w14:paraId="6DF8A521" w14:textId="77777777" w:rsidR="009E756E" w:rsidRDefault="009E756E" w:rsidP="000A5B68">
      <w:pPr>
        <w:pStyle w:val="Bulletlist"/>
      </w:pPr>
      <w:r>
        <w:t>it has a solubility in water of &lt; 0.1 mg/L, and</w:t>
      </w:r>
    </w:p>
    <w:p w14:paraId="76E3C823" w14:textId="77777777" w:rsidR="009E756E" w:rsidRDefault="009E756E" w:rsidP="000A5B68">
      <w:pPr>
        <w:pStyle w:val="Bulletlist"/>
      </w:pPr>
      <w:r>
        <w:t>it becomes aerosolised during end use.</w:t>
      </w:r>
    </w:p>
    <w:p w14:paraId="1B81EF50" w14:textId="77777777" w:rsidR="009E756E" w:rsidRDefault="009E756E" w:rsidP="00403F70">
      <w:pPr>
        <w:pStyle w:val="Heading3"/>
      </w:pPr>
      <w:r>
        <w:lastRenderedPageBreak/>
        <w:t>6.17.2</w:t>
      </w:r>
      <w:r w:rsidR="007D0962">
        <w:tab/>
      </w:r>
      <w:r>
        <w:t xml:space="preserve">Section 30 of the IC General Rules </w:t>
      </w:r>
      <w:r w:rsidR="005B7E03">
        <w:t>–</w:t>
      </w:r>
      <w:r>
        <w:t xml:space="preserve"> Information required to demonstrate the absence of hazard characteristics </w:t>
      </w:r>
    </w:p>
    <w:p w14:paraId="62C688A2" w14:textId="77777777" w:rsidR="009E756E" w:rsidRDefault="009E756E" w:rsidP="009E756E">
      <w:r>
        <w:t>For the purposes of subparagraph 30(2)(c)(iv) of the IC General Rules:</w:t>
      </w:r>
    </w:p>
    <w:p w14:paraId="75748E02" w14:textId="77777777" w:rsidR="00CA7FDB" w:rsidRDefault="009E756E" w:rsidP="5E1450C1">
      <w:r>
        <w:t xml:space="preserve">If the chemical is a polymer, the information required to demonstrate that a chemical does not have the hazard characteristic, </w:t>
      </w:r>
      <w:r w:rsidRPr="00403F70">
        <w:rPr>
          <w:b/>
          <w:bCs/>
        </w:rPr>
        <w:t>high molecular weight polymer that has lung overloading potential</w:t>
      </w:r>
      <w:r>
        <w:t>, is at least one of the following:</w:t>
      </w:r>
    </w:p>
    <w:p w14:paraId="1378D6CB" w14:textId="77777777" w:rsidR="0073038C" w:rsidRDefault="0073038C" w:rsidP="000A5B68">
      <w:pPr>
        <w:pStyle w:val="Bulletlist"/>
      </w:pPr>
      <w:r>
        <w:t>molecular weight information that demonstrates that the number average molecular weight is ≤ 70,000 g/mol, or</w:t>
      </w:r>
    </w:p>
    <w:p w14:paraId="1DD4EB29" w14:textId="77777777" w:rsidR="0073038C" w:rsidRDefault="0073038C" w:rsidP="000A5B68">
      <w:pPr>
        <w:pStyle w:val="Bulletlist"/>
      </w:pPr>
      <w:r>
        <w:t>information that demonstrates that the polymer has a solubility in water that is ≥ 0.1 mg/L measured following an acceptable test guideline for water solubility, or</w:t>
      </w:r>
    </w:p>
    <w:p w14:paraId="0C4E4D54" w14:textId="77777777" w:rsidR="00CA7FDB" w:rsidRDefault="0073038C" w:rsidP="000A5B68">
      <w:pPr>
        <w:pStyle w:val="Bulletlist"/>
      </w:pPr>
      <w:r>
        <w:t>information that demonstrates that the polymer does not become aerosolised during end use</w:t>
      </w:r>
    </w:p>
    <w:p w14:paraId="32F9434B" w14:textId="77777777" w:rsidR="00733780" w:rsidRDefault="00733780" w:rsidP="00733780">
      <w:pPr>
        <w:pStyle w:val="Heading2"/>
      </w:pPr>
      <w:bookmarkStart w:id="42" w:name="_Toc238816825"/>
      <w:r>
        <w:t>6.18</w:t>
      </w:r>
      <w:r w:rsidR="00477573">
        <w:tab/>
      </w:r>
      <w:r>
        <w:t>Aspiration hazard – Human health hazard band A</w:t>
      </w:r>
      <w:bookmarkEnd w:id="42"/>
    </w:p>
    <w:p w14:paraId="1F975B6E" w14:textId="77777777" w:rsidR="00733780" w:rsidRDefault="00733780" w:rsidP="00733780">
      <w:pPr>
        <w:pStyle w:val="Heading3"/>
      </w:pPr>
      <w:r>
        <w:t>6.18.1</w:t>
      </w:r>
      <w:r w:rsidR="00477573">
        <w:tab/>
      </w:r>
      <w:r>
        <w:t>Clause 2 of Part 1, Schedule 1 to the IC General Rules</w:t>
      </w:r>
    </w:p>
    <w:p w14:paraId="0C9B53DF" w14:textId="77777777" w:rsidR="00733780" w:rsidRDefault="00733780" w:rsidP="00733780">
      <w:r>
        <w:t>For the purposes of table item 16 of Clause 2, Part 1, Schedule 1 of the IC General Rules:</w:t>
      </w:r>
    </w:p>
    <w:p w14:paraId="3DED3B5F" w14:textId="77777777" w:rsidR="00733780" w:rsidRDefault="00733780" w:rsidP="00733780">
      <w:r w:rsidRPr="00701DE2">
        <w:rPr>
          <w:b/>
          <w:bCs/>
        </w:rPr>
        <w:t>Aspiration hazard</w:t>
      </w:r>
      <w:r>
        <w:t xml:space="preserve"> means that any of the following apply to the industrial chemical:</w:t>
      </w:r>
    </w:p>
    <w:p w14:paraId="510B8F8A" w14:textId="77777777" w:rsidR="00733780" w:rsidRDefault="00733780" w:rsidP="000A5B68">
      <w:pPr>
        <w:pStyle w:val="Bulletlist"/>
      </w:pPr>
      <w:r>
        <w:t>the chemical is known or presumed to cause aspiration toxicity, as described in chapter 3.10 of the GHS, with the chemical classified as may be fatal if swallowed and enters airways (category 1), or</w:t>
      </w:r>
    </w:p>
    <w:p w14:paraId="438E8DC7" w14:textId="77777777" w:rsidR="00CA7FDB" w:rsidRDefault="00733780" w:rsidP="000A5B68">
      <w:pPr>
        <w:pStyle w:val="Bulletlist"/>
      </w:pPr>
      <w:r>
        <w:t>the chemical is a hydrocarbon that has a kinematic viscosity ≤ 20.5 mm</w:t>
      </w:r>
      <w:r w:rsidRPr="00533697">
        <w:rPr>
          <w:vertAlign w:val="superscript"/>
        </w:rPr>
        <w:t>2</w:t>
      </w:r>
      <w:r>
        <w:t>/s, measured at 40 °C.</w:t>
      </w:r>
    </w:p>
    <w:p w14:paraId="4EE1F3AB" w14:textId="77777777" w:rsidR="009E2CCC" w:rsidRDefault="009E2CCC" w:rsidP="00AE4AC6">
      <w:pPr>
        <w:pStyle w:val="Heading3"/>
      </w:pPr>
      <w:r>
        <w:t>6.18.2</w:t>
      </w:r>
      <w:r w:rsidR="00477573">
        <w:tab/>
      </w:r>
      <w:r>
        <w:t xml:space="preserve">Section 30 of the IC General Rules </w:t>
      </w:r>
      <w:r w:rsidR="005B7E03">
        <w:t>–</w:t>
      </w:r>
      <w:r>
        <w:t xml:space="preserve"> Information required to demonstrate the absence of hazard characteristics </w:t>
      </w:r>
    </w:p>
    <w:p w14:paraId="4D4DC1EF" w14:textId="77777777" w:rsidR="009E2CCC" w:rsidRDefault="009E2CCC" w:rsidP="009E2CCC">
      <w:r>
        <w:t>For the purposes of subparagraph 30(2)(c)(iv) of the IC General Rules:</w:t>
      </w:r>
    </w:p>
    <w:p w14:paraId="3B15CD5C" w14:textId="77777777" w:rsidR="009E2CCC" w:rsidRDefault="009E2CCC" w:rsidP="000A5B68">
      <w:pPr>
        <w:pStyle w:val="Bulletlist"/>
      </w:pPr>
      <w:r>
        <w:t xml:space="preserve">if the chemical is a hydrocarbon, the information required to demonstrate the absence of the hazard characteristic, </w:t>
      </w:r>
      <w:r w:rsidRPr="00477573">
        <w:rPr>
          <w:b/>
          <w:bCs/>
        </w:rPr>
        <w:t>aspiration hazard</w:t>
      </w:r>
      <w:r>
        <w:t>, is a measured kinematic viscosity &gt; 20.5 mm2/s, at 40°C</w:t>
      </w:r>
    </w:p>
    <w:p w14:paraId="4E740C9A" w14:textId="77777777" w:rsidR="009E2CCC" w:rsidRDefault="009E2CCC" w:rsidP="000A5B68">
      <w:pPr>
        <w:pStyle w:val="Bulletlist"/>
      </w:pPr>
      <w:r>
        <w:t xml:space="preserve">otherwise, there are no information requirements to demonstrate the absence of the hazard characteristic, </w:t>
      </w:r>
      <w:r w:rsidRPr="00477573">
        <w:rPr>
          <w:b/>
          <w:bCs/>
        </w:rPr>
        <w:t>aspiration hazard</w:t>
      </w:r>
      <w:r>
        <w:t>. If you do not have any information that demonstrates that the chemical has this hazard characteristic, then you can assume it does not for the purposes of categorisation.</w:t>
      </w:r>
    </w:p>
    <w:p w14:paraId="5514430A" w14:textId="77777777" w:rsidR="009E2CCC" w:rsidRDefault="009E2CCC" w:rsidP="00BD7D14">
      <w:pPr>
        <w:pStyle w:val="Heading2"/>
      </w:pPr>
      <w:bookmarkStart w:id="43" w:name="_Toc238816826"/>
      <w:r>
        <w:t>6.19</w:t>
      </w:r>
      <w:r w:rsidR="00F93FFD">
        <w:tab/>
      </w:r>
      <w:r>
        <w:t>Specific target organ toxicity after a single exposure (harmful or transient effects) – Human health hazard band A</w:t>
      </w:r>
      <w:bookmarkEnd w:id="43"/>
    </w:p>
    <w:p w14:paraId="055CC156" w14:textId="77777777" w:rsidR="009E2CCC" w:rsidRDefault="009E2CCC" w:rsidP="00BD7D14">
      <w:pPr>
        <w:pStyle w:val="Heading3"/>
      </w:pPr>
      <w:r>
        <w:t>6.19.1</w:t>
      </w:r>
      <w:r w:rsidR="00477573">
        <w:tab/>
      </w:r>
      <w:r>
        <w:t>Clause 2 of Part 1, Schedule 1 to the IC General Rules</w:t>
      </w:r>
    </w:p>
    <w:p w14:paraId="5271A688" w14:textId="77777777" w:rsidR="009E2CCC" w:rsidRDefault="009E2CCC" w:rsidP="009E2CCC">
      <w:r>
        <w:t>For the purposes of table item 17 of Clause 2, Part 1, Schedule 1 to the IC General Rules:</w:t>
      </w:r>
    </w:p>
    <w:p w14:paraId="6D0E8246" w14:textId="77777777" w:rsidR="009E2CCC" w:rsidRDefault="009E2CCC" w:rsidP="009E2CCC">
      <w:r w:rsidRPr="00BD7D14">
        <w:rPr>
          <w:b/>
          <w:bCs/>
        </w:rPr>
        <w:t>Specific target organ toxicity after a single exposure (harmful or transient effects)</w:t>
      </w:r>
      <w:r w:rsidR="00D435A5">
        <w:rPr>
          <w:b/>
          <w:bCs/>
        </w:rPr>
        <w:t xml:space="preserve"> </w:t>
      </w:r>
      <w:r>
        <w:t>means that any of the following apply to the industrial chemical:</w:t>
      </w:r>
    </w:p>
    <w:p w14:paraId="60A8B396" w14:textId="77777777" w:rsidR="009E2CCC" w:rsidRDefault="009E2CCC" w:rsidP="000A5B68">
      <w:pPr>
        <w:pStyle w:val="Bulletlist"/>
      </w:pPr>
      <w:r>
        <w:lastRenderedPageBreak/>
        <w:t>the chemical is known or presumed to be harmful to humans or to cause transient target organ effects, as described in chapter 3.8 of the GHS, with the chemical classified as specific target organ toxicity-single exposure (category 2 or 3), or</w:t>
      </w:r>
    </w:p>
    <w:p w14:paraId="42FE5A95" w14:textId="77777777" w:rsidR="00CA7FDB" w:rsidRDefault="009E2CCC" w:rsidP="000A5B68">
      <w:pPr>
        <w:pStyle w:val="Bulletlist"/>
      </w:pPr>
      <w:r>
        <w:t>an in vivo study on the chemical:</w:t>
      </w:r>
    </w:p>
    <w:p w14:paraId="32E5DED8" w14:textId="77777777" w:rsidR="00D47AA5" w:rsidRDefault="00D47AA5" w:rsidP="00C144B1">
      <w:pPr>
        <w:pStyle w:val="Bulletlist2"/>
      </w:pPr>
      <w:r>
        <w:t>conducted following an acceptable test guideline for acute oral toxicity results in significant toxic effects of relevance to human health, as discussed in chapter 3.8 of the GHS, at &gt; 300 but ≤ 2,000 mg/kg bw, or</w:t>
      </w:r>
    </w:p>
    <w:p w14:paraId="37A2E0B5" w14:textId="77777777" w:rsidR="00D47AA5" w:rsidRDefault="00D47AA5" w:rsidP="00C144B1">
      <w:pPr>
        <w:pStyle w:val="Bulletlist2"/>
      </w:pPr>
      <w:r>
        <w:t>conducted following an acceptable test guideline for acute dermal toxicity results in significant toxic effects of relevance to human health, as discussed in chapter 3.8 of the GHS, at &gt; 1,000 but ≤ 2,000 mg/kg bw, or</w:t>
      </w:r>
    </w:p>
    <w:p w14:paraId="7E934A3B" w14:textId="77777777" w:rsidR="00D47AA5" w:rsidRDefault="00D47AA5" w:rsidP="00C144B1">
      <w:pPr>
        <w:pStyle w:val="Bulletlist2"/>
      </w:pPr>
      <w:r>
        <w:t>conducted following an acceptable test guideline for acute inhalation toxicity results in significant toxic effects of relevance to human health, as discussed in chapter 3.8 of the GHS, at:</w:t>
      </w:r>
    </w:p>
    <w:p w14:paraId="7393A866" w14:textId="77777777" w:rsidR="00D47AA5" w:rsidRDefault="00D47AA5" w:rsidP="00103519">
      <w:pPr>
        <w:pStyle w:val="Bulletlist3"/>
      </w:pPr>
      <w:r>
        <w:t xml:space="preserve">for gases </w:t>
      </w:r>
      <w:r w:rsidR="00BE7332">
        <w:t>–</w:t>
      </w:r>
      <w:r>
        <w:t xml:space="preserve"> &gt; 2,500 but ≤ 20,000 </w:t>
      </w:r>
      <w:proofErr w:type="spellStart"/>
      <w:r>
        <w:t>ppmV</w:t>
      </w:r>
      <w:proofErr w:type="spellEnd"/>
      <w:r>
        <w:t>/4h, or</w:t>
      </w:r>
    </w:p>
    <w:p w14:paraId="02B051B6" w14:textId="77777777" w:rsidR="00D47AA5" w:rsidRDefault="00D47AA5" w:rsidP="00103519">
      <w:pPr>
        <w:pStyle w:val="Bulletlist3"/>
      </w:pPr>
      <w:r>
        <w:t xml:space="preserve">for vapours </w:t>
      </w:r>
      <w:r w:rsidR="00BE7332">
        <w:t>–</w:t>
      </w:r>
      <w:r>
        <w:t xml:space="preserve"> &gt; 10 but ≤ 20 mg/L/4h, or</w:t>
      </w:r>
    </w:p>
    <w:p w14:paraId="413B61F3" w14:textId="77777777" w:rsidR="004412AC" w:rsidRDefault="00D47AA5" w:rsidP="00103519">
      <w:pPr>
        <w:pStyle w:val="Bulletlist3"/>
      </w:pPr>
      <w:r>
        <w:t xml:space="preserve">for dusts/mists/fumes </w:t>
      </w:r>
      <w:r w:rsidR="00BE7332">
        <w:t>–</w:t>
      </w:r>
      <w:r>
        <w:t xml:space="preserve"> &gt; 1 but ≤ 5 mg/L/4h.</w:t>
      </w:r>
    </w:p>
    <w:p w14:paraId="1E296EEA" w14:textId="77777777" w:rsidR="00316A20" w:rsidRDefault="00316A20" w:rsidP="00316A20">
      <w:pPr>
        <w:pStyle w:val="Heading3"/>
      </w:pPr>
      <w:r>
        <w:t>6.19.2</w:t>
      </w:r>
      <w:r w:rsidR="007D0EDF">
        <w:tab/>
      </w:r>
      <w:r>
        <w:t xml:space="preserve">Section 30 of the IC General Rules </w:t>
      </w:r>
      <w:r w:rsidR="005B7E03">
        <w:t>–</w:t>
      </w:r>
      <w:r>
        <w:t xml:space="preserve"> Information required to demonstrate the absence of hazard characteristics </w:t>
      </w:r>
    </w:p>
    <w:p w14:paraId="3690C400" w14:textId="77777777" w:rsidR="004412AC" w:rsidRDefault="00316A20" w:rsidP="00316A20">
      <w:r>
        <w:t xml:space="preserve">For the purposes of subparagraph 30(2)(c)(iv) of the IC General Rules, there are </w:t>
      </w:r>
      <w:r w:rsidRPr="00316A20">
        <w:rPr>
          <w:b/>
          <w:bCs/>
        </w:rPr>
        <w:t>no</w:t>
      </w:r>
      <w:r>
        <w:rPr>
          <w:b/>
          <w:bCs/>
        </w:rPr>
        <w:t xml:space="preserve"> </w:t>
      </w:r>
      <w:r>
        <w:t xml:space="preserve">information requirements to demonstrate the absence of the hazard characteristic, </w:t>
      </w:r>
      <w:r w:rsidRPr="0002727E">
        <w:rPr>
          <w:b/>
          <w:bCs/>
        </w:rPr>
        <w:t>specific target organ toxicity after a single exposure (harmful or transient effects)</w:t>
      </w:r>
      <w:r>
        <w:t>. If you do not have any information that demonstrates that the chemical has this hazard characteristic, then you can assume it does not for the purposes of categorisation</w:t>
      </w:r>
      <w:r w:rsidR="00164D26">
        <w:t>.</w:t>
      </w:r>
    </w:p>
    <w:p w14:paraId="6ABC084B" w14:textId="77777777" w:rsidR="00EA7B13" w:rsidRDefault="00EA7B13" w:rsidP="00EA7B13">
      <w:pPr>
        <w:pStyle w:val="Heading2"/>
      </w:pPr>
      <w:bookmarkStart w:id="44" w:name="_Toc238816827"/>
      <w:r>
        <w:t>6.20</w:t>
      </w:r>
      <w:r w:rsidR="00033B3D">
        <w:tab/>
      </w:r>
      <w:r>
        <w:t>Skin irritation – Human health hazard band A</w:t>
      </w:r>
      <w:bookmarkEnd w:id="44"/>
    </w:p>
    <w:p w14:paraId="4A970C59" w14:textId="77777777" w:rsidR="00EA7B13" w:rsidRDefault="00EA7B13" w:rsidP="00EA7B13">
      <w:pPr>
        <w:pStyle w:val="Heading3"/>
      </w:pPr>
      <w:r>
        <w:t>6.20.1 Clause 2 of Part 1, Schedule 1 to the IC General Rules</w:t>
      </w:r>
    </w:p>
    <w:p w14:paraId="1FC189C7" w14:textId="77777777" w:rsidR="00EA7B13" w:rsidRDefault="00EA7B13" w:rsidP="00EA7B13">
      <w:r>
        <w:t>For the purposes of table item 18 of Clause 2, Part 1, Schedule 1 to the IC General Rules:</w:t>
      </w:r>
    </w:p>
    <w:p w14:paraId="5ECF49CB" w14:textId="77777777" w:rsidR="00EA7B13" w:rsidRDefault="00EA7B13" w:rsidP="00EA7B13">
      <w:r w:rsidRPr="00EA7B13">
        <w:rPr>
          <w:b/>
          <w:bCs/>
        </w:rPr>
        <w:t>Skin irritation</w:t>
      </w:r>
      <w:r>
        <w:t xml:space="preserve"> means that any of the following apply to the industrial chemical:</w:t>
      </w:r>
    </w:p>
    <w:p w14:paraId="514EDAEB" w14:textId="77777777" w:rsidR="00EA7B13" w:rsidRDefault="00EA7B13" w:rsidP="000A5B68">
      <w:pPr>
        <w:pStyle w:val="Bulletlist"/>
      </w:pPr>
      <w:r>
        <w:t>the chemical is known to produce reversible damage to the skin, as described in chapter 3.2 of the GHS, with the chemical classified as skin irritation (category 2), or</w:t>
      </w:r>
    </w:p>
    <w:p w14:paraId="593151F8" w14:textId="77777777" w:rsidR="00EA7B13" w:rsidRDefault="00EA7B13" w:rsidP="000A5B68">
      <w:pPr>
        <w:pStyle w:val="Bulletlist"/>
      </w:pPr>
      <w:r>
        <w:t>an in vitro study on the chemical conducted following an acceptable test guideline for skin irritation results in the prediction of skin irritation effects, or</w:t>
      </w:r>
    </w:p>
    <w:p w14:paraId="542286D0" w14:textId="77777777" w:rsidR="004412AC" w:rsidRDefault="00EA7B13" w:rsidP="000A5B68">
      <w:pPr>
        <w:pStyle w:val="Bulletlist"/>
      </w:pPr>
      <w:r>
        <w:t>an in vivo study on the chemical conducted following an acceptable test guideline for skin irritation results in skin reactions, as described for skin irritation (category 2) in chapter 3.2 of the GHS.</w:t>
      </w:r>
    </w:p>
    <w:p w14:paraId="4B9AACBC" w14:textId="77777777" w:rsidR="002F1E0B" w:rsidRDefault="002F1E0B" w:rsidP="002F1E0B">
      <w:pPr>
        <w:pStyle w:val="Heading3"/>
      </w:pPr>
      <w:r>
        <w:t xml:space="preserve">6.20.2 Section 30 of the IC General Rules </w:t>
      </w:r>
      <w:r w:rsidR="005B7E03">
        <w:t>–</w:t>
      </w:r>
      <w:r>
        <w:t xml:space="preserve"> Information required to demonstrate the absence of hazard characteristics </w:t>
      </w:r>
    </w:p>
    <w:p w14:paraId="07E1739B" w14:textId="77777777" w:rsidR="002F1E0B" w:rsidRDefault="002F1E0B" w:rsidP="002F1E0B">
      <w:r>
        <w:t xml:space="preserve">For the purposes of subparagraph 30(2)(c)(iv) of the IC General Rules, the information required to demonstrate that a chemical does not have the hazard characteristic, </w:t>
      </w:r>
      <w:r w:rsidRPr="00EA5753">
        <w:rPr>
          <w:b/>
          <w:bCs/>
        </w:rPr>
        <w:t>skin irritation</w:t>
      </w:r>
      <w:r>
        <w:t>, is at least one of the following:</w:t>
      </w:r>
    </w:p>
    <w:p w14:paraId="38B85291" w14:textId="42AB4093" w:rsidR="002F1E0B" w:rsidRDefault="002F1E0B" w:rsidP="00217389">
      <w:pPr>
        <w:pStyle w:val="Bulletlist"/>
      </w:pPr>
      <w:r>
        <w:lastRenderedPageBreak/>
        <w:t>if the human health exposure band for the introduction is 3</w:t>
      </w:r>
      <w:r w:rsidR="0040022B">
        <w:rPr>
          <w:rStyle w:val="FootnoteReference"/>
        </w:rPr>
        <w:footnoteReference w:id="20"/>
      </w:r>
      <w:r w:rsidR="00EA5753">
        <w:t xml:space="preserve"> </w:t>
      </w:r>
      <w:r w:rsidR="00164D26">
        <w:t>–</w:t>
      </w:r>
      <w:r>
        <w:t xml:space="preserve"> a suitable in silico prediction indicating that the chemical is not irritating to the skin, or</w:t>
      </w:r>
    </w:p>
    <w:p w14:paraId="12445706" w14:textId="77777777" w:rsidR="002F1E0B" w:rsidRDefault="002F1E0B" w:rsidP="000A5B68">
      <w:pPr>
        <w:pStyle w:val="Bulletlist"/>
      </w:pPr>
      <w:r>
        <w:t>test results</w:t>
      </w:r>
      <w:bookmarkStart w:id="45" w:name="_Ref191048896"/>
      <w:r w:rsidR="00FA3B3A">
        <w:rPr>
          <w:rStyle w:val="FootnoteReference"/>
        </w:rPr>
        <w:footnoteReference w:id="21"/>
      </w:r>
      <w:bookmarkEnd w:id="45"/>
      <w:r>
        <w:t xml:space="preserve"> from an in vitro study on the chemical or from suitable read across information, conducted following an acceptable test guideline for skin irritation, with a non-irritant prediction, or</w:t>
      </w:r>
    </w:p>
    <w:p w14:paraId="62CB4C8E" w14:textId="28BAE060" w:rsidR="002F1E0B" w:rsidRDefault="002F1E0B" w:rsidP="000A5B68">
      <w:pPr>
        <w:pStyle w:val="Bulletlist"/>
      </w:pPr>
      <w:r>
        <w:t>test results</w:t>
      </w:r>
      <w:r w:rsidR="00515437" w:rsidRPr="00515437">
        <w:rPr>
          <w:vertAlign w:val="superscript"/>
        </w:rPr>
        <w:fldChar w:fldCharType="begin"/>
      </w:r>
      <w:r w:rsidR="00515437" w:rsidRPr="00791D8C">
        <w:rPr>
          <w:vertAlign w:val="superscript"/>
        </w:rPr>
        <w:instrText xml:space="preserve"> NOTEREF _Ref191048896 \h  \* MERGEFORMAT </w:instrText>
      </w:r>
      <w:r w:rsidR="00515437" w:rsidRPr="00515437">
        <w:rPr>
          <w:vertAlign w:val="superscript"/>
        </w:rPr>
      </w:r>
      <w:r w:rsidR="00515437" w:rsidRPr="00515437">
        <w:rPr>
          <w:vertAlign w:val="superscript"/>
        </w:rPr>
        <w:fldChar w:fldCharType="separate"/>
      </w:r>
      <w:r w:rsidR="00791D8C">
        <w:rPr>
          <w:vertAlign w:val="superscript"/>
        </w:rPr>
        <w:t>20</w:t>
      </w:r>
      <w:r w:rsidR="00515437" w:rsidRPr="00515437">
        <w:rPr>
          <w:vertAlign w:val="superscript"/>
        </w:rPr>
        <w:fldChar w:fldCharType="end"/>
      </w:r>
      <w:r>
        <w:t xml:space="preserve"> from an in vivo study on the chemical or from suitable read across information, conducted following an acceptable test guideline for skin irritation, which does not result in skin reactions, as described for skin irritation (category 2) in chapter 3.2 of the GHS, or</w:t>
      </w:r>
    </w:p>
    <w:p w14:paraId="2C44D973" w14:textId="0F292003" w:rsidR="002F1E0B" w:rsidRDefault="002F1E0B" w:rsidP="000A5B68">
      <w:pPr>
        <w:pStyle w:val="Bulletlist"/>
      </w:pPr>
      <w:r>
        <w:t>test results</w:t>
      </w:r>
      <w:r w:rsidR="00515437" w:rsidRPr="00515437">
        <w:rPr>
          <w:vertAlign w:val="superscript"/>
        </w:rPr>
        <w:fldChar w:fldCharType="begin"/>
      </w:r>
      <w:r w:rsidR="00515437" w:rsidRPr="00791D8C">
        <w:rPr>
          <w:vertAlign w:val="superscript"/>
        </w:rPr>
        <w:instrText xml:space="preserve"> NOTEREF _Ref191048896 \h  \* MERGEFORMAT </w:instrText>
      </w:r>
      <w:r w:rsidR="00515437" w:rsidRPr="00515437">
        <w:rPr>
          <w:vertAlign w:val="superscript"/>
        </w:rPr>
      </w:r>
      <w:r w:rsidR="00515437" w:rsidRPr="00515437">
        <w:rPr>
          <w:vertAlign w:val="superscript"/>
        </w:rPr>
        <w:fldChar w:fldCharType="separate"/>
      </w:r>
      <w:r w:rsidR="00791D8C">
        <w:rPr>
          <w:vertAlign w:val="superscript"/>
        </w:rPr>
        <w:t>20</w:t>
      </w:r>
      <w:r w:rsidR="00515437" w:rsidRPr="00515437">
        <w:rPr>
          <w:vertAlign w:val="superscript"/>
        </w:rPr>
        <w:fldChar w:fldCharType="end"/>
      </w:r>
      <w:r>
        <w:t xml:space="preserve"> from an in vivo study on the chemical or from suitable read across information conducted following an acceptable test guideline for acute dermal toxicity, that when tested at 2,000 mg/kg bw/day is not irritating to the skin.</w:t>
      </w:r>
    </w:p>
    <w:p w14:paraId="6856DFE6" w14:textId="77777777" w:rsidR="004412AC" w:rsidRDefault="002F1E0B" w:rsidP="002F1E0B">
      <w:r>
        <w:t>In addition, if the chemical is introduced for an end use in a tattoo ink, information is required to justify why the chemical would not cause skin irritation mediated by UV light. This may include one or more of the following:</w:t>
      </w:r>
    </w:p>
    <w:p w14:paraId="67D87390" w14:textId="3562BB08" w:rsidR="00E77D4A" w:rsidRDefault="00E77D4A" w:rsidP="002E1A05">
      <w:pPr>
        <w:pStyle w:val="Bulletlist"/>
      </w:pPr>
      <w:r>
        <w:t>the chemical has a molar extinction coefficient/absorption coefficient of &lt; 1,000 L</w:t>
      </w:r>
      <w:r w:rsidR="00180DC6">
        <w:t>·</w:t>
      </w:r>
      <w:r>
        <w:t>mol</w:t>
      </w:r>
      <w:r w:rsidRPr="00791D8C">
        <w:rPr>
          <w:vertAlign w:val="superscript"/>
        </w:rPr>
        <w:t>-</w:t>
      </w:r>
      <w:r w:rsidRPr="002E1A05">
        <w:rPr>
          <w:vertAlign w:val="superscript"/>
        </w:rPr>
        <w:t>1</w:t>
      </w:r>
      <w:r w:rsidR="00180DC6">
        <w:t>·</w:t>
      </w:r>
      <w:r>
        <w:t>cm</w:t>
      </w:r>
      <w:r w:rsidRPr="00791D8C">
        <w:rPr>
          <w:vertAlign w:val="superscript"/>
        </w:rPr>
        <w:t>-</w:t>
      </w:r>
      <w:r w:rsidRPr="002E1A05">
        <w:rPr>
          <w:vertAlign w:val="superscript"/>
        </w:rPr>
        <w:t>1</w:t>
      </w:r>
      <w:r>
        <w:t xml:space="preserve"> at wavelengths between 290 and 700 nm (based on the results of a study following OECD test guideline 101), or</w:t>
      </w:r>
    </w:p>
    <w:p w14:paraId="75D64290" w14:textId="77777777" w:rsidR="00E77D4A" w:rsidRDefault="00E77D4A" w:rsidP="000A5B68">
      <w:pPr>
        <w:pStyle w:val="Bulletlist"/>
      </w:pPr>
      <w:r>
        <w:t xml:space="preserve">results from in vitro phototoxicity studies, or </w:t>
      </w:r>
    </w:p>
    <w:p w14:paraId="37C473B1" w14:textId="77777777" w:rsidR="004412AC" w:rsidRDefault="00E77D4A" w:rsidP="000A5B68">
      <w:pPr>
        <w:pStyle w:val="Bulletlist"/>
      </w:pPr>
      <w:r>
        <w:t>results from in vitro or in vivo irritation studies where the methods have been modified to include photoactivation.</w:t>
      </w:r>
    </w:p>
    <w:p w14:paraId="06971E01" w14:textId="77777777" w:rsidR="00254B1B" w:rsidRDefault="00254B1B" w:rsidP="00254B1B">
      <w:pPr>
        <w:pStyle w:val="Heading2"/>
      </w:pPr>
      <w:bookmarkStart w:id="46" w:name="_Toc238816828"/>
      <w:r>
        <w:t>6.21 Eye irritation – Human health hazard band A</w:t>
      </w:r>
      <w:bookmarkEnd w:id="46"/>
    </w:p>
    <w:p w14:paraId="6E66B186" w14:textId="77777777" w:rsidR="00254B1B" w:rsidRDefault="00254B1B" w:rsidP="00254B1B">
      <w:pPr>
        <w:pStyle w:val="Heading3"/>
      </w:pPr>
      <w:r>
        <w:t>6.21.1 Clause 2 of Part 1, Schedule 1 to the IC General Rules</w:t>
      </w:r>
    </w:p>
    <w:p w14:paraId="74B5657A" w14:textId="77777777" w:rsidR="00254B1B" w:rsidRDefault="00254B1B" w:rsidP="00254B1B">
      <w:r>
        <w:t>For the purposes of table item 19 of Clause 2, Part 1, Schedule 1 to the IC General Rules:</w:t>
      </w:r>
    </w:p>
    <w:p w14:paraId="6E02E6A3" w14:textId="77777777" w:rsidR="00254B1B" w:rsidRDefault="00254B1B" w:rsidP="00254B1B">
      <w:r w:rsidRPr="00254B1B">
        <w:rPr>
          <w:b/>
          <w:bCs/>
        </w:rPr>
        <w:t>Eye irritation</w:t>
      </w:r>
      <w:r>
        <w:t xml:space="preserve"> means that any of the following apply to the industrial chemical:</w:t>
      </w:r>
    </w:p>
    <w:p w14:paraId="0056FC05" w14:textId="77777777" w:rsidR="00254B1B" w:rsidRDefault="00254B1B" w:rsidP="000A5B68">
      <w:pPr>
        <w:pStyle w:val="Bulletlist"/>
      </w:pPr>
      <w:r>
        <w:t>the chemical is known to produce changes in the eye, as described in chapter 3.3 of the GHS, with the chemical classified as eye irritation (category 2), or</w:t>
      </w:r>
    </w:p>
    <w:p w14:paraId="240F0896" w14:textId="77777777" w:rsidR="00254B1B" w:rsidRDefault="00254B1B" w:rsidP="000A5B68">
      <w:pPr>
        <w:pStyle w:val="Bulletlist"/>
      </w:pPr>
      <w:r>
        <w:t>an in vitro study on the chemical conducted following an acceptable test guideline for eye irritation results in the prediction of eye irritation effects, or</w:t>
      </w:r>
    </w:p>
    <w:p w14:paraId="6FC921E1" w14:textId="77777777" w:rsidR="004412AC" w:rsidRDefault="00254B1B" w:rsidP="000A5B68">
      <w:pPr>
        <w:pStyle w:val="Bulletlist"/>
      </w:pPr>
      <w:r>
        <w:t>an in vivo study on the chemical conducted following an acceptable test guideline for eye irritation results in changes in the eye, as described for eye irritation in chapter 3.3 of the GHS.</w:t>
      </w:r>
    </w:p>
    <w:p w14:paraId="1225B698" w14:textId="77777777" w:rsidR="00295FCD" w:rsidRDefault="00295FCD" w:rsidP="00295FCD">
      <w:pPr>
        <w:pStyle w:val="Heading3"/>
      </w:pPr>
      <w:r>
        <w:t>6.21.2</w:t>
      </w:r>
      <w:r w:rsidR="00560503">
        <w:tab/>
      </w:r>
      <w:r>
        <w:t xml:space="preserve">Section 30 of the IC General Rules </w:t>
      </w:r>
      <w:r w:rsidR="005B7E03">
        <w:t>–</w:t>
      </w:r>
      <w:r>
        <w:t xml:space="preserve"> Information required to demonstrate the absence of hazard characteristics </w:t>
      </w:r>
    </w:p>
    <w:p w14:paraId="4BDA9074" w14:textId="77777777" w:rsidR="00295FCD" w:rsidRDefault="00295FCD" w:rsidP="00295FCD">
      <w:r>
        <w:t xml:space="preserve">For the purposes of subparagraph 30(2)(c)(iv) of the IC General Rules, the information required to demonstrate that a chemical does not have the hazard characteristic, </w:t>
      </w:r>
      <w:r w:rsidRPr="00295FCD">
        <w:rPr>
          <w:b/>
          <w:bCs/>
        </w:rPr>
        <w:t>eye irritation</w:t>
      </w:r>
      <w:r>
        <w:t>, is at least one of the following:</w:t>
      </w:r>
    </w:p>
    <w:p w14:paraId="1AE48490" w14:textId="77777777" w:rsidR="00295FCD" w:rsidRDefault="00295FCD" w:rsidP="000A5B68">
      <w:pPr>
        <w:pStyle w:val="Bulletlist"/>
      </w:pPr>
      <w:r>
        <w:lastRenderedPageBreak/>
        <w:t>if the human health exposure band for the introduction is 3</w:t>
      </w:r>
      <w:bookmarkStart w:id="47" w:name="_Ref191049105"/>
      <w:r w:rsidR="003B1C9A">
        <w:rPr>
          <w:rStyle w:val="FootnoteReference"/>
        </w:rPr>
        <w:footnoteReference w:id="22"/>
      </w:r>
      <w:bookmarkEnd w:id="47"/>
      <w:r>
        <w:t xml:space="preserve"> </w:t>
      </w:r>
      <w:r w:rsidR="005B7E03">
        <w:t>–</w:t>
      </w:r>
      <w:r>
        <w:t xml:space="preserve"> a suitable in silico</w:t>
      </w:r>
      <w:r w:rsidR="00DE2C77">
        <w:t xml:space="preserve"> </w:t>
      </w:r>
      <w:r>
        <w:t>prediction indicating that the chemical is not irritating to the eyes, or</w:t>
      </w:r>
    </w:p>
    <w:p w14:paraId="4BBE5AA9" w14:textId="77777777" w:rsidR="00295FCD" w:rsidRDefault="00295FCD" w:rsidP="000A5B68">
      <w:pPr>
        <w:pStyle w:val="Bulletlist"/>
      </w:pPr>
      <w:r>
        <w:t>test results</w:t>
      </w:r>
      <w:bookmarkStart w:id="48" w:name="_Ref191049011"/>
      <w:r w:rsidR="00DE2C77">
        <w:rPr>
          <w:rStyle w:val="FootnoteReference"/>
        </w:rPr>
        <w:footnoteReference w:id="23"/>
      </w:r>
      <w:bookmarkEnd w:id="48"/>
      <w:r>
        <w:t xml:space="preserve"> from an in vitro study on the chemical or from suitable read across information, conducted following an acceptable test guideline for eye damage or eye irritation with a non-irritant prediction, or</w:t>
      </w:r>
    </w:p>
    <w:p w14:paraId="60A8D0C5" w14:textId="074950E9" w:rsidR="004412AC" w:rsidRDefault="00295FCD" w:rsidP="000A5B68">
      <w:pPr>
        <w:pStyle w:val="Bulletlist"/>
      </w:pPr>
      <w:r>
        <w:t>test results</w:t>
      </w:r>
      <w:r w:rsidR="00515437" w:rsidRPr="00515437">
        <w:rPr>
          <w:vertAlign w:val="superscript"/>
        </w:rPr>
        <w:fldChar w:fldCharType="begin"/>
      </w:r>
      <w:r w:rsidR="00515437" w:rsidRPr="00791D8C">
        <w:rPr>
          <w:vertAlign w:val="superscript"/>
        </w:rPr>
        <w:instrText xml:space="preserve"> NOTEREF _Ref191049011 \h  \* MERGEFORMAT </w:instrText>
      </w:r>
      <w:r w:rsidR="00515437" w:rsidRPr="00515437">
        <w:rPr>
          <w:vertAlign w:val="superscript"/>
        </w:rPr>
      </w:r>
      <w:r w:rsidR="00515437" w:rsidRPr="00515437">
        <w:rPr>
          <w:vertAlign w:val="superscript"/>
        </w:rPr>
        <w:fldChar w:fldCharType="separate"/>
      </w:r>
      <w:r w:rsidR="00791D8C">
        <w:rPr>
          <w:vertAlign w:val="superscript"/>
        </w:rPr>
        <w:t>22</w:t>
      </w:r>
      <w:r w:rsidR="00515437" w:rsidRPr="00515437">
        <w:rPr>
          <w:vertAlign w:val="superscript"/>
        </w:rPr>
        <w:fldChar w:fldCharType="end"/>
      </w:r>
      <w:r>
        <w:t xml:space="preserve"> from an in vivo study on the chemical or from suitable read across information, conducted following an acceptable test guideline for eye irritation, which</w:t>
      </w:r>
      <w:r w:rsidR="005965BC">
        <w:t xml:space="preserve"> does not result in changes in the eyes, as described for eye irritation (category 2) in chapter 3.3 of the GHS.</w:t>
      </w:r>
    </w:p>
    <w:p w14:paraId="475E0B6E" w14:textId="77777777" w:rsidR="0018051C" w:rsidRDefault="0018051C" w:rsidP="0018051C">
      <w:pPr>
        <w:pStyle w:val="Heading2"/>
      </w:pPr>
      <w:bookmarkStart w:id="49" w:name="_Toc238816829"/>
      <w:r>
        <w:t>6.22 Acute toxicity (harmful) – Human health hazard band A</w:t>
      </w:r>
      <w:bookmarkEnd w:id="49"/>
    </w:p>
    <w:p w14:paraId="7DE94A15" w14:textId="77777777" w:rsidR="0018051C" w:rsidRDefault="0018051C" w:rsidP="0018051C">
      <w:pPr>
        <w:pStyle w:val="Heading3"/>
      </w:pPr>
      <w:r>
        <w:t>6.22.1 Clause 2 of Part 1, Schedule 1 to the IC General Rules</w:t>
      </w:r>
    </w:p>
    <w:p w14:paraId="79CC00A3" w14:textId="77777777" w:rsidR="0018051C" w:rsidRDefault="0018051C" w:rsidP="0018051C">
      <w:r>
        <w:t>For the purposes of table item 20 of Clause 2, Part 1, Schedule 1 to the IC General Rules:</w:t>
      </w:r>
    </w:p>
    <w:p w14:paraId="2241548B" w14:textId="77777777" w:rsidR="0018051C" w:rsidRDefault="0018051C" w:rsidP="0018051C">
      <w:r w:rsidRPr="00345BB7">
        <w:rPr>
          <w:b/>
          <w:bCs/>
        </w:rPr>
        <w:t>Acute toxicity (harmful)</w:t>
      </w:r>
      <w:r>
        <w:t xml:space="preserve"> means that any of the following apply to the industrial chemical:</w:t>
      </w:r>
    </w:p>
    <w:p w14:paraId="3F551E8E" w14:textId="77777777" w:rsidR="0018051C" w:rsidRDefault="0018051C" w:rsidP="000A5B68">
      <w:pPr>
        <w:pStyle w:val="Bulletlist"/>
      </w:pPr>
      <w:r>
        <w:t>the chemical is known to exhibit acute toxicity effects, as described in chapter 3.1 of the GHS, with the chemical classified as acute toxicity (category 4), or</w:t>
      </w:r>
    </w:p>
    <w:p w14:paraId="3F82010E" w14:textId="77777777" w:rsidR="0018051C" w:rsidRDefault="0018051C" w:rsidP="000A5B68">
      <w:pPr>
        <w:pStyle w:val="Bulletlist"/>
      </w:pPr>
      <w:r>
        <w:t>an in vitro study on the chemical:</w:t>
      </w:r>
    </w:p>
    <w:p w14:paraId="796F5D42" w14:textId="77777777" w:rsidR="0018051C" w:rsidRDefault="0018051C" w:rsidP="00C144B1">
      <w:pPr>
        <w:pStyle w:val="Bulletlist2"/>
      </w:pPr>
      <w:r>
        <w:t>conducted following an acceptable test guideline for acute oral toxicity, results in a predicted acute toxicity LD50 value of &gt; 300 but ≤ 2,000 mg/kg bw, and</w:t>
      </w:r>
    </w:p>
    <w:p w14:paraId="4059B1C0" w14:textId="77777777" w:rsidR="0018051C" w:rsidRDefault="0018051C" w:rsidP="00C144B1">
      <w:pPr>
        <w:pStyle w:val="Bulletlist2"/>
      </w:pPr>
      <w:r>
        <w:t>the results of the study have not been negated by in vivo studies conducted on the chemical for acute toxicity, or</w:t>
      </w:r>
    </w:p>
    <w:p w14:paraId="4C04E77E" w14:textId="77777777" w:rsidR="0018051C" w:rsidRDefault="0018051C" w:rsidP="000A5B68">
      <w:pPr>
        <w:pStyle w:val="Bulletlist"/>
      </w:pPr>
      <w:r>
        <w:t>an in vivo study on the chemical:</w:t>
      </w:r>
    </w:p>
    <w:p w14:paraId="7331B752" w14:textId="77777777" w:rsidR="0018051C" w:rsidRDefault="0018051C" w:rsidP="00C144B1">
      <w:pPr>
        <w:pStyle w:val="Bulletlist2"/>
      </w:pPr>
      <w:r>
        <w:t>conducted following an acceptable test guideline for acute oral toxicity results in an acute oral LD50 value of &gt; 300 but ≤ 2,000 mg/kg bw, or</w:t>
      </w:r>
    </w:p>
    <w:p w14:paraId="5552A9DE" w14:textId="77777777" w:rsidR="0018051C" w:rsidRDefault="0018051C" w:rsidP="00C144B1">
      <w:pPr>
        <w:pStyle w:val="Bulletlist2"/>
      </w:pPr>
      <w:r>
        <w:t>conducted following an acceptable test guideline for acute dermal toxicity</w:t>
      </w:r>
      <w:r w:rsidR="0044008A">
        <w:t xml:space="preserve"> </w:t>
      </w:r>
      <w:r>
        <w:t>results in an acute dermal LD50 value of &gt; 1,000 but ≤ 2,000 mg/kg bw, or</w:t>
      </w:r>
    </w:p>
    <w:p w14:paraId="5F4B84D6" w14:textId="77777777" w:rsidR="0018051C" w:rsidRDefault="0018051C" w:rsidP="00C144B1">
      <w:pPr>
        <w:pStyle w:val="Bulletlist2"/>
      </w:pPr>
      <w:r>
        <w:t>conducted following an acceptable test guideline for acute inhalation toxicity</w:t>
      </w:r>
      <w:r w:rsidR="0044008A">
        <w:t xml:space="preserve"> </w:t>
      </w:r>
      <w:r>
        <w:t>results in an acute inhalation LC50 value of:</w:t>
      </w:r>
    </w:p>
    <w:p w14:paraId="6F33E1C0" w14:textId="77777777" w:rsidR="0018051C" w:rsidRDefault="0018051C" w:rsidP="00103519">
      <w:pPr>
        <w:pStyle w:val="Bulletlist3"/>
      </w:pPr>
      <w:r>
        <w:t xml:space="preserve">for gases </w:t>
      </w:r>
      <w:r w:rsidR="009C2481">
        <w:t>–</w:t>
      </w:r>
      <w:r>
        <w:t xml:space="preserve"> &gt; 2500 but ≤ 20,000 </w:t>
      </w:r>
      <w:proofErr w:type="spellStart"/>
      <w:r>
        <w:t>ppmV</w:t>
      </w:r>
      <w:proofErr w:type="spellEnd"/>
      <w:r>
        <w:t>/4h, or</w:t>
      </w:r>
    </w:p>
    <w:p w14:paraId="3468850D" w14:textId="77777777" w:rsidR="0018051C" w:rsidRDefault="0018051C" w:rsidP="00103519">
      <w:pPr>
        <w:pStyle w:val="Bulletlist3"/>
      </w:pPr>
      <w:r>
        <w:t xml:space="preserve">for vapours </w:t>
      </w:r>
      <w:r w:rsidR="009C2481">
        <w:t>–</w:t>
      </w:r>
      <w:r>
        <w:t xml:space="preserve"> &gt; 10 but ≤ 20 mg/L/4h, or</w:t>
      </w:r>
    </w:p>
    <w:p w14:paraId="28C518C5" w14:textId="77777777" w:rsidR="004412AC" w:rsidRDefault="0018051C" w:rsidP="00103519">
      <w:pPr>
        <w:pStyle w:val="Bulletlist3"/>
      </w:pPr>
      <w:r>
        <w:t xml:space="preserve">for dusts/mists/fumes </w:t>
      </w:r>
      <w:r w:rsidR="009C2481">
        <w:t>–</w:t>
      </w:r>
      <w:r>
        <w:t xml:space="preserve"> &gt; 1 but ≤ 5 mg/L/4h.</w:t>
      </w:r>
    </w:p>
    <w:p w14:paraId="2C53F743" w14:textId="77777777" w:rsidR="005009FD" w:rsidRDefault="005009FD" w:rsidP="005009FD">
      <w:pPr>
        <w:pStyle w:val="Heading3"/>
      </w:pPr>
      <w:r>
        <w:t xml:space="preserve">6.22.2 Section 30 of the IC General Rules </w:t>
      </w:r>
      <w:r w:rsidR="005B7E03">
        <w:t>–</w:t>
      </w:r>
      <w:r>
        <w:t xml:space="preserve"> Information required to demonstrate the absence of hazard characteristics</w:t>
      </w:r>
    </w:p>
    <w:p w14:paraId="2C4199EF" w14:textId="77777777" w:rsidR="005009FD" w:rsidRDefault="005009FD" w:rsidP="005009FD">
      <w:r>
        <w:t>For the purposes of subparagraph 30(2)(c)(iv) of the IC General Rules:</w:t>
      </w:r>
    </w:p>
    <w:p w14:paraId="6BBB426F" w14:textId="77777777" w:rsidR="005009FD" w:rsidRDefault="005009FD" w:rsidP="000A5B68">
      <w:pPr>
        <w:pStyle w:val="Bulletlist"/>
      </w:pPr>
      <w:r>
        <w:t xml:space="preserve">the information required to demonstrate that a chemical does not have the hazard characteristic, </w:t>
      </w:r>
      <w:r w:rsidRPr="00640286">
        <w:rPr>
          <w:b/>
          <w:bCs/>
        </w:rPr>
        <w:t>acute toxicity (harmful)</w:t>
      </w:r>
      <w:r>
        <w:t>, is at least one of the following:</w:t>
      </w:r>
    </w:p>
    <w:p w14:paraId="09F089A6" w14:textId="1649433D" w:rsidR="004412AC" w:rsidRDefault="005009FD" w:rsidP="00C144B1">
      <w:pPr>
        <w:pStyle w:val="Bulletlist2"/>
      </w:pPr>
      <w:r>
        <w:t xml:space="preserve">if </w:t>
      </w:r>
      <w:bookmarkStart w:id="50" w:name="_Hlk179275918"/>
      <w:r>
        <w:t>the human health exposure band for the introduction is 3</w:t>
      </w:r>
      <w:bookmarkEnd w:id="50"/>
      <w:r w:rsidR="00515437" w:rsidRPr="00791D8C">
        <w:rPr>
          <w:vertAlign w:val="superscript"/>
        </w:rPr>
        <w:fldChar w:fldCharType="begin"/>
      </w:r>
      <w:r w:rsidR="00515437" w:rsidRPr="00791D8C">
        <w:rPr>
          <w:vertAlign w:val="superscript"/>
        </w:rPr>
        <w:instrText xml:space="preserve"> NOTEREF _Ref191049105 \h </w:instrText>
      </w:r>
      <w:r w:rsidR="00515437">
        <w:rPr>
          <w:vertAlign w:val="superscript"/>
        </w:rPr>
        <w:instrText xml:space="preserve"> \* MERGEFORMAT </w:instrText>
      </w:r>
      <w:r w:rsidR="00515437" w:rsidRPr="00791D8C">
        <w:rPr>
          <w:vertAlign w:val="superscript"/>
        </w:rPr>
      </w:r>
      <w:r w:rsidR="00515437" w:rsidRPr="00791D8C">
        <w:rPr>
          <w:vertAlign w:val="superscript"/>
        </w:rPr>
        <w:fldChar w:fldCharType="separate"/>
      </w:r>
      <w:r w:rsidR="00791D8C">
        <w:rPr>
          <w:vertAlign w:val="superscript"/>
        </w:rPr>
        <w:t>21</w:t>
      </w:r>
      <w:r w:rsidR="00515437" w:rsidRPr="00791D8C">
        <w:rPr>
          <w:vertAlign w:val="superscript"/>
        </w:rPr>
        <w:fldChar w:fldCharType="end"/>
      </w:r>
      <w:r>
        <w:t xml:space="preserve"> </w:t>
      </w:r>
      <w:r w:rsidR="002F1B66">
        <w:t>–</w:t>
      </w:r>
      <w:r>
        <w:t xml:space="preserve"> both of the following:</w:t>
      </w:r>
    </w:p>
    <w:p w14:paraId="6BDD5961" w14:textId="77777777" w:rsidR="00A73209" w:rsidRDefault="00A73209" w:rsidP="00103519">
      <w:pPr>
        <w:pStyle w:val="Bulletlist3"/>
      </w:pPr>
      <w:r>
        <w:t>a suitable in silico prediction for acute toxicity (LD50) of the chemical of &gt; 2,000 mg/kg bw/day, and</w:t>
      </w:r>
    </w:p>
    <w:p w14:paraId="25BAC14C" w14:textId="77777777" w:rsidR="00A73209" w:rsidRDefault="00A73209" w:rsidP="00103519">
      <w:pPr>
        <w:pStyle w:val="Bulletlist3"/>
      </w:pPr>
      <w:r>
        <w:lastRenderedPageBreak/>
        <w:t>test results from an in vitro study on the chemical or from suitable read across information, conducted following an acceptable test guideline for acute oral toxicity, with a predicted LD50 of &gt; 2,000 mg/kg bw, or</w:t>
      </w:r>
    </w:p>
    <w:p w14:paraId="0896392F" w14:textId="77777777" w:rsidR="00A73209" w:rsidRDefault="00A73209" w:rsidP="00C144B1">
      <w:pPr>
        <w:pStyle w:val="Bulletlist2"/>
      </w:pPr>
      <w:r>
        <w:t>information</w:t>
      </w:r>
      <w:bookmarkStart w:id="51" w:name="_Ref191049180"/>
      <w:r w:rsidR="00472DA3">
        <w:rPr>
          <w:rStyle w:val="FootnoteReference"/>
        </w:rPr>
        <w:footnoteReference w:id="24"/>
      </w:r>
      <w:bookmarkEnd w:id="51"/>
      <w:r w:rsidRPr="004D543E">
        <w:rPr>
          <w:vertAlign w:val="superscript"/>
        </w:rPr>
        <w:t xml:space="preserve"> </w:t>
      </w:r>
      <w:r>
        <w:t>that demonstrates that the chemical is a high molecular weight polymer that has:</w:t>
      </w:r>
    </w:p>
    <w:p w14:paraId="061C78E0" w14:textId="77777777" w:rsidR="00A73209" w:rsidRDefault="00A73209" w:rsidP="00103519">
      <w:pPr>
        <w:pStyle w:val="Bulletlist3"/>
      </w:pPr>
      <w:r>
        <w:t>&lt; 5% by mass of molecules with molecular weight &lt; 1,000 g/mol, and</w:t>
      </w:r>
    </w:p>
    <w:p w14:paraId="0D55D0B7" w14:textId="77777777" w:rsidR="00A73209" w:rsidRDefault="00A73209" w:rsidP="00103519">
      <w:pPr>
        <w:pStyle w:val="Bulletlist3"/>
      </w:pPr>
      <w:r>
        <w:t xml:space="preserve">&lt; 2% by mass of molecules with molecular weight &lt; 500 g/mol </w:t>
      </w:r>
    </w:p>
    <w:p w14:paraId="3034BDD2" w14:textId="4296596A" w:rsidR="00A73209" w:rsidRDefault="00A73209" w:rsidP="00C144B1">
      <w:pPr>
        <w:pStyle w:val="Bulletlist2"/>
      </w:pPr>
      <w:r>
        <w:t>inclusion of the chemical</w:t>
      </w:r>
      <w:r w:rsidR="00515437" w:rsidRPr="00515437">
        <w:rPr>
          <w:vertAlign w:val="superscript"/>
        </w:rPr>
        <w:fldChar w:fldCharType="begin"/>
      </w:r>
      <w:r w:rsidR="00515437" w:rsidRPr="00791D8C">
        <w:rPr>
          <w:vertAlign w:val="superscript"/>
        </w:rPr>
        <w:instrText xml:space="preserve"> NOTEREF _Ref191049180 \h  \* MERGEFORMAT </w:instrText>
      </w:r>
      <w:r w:rsidR="00515437" w:rsidRPr="00515437">
        <w:rPr>
          <w:vertAlign w:val="superscript"/>
        </w:rPr>
      </w:r>
      <w:r w:rsidR="00515437" w:rsidRPr="00515437">
        <w:rPr>
          <w:vertAlign w:val="superscript"/>
        </w:rPr>
        <w:fldChar w:fldCharType="separate"/>
      </w:r>
      <w:r w:rsidR="00791D8C">
        <w:rPr>
          <w:vertAlign w:val="superscript"/>
        </w:rPr>
        <w:t>23</w:t>
      </w:r>
      <w:r w:rsidR="00515437" w:rsidRPr="00515437">
        <w:rPr>
          <w:vertAlign w:val="superscript"/>
        </w:rPr>
        <w:fldChar w:fldCharType="end"/>
      </w:r>
      <w:r>
        <w:t xml:space="preserve"> in the Select Committee on GRAS Substances (SCOGS) Database as a Type 1 conclusion, </w:t>
      </w:r>
      <w:proofErr w:type="gramStart"/>
      <w:r>
        <w:t>as long as</w:t>
      </w:r>
      <w:proofErr w:type="gramEnd"/>
      <w:r>
        <w:t xml:space="preserve"> the human health exposure expected from the industrial use of the chemical is no higher than the human health exposure expected from food use, or</w:t>
      </w:r>
    </w:p>
    <w:p w14:paraId="7262E3BF" w14:textId="65C085AF" w:rsidR="00A73209" w:rsidRDefault="00A73209" w:rsidP="00C144B1">
      <w:pPr>
        <w:pStyle w:val="Bulletlist2"/>
      </w:pPr>
      <w:r>
        <w:t>the chemical</w:t>
      </w:r>
      <w:r w:rsidR="00515437" w:rsidRPr="00515437">
        <w:rPr>
          <w:vertAlign w:val="superscript"/>
        </w:rPr>
        <w:fldChar w:fldCharType="begin"/>
      </w:r>
      <w:r w:rsidR="00515437" w:rsidRPr="00791D8C">
        <w:rPr>
          <w:vertAlign w:val="superscript"/>
        </w:rPr>
        <w:instrText xml:space="preserve"> NOTEREF _Ref191049180 \h  \* MERGEFORMAT </w:instrText>
      </w:r>
      <w:r w:rsidR="00515437" w:rsidRPr="00515437">
        <w:rPr>
          <w:vertAlign w:val="superscript"/>
        </w:rPr>
      </w:r>
      <w:r w:rsidR="00515437" w:rsidRPr="00515437">
        <w:rPr>
          <w:vertAlign w:val="superscript"/>
        </w:rPr>
        <w:fldChar w:fldCharType="separate"/>
      </w:r>
      <w:r w:rsidR="00791D8C">
        <w:rPr>
          <w:vertAlign w:val="superscript"/>
        </w:rPr>
        <w:t>23</w:t>
      </w:r>
      <w:r w:rsidR="00515437" w:rsidRPr="00515437">
        <w:rPr>
          <w:vertAlign w:val="superscript"/>
        </w:rPr>
        <w:fldChar w:fldCharType="end"/>
      </w:r>
      <w:r>
        <w:t xml:space="preserve"> has been notified to the US FDA GRAS notification program and FDA had no questions about the notifier’s conclusion of GRAS status, as long as the human health exposure expected from the industrial use of the chemical is no higher than the human health exposure expected from food use, or</w:t>
      </w:r>
    </w:p>
    <w:p w14:paraId="56C81B02" w14:textId="0B56B02F" w:rsidR="00A73209" w:rsidRDefault="00A73209" w:rsidP="00C144B1">
      <w:pPr>
        <w:pStyle w:val="Bulletlist2"/>
      </w:pPr>
      <w:r>
        <w:t>the chemical</w:t>
      </w:r>
      <w:r w:rsidR="00515437" w:rsidRPr="00515437">
        <w:rPr>
          <w:vertAlign w:val="superscript"/>
        </w:rPr>
        <w:fldChar w:fldCharType="begin"/>
      </w:r>
      <w:r w:rsidR="00515437" w:rsidRPr="00791D8C">
        <w:rPr>
          <w:vertAlign w:val="superscript"/>
        </w:rPr>
        <w:instrText xml:space="preserve"> NOTEREF _Ref191049180 \h  \* MERGEFORMAT </w:instrText>
      </w:r>
      <w:r w:rsidR="00515437" w:rsidRPr="00515437">
        <w:rPr>
          <w:vertAlign w:val="superscript"/>
        </w:rPr>
      </w:r>
      <w:r w:rsidR="00515437" w:rsidRPr="00515437">
        <w:rPr>
          <w:vertAlign w:val="superscript"/>
        </w:rPr>
        <w:fldChar w:fldCharType="separate"/>
      </w:r>
      <w:r w:rsidR="00791D8C">
        <w:rPr>
          <w:vertAlign w:val="superscript"/>
        </w:rPr>
        <w:t>23</w:t>
      </w:r>
      <w:r w:rsidR="00515437" w:rsidRPr="00515437">
        <w:rPr>
          <w:vertAlign w:val="superscript"/>
        </w:rPr>
        <w:fldChar w:fldCharType="end"/>
      </w:r>
      <w:r>
        <w:t xml:space="preserve"> is permitted to be used as a food additive according to Schedule 15 of the </w:t>
      </w:r>
      <w:r w:rsidRPr="002F1B66">
        <w:rPr>
          <w:i/>
          <w:iCs/>
        </w:rPr>
        <w:t xml:space="preserve">Australia New Zealand Food Standards Code </w:t>
      </w:r>
      <w:r w:rsidR="002F1B66" w:rsidRPr="002F1B66">
        <w:rPr>
          <w:i/>
          <w:iCs/>
        </w:rPr>
        <w:t>–</w:t>
      </w:r>
      <w:r w:rsidRPr="002F1B66">
        <w:rPr>
          <w:i/>
          <w:iCs/>
        </w:rPr>
        <w:t xml:space="preserve"> Standard 1.3.1 </w:t>
      </w:r>
      <w:r w:rsidR="002F1B66">
        <w:t>–</w:t>
      </w:r>
      <w:r w:rsidRPr="002F1B66">
        <w:rPr>
          <w:i/>
          <w:iCs/>
        </w:rPr>
        <w:t xml:space="preserve"> Food Additives</w:t>
      </w:r>
      <w:r>
        <w:t>, as long as the human health exposure expected from the industrial use of the chemical is no higher than the human health exposure expected from food use, or</w:t>
      </w:r>
    </w:p>
    <w:p w14:paraId="55C1090C" w14:textId="193CA979" w:rsidR="00A73209" w:rsidRDefault="00A73209" w:rsidP="00C144B1">
      <w:pPr>
        <w:pStyle w:val="Bulletlist2"/>
      </w:pPr>
      <w:r>
        <w:t>information</w:t>
      </w:r>
      <w:r w:rsidR="00515437" w:rsidRPr="00515437">
        <w:rPr>
          <w:vertAlign w:val="superscript"/>
        </w:rPr>
        <w:fldChar w:fldCharType="begin"/>
      </w:r>
      <w:r w:rsidR="00515437" w:rsidRPr="00791D8C">
        <w:rPr>
          <w:vertAlign w:val="superscript"/>
        </w:rPr>
        <w:instrText xml:space="preserve"> NOTEREF _Ref191049180 \h  \* MERGEFORMAT </w:instrText>
      </w:r>
      <w:r w:rsidR="00515437" w:rsidRPr="00515437">
        <w:rPr>
          <w:vertAlign w:val="superscript"/>
        </w:rPr>
      </w:r>
      <w:r w:rsidR="00515437" w:rsidRPr="00515437">
        <w:rPr>
          <w:vertAlign w:val="superscript"/>
        </w:rPr>
        <w:fldChar w:fldCharType="separate"/>
      </w:r>
      <w:r w:rsidR="00791D8C">
        <w:rPr>
          <w:vertAlign w:val="superscript"/>
        </w:rPr>
        <w:t>23</w:t>
      </w:r>
      <w:r w:rsidR="00515437" w:rsidRPr="00515437">
        <w:rPr>
          <w:vertAlign w:val="superscript"/>
        </w:rPr>
        <w:fldChar w:fldCharType="end"/>
      </w:r>
      <w:r>
        <w:t xml:space="preserve"> that demonstrates that the chemical is a substance covered by Entry 9 of Annex V of the REACH Regulation, or</w:t>
      </w:r>
    </w:p>
    <w:p w14:paraId="6984EBB8" w14:textId="38AAEDA1" w:rsidR="00A73209" w:rsidRDefault="00A73209" w:rsidP="00C144B1">
      <w:pPr>
        <w:pStyle w:val="Bulletlist2"/>
      </w:pPr>
      <w:r>
        <w:t>a test result</w:t>
      </w:r>
      <w:r w:rsidR="00515437">
        <w:rPr>
          <w:vertAlign w:val="superscript"/>
        </w:rPr>
        <w:fldChar w:fldCharType="begin"/>
      </w:r>
      <w:r w:rsidR="00515437">
        <w:instrText xml:space="preserve"> NOTEREF _Ref191049180 \f \h </w:instrText>
      </w:r>
      <w:r w:rsidR="00515437">
        <w:rPr>
          <w:vertAlign w:val="superscript"/>
        </w:rPr>
      </w:r>
      <w:r w:rsidR="00515437">
        <w:rPr>
          <w:vertAlign w:val="superscript"/>
        </w:rPr>
        <w:fldChar w:fldCharType="separate"/>
      </w:r>
      <w:r w:rsidR="00791D8C" w:rsidRPr="00791D8C">
        <w:rPr>
          <w:rStyle w:val="FootnoteReference"/>
        </w:rPr>
        <w:t>23</w:t>
      </w:r>
      <w:r w:rsidR="00515437">
        <w:rPr>
          <w:vertAlign w:val="superscript"/>
        </w:rPr>
        <w:fldChar w:fldCharType="end"/>
      </w:r>
      <w:r>
        <w:t xml:space="preserve"> from at least one in vivo study on the chemical or from suitable read across information, as detailed below, with the administration route dependent on the most relevant route of exposure (or the oral route if information on the most relevant route is not available):</w:t>
      </w:r>
    </w:p>
    <w:p w14:paraId="4ECFC427" w14:textId="7A948A1A" w:rsidR="00A73209" w:rsidRDefault="00A73209" w:rsidP="00C3064F">
      <w:pPr>
        <w:pStyle w:val="Bulletlist3"/>
      </w:pPr>
      <w:r>
        <w:t>conducted following an acceptable test guideline for acute oral toxicity with an LD50 &gt; 2,000 mg/kg bw, or</w:t>
      </w:r>
    </w:p>
    <w:p w14:paraId="13A4DD05" w14:textId="77777777" w:rsidR="00A73209" w:rsidRDefault="00A73209" w:rsidP="00103519">
      <w:pPr>
        <w:pStyle w:val="Bulletlist3"/>
      </w:pPr>
      <w:r>
        <w:t>conducted following an acceptable test guideline for acute dermal toxicity with an LD50 &gt; 2,000 mg/kg bw, or</w:t>
      </w:r>
    </w:p>
    <w:p w14:paraId="36BFBBEB" w14:textId="77777777" w:rsidR="00A73209" w:rsidRDefault="00A73209" w:rsidP="00103519">
      <w:pPr>
        <w:pStyle w:val="Bulletlist3"/>
      </w:pPr>
      <w:r>
        <w:t>conducted following an acceptable test guideline for acute inhalation toxicity with an LC50:</w:t>
      </w:r>
    </w:p>
    <w:p w14:paraId="7498FB90" w14:textId="77777777" w:rsidR="00A73209" w:rsidRDefault="00A73209" w:rsidP="00881ECD">
      <w:pPr>
        <w:pStyle w:val="Bulletlist4"/>
      </w:pPr>
      <w:r>
        <w:t xml:space="preserve">for gases </w:t>
      </w:r>
      <w:r w:rsidR="00B15C60">
        <w:t>–</w:t>
      </w:r>
      <w:r>
        <w:t xml:space="preserve"> &gt; 20,000 </w:t>
      </w:r>
      <w:proofErr w:type="spellStart"/>
      <w:r>
        <w:t>ppmV</w:t>
      </w:r>
      <w:proofErr w:type="spellEnd"/>
      <w:r>
        <w:t xml:space="preserve">/4h, or </w:t>
      </w:r>
    </w:p>
    <w:p w14:paraId="2BF7B14F" w14:textId="77777777" w:rsidR="00A73209" w:rsidRDefault="00A73209" w:rsidP="00881ECD">
      <w:pPr>
        <w:pStyle w:val="Bulletlist4"/>
      </w:pPr>
      <w:r>
        <w:t xml:space="preserve">for vapours </w:t>
      </w:r>
      <w:r w:rsidR="00B15C60">
        <w:t>–</w:t>
      </w:r>
      <w:r>
        <w:t xml:space="preserve"> &gt; 20 mg/L/4h, or </w:t>
      </w:r>
    </w:p>
    <w:p w14:paraId="5859F00D" w14:textId="77777777" w:rsidR="004412AC" w:rsidRDefault="00A73209" w:rsidP="00881ECD">
      <w:pPr>
        <w:pStyle w:val="Bulletlist4"/>
      </w:pPr>
      <w:r>
        <w:t xml:space="preserve">for dusts/mists/fumes </w:t>
      </w:r>
      <w:r w:rsidR="00B15C60">
        <w:t>–</w:t>
      </w:r>
      <w:r>
        <w:t xml:space="preserve"> &gt; 5 mg/L/4h, or</w:t>
      </w:r>
    </w:p>
    <w:p w14:paraId="0D5B0016" w14:textId="72F19BCD" w:rsidR="004412AC" w:rsidRDefault="003335B3" w:rsidP="00C144B1">
      <w:pPr>
        <w:pStyle w:val="Bulletlist2"/>
      </w:pPr>
      <w:r>
        <w:t>test results</w:t>
      </w:r>
      <w:r w:rsidR="00515437">
        <w:fldChar w:fldCharType="begin"/>
      </w:r>
      <w:r w:rsidR="00515437">
        <w:instrText xml:space="preserve"> NOTEREF _Ref191049180 \f \h </w:instrText>
      </w:r>
      <w:r w:rsidR="00515437">
        <w:fldChar w:fldCharType="separate"/>
      </w:r>
      <w:r w:rsidR="00791D8C" w:rsidRPr="00791D8C">
        <w:rPr>
          <w:rStyle w:val="FootnoteReference"/>
        </w:rPr>
        <w:t>23</w:t>
      </w:r>
      <w:r w:rsidR="00515437">
        <w:fldChar w:fldCharType="end"/>
      </w:r>
      <w:r>
        <w:t xml:space="preserve"> from an in vivo study on the chemical or from suitable read across information, conducted following an acceptable test guideline for subacute oral toxicity, with a NOAEL ≥ 1,000 mg/kg bw/day</w:t>
      </w:r>
    </w:p>
    <w:p w14:paraId="771F0BE7" w14:textId="77777777" w:rsidR="008E7E8F" w:rsidRDefault="008E7E8F" w:rsidP="008E7E8F">
      <w:pPr>
        <w:pStyle w:val="Heading2"/>
      </w:pPr>
      <w:bookmarkStart w:id="52" w:name="_Toc238816830"/>
      <w:r>
        <w:t>6.23</w:t>
      </w:r>
      <w:r w:rsidR="00243424">
        <w:tab/>
      </w:r>
      <w:r>
        <w:t>Ozone depleting chemical – Environment hazard band D</w:t>
      </w:r>
      <w:bookmarkEnd w:id="52"/>
    </w:p>
    <w:p w14:paraId="7D189ACB" w14:textId="77777777" w:rsidR="008E7E8F" w:rsidRDefault="008E7E8F" w:rsidP="004B1A0E">
      <w:pPr>
        <w:pStyle w:val="Heading3"/>
      </w:pPr>
      <w:r>
        <w:t>6.23.1 Clause 4 of Part 2, Schedule 1 to the IC General Rules</w:t>
      </w:r>
    </w:p>
    <w:p w14:paraId="33F763F2" w14:textId="77777777" w:rsidR="008E7E8F" w:rsidRDefault="008E7E8F" w:rsidP="008E7E8F">
      <w:r>
        <w:t>For the purposes of table item 2 of Clause 4, Part 2, Schedule 1 to the IC General Rules:</w:t>
      </w:r>
    </w:p>
    <w:p w14:paraId="34C1FAAE" w14:textId="77777777" w:rsidR="008E7E8F" w:rsidRDefault="008E7E8F" w:rsidP="008E7E8F">
      <w:r w:rsidRPr="00D572FF">
        <w:rPr>
          <w:b/>
          <w:bCs/>
        </w:rPr>
        <w:t>Ozone depleting chemical</w:t>
      </w:r>
      <w:r>
        <w:t xml:space="preserve"> means that any of the following apply to the industrial chemical:</w:t>
      </w:r>
    </w:p>
    <w:p w14:paraId="10BAAECB" w14:textId="77777777" w:rsidR="008E7E8F" w:rsidRDefault="008E7E8F" w:rsidP="000A5B68">
      <w:pPr>
        <w:pStyle w:val="Bulletlist"/>
      </w:pPr>
      <w:r>
        <w:t xml:space="preserve">the chemical is controlled under the </w:t>
      </w:r>
      <w:r w:rsidRPr="005850C3">
        <w:rPr>
          <w:i/>
          <w:iCs/>
        </w:rPr>
        <w:t>Ozone Protection and Synthetic Greenhouse Gas Management Act 1989</w:t>
      </w:r>
      <w:r>
        <w:t>, or</w:t>
      </w:r>
    </w:p>
    <w:p w14:paraId="64D06375" w14:textId="77777777" w:rsidR="008E7E8F" w:rsidRDefault="008E7E8F" w:rsidP="000A5B68">
      <w:pPr>
        <w:pStyle w:val="Bulletlist"/>
      </w:pPr>
      <w:r>
        <w:t xml:space="preserve">the chemical is controlled under the </w:t>
      </w:r>
      <w:r w:rsidRPr="005850C3">
        <w:rPr>
          <w:i/>
          <w:iCs/>
        </w:rPr>
        <w:t>Montreal Protocol on Substances that Deplete the Ozone Layer</w:t>
      </w:r>
      <w:r>
        <w:t>.</w:t>
      </w:r>
    </w:p>
    <w:p w14:paraId="298464CF" w14:textId="77777777" w:rsidR="008E7E8F" w:rsidRDefault="008E7E8F" w:rsidP="00D572FF">
      <w:pPr>
        <w:pStyle w:val="Heading2"/>
      </w:pPr>
      <w:bookmarkStart w:id="53" w:name="_Toc238816831"/>
      <w:r>
        <w:lastRenderedPageBreak/>
        <w:t>6.24</w:t>
      </w:r>
      <w:r w:rsidR="005850C3">
        <w:tab/>
      </w:r>
      <w:r>
        <w:t>Synthetic greenhouse gas – Environment hazard band D</w:t>
      </w:r>
      <w:bookmarkEnd w:id="53"/>
    </w:p>
    <w:p w14:paraId="571C22DA" w14:textId="77777777" w:rsidR="008E7E8F" w:rsidRDefault="008E7E8F" w:rsidP="00D572FF">
      <w:pPr>
        <w:pStyle w:val="Heading3"/>
      </w:pPr>
      <w:r>
        <w:t>6.24.1</w:t>
      </w:r>
      <w:r w:rsidR="005850C3">
        <w:tab/>
      </w:r>
      <w:r>
        <w:t>Clause 4 of Part 2, Schedule 1 to the IC General Rules</w:t>
      </w:r>
    </w:p>
    <w:p w14:paraId="6D71F43D" w14:textId="77777777" w:rsidR="008E7E8F" w:rsidRDefault="008E7E8F" w:rsidP="008E7E8F">
      <w:r>
        <w:t>For the purposes of table item 3 of Clause 4, Part 2, Schedule 1 to the IC General Rules:</w:t>
      </w:r>
    </w:p>
    <w:p w14:paraId="47B3A958" w14:textId="77777777" w:rsidR="008E7E8F" w:rsidRDefault="008E7E8F" w:rsidP="008E7E8F">
      <w:r w:rsidRPr="00AD440C">
        <w:rPr>
          <w:b/>
          <w:bCs/>
        </w:rPr>
        <w:t>Synthetic greenhouse gas</w:t>
      </w:r>
      <w:r>
        <w:t xml:space="preserve"> means that any of the following apply to the industrial chemical:</w:t>
      </w:r>
    </w:p>
    <w:p w14:paraId="52745F12" w14:textId="77777777" w:rsidR="008E7E8F" w:rsidRDefault="008E7E8F" w:rsidP="000A5B68">
      <w:pPr>
        <w:pStyle w:val="Bulletlist"/>
      </w:pPr>
      <w:r>
        <w:t xml:space="preserve">the chemical is controlled under the </w:t>
      </w:r>
      <w:r w:rsidRPr="00DC39B5">
        <w:rPr>
          <w:i/>
          <w:iCs/>
        </w:rPr>
        <w:t>Ozone Protection and Synthetic Greenhouse Gas Management Act 1989</w:t>
      </w:r>
      <w:r>
        <w:t>, or</w:t>
      </w:r>
    </w:p>
    <w:p w14:paraId="55702807" w14:textId="77777777" w:rsidR="008E7E8F" w:rsidRDefault="008E7E8F" w:rsidP="000A5B68">
      <w:pPr>
        <w:pStyle w:val="Bulletlist"/>
      </w:pPr>
      <w:r>
        <w:t xml:space="preserve">the chemical is listed on the </w:t>
      </w:r>
      <w:r w:rsidRPr="00243424">
        <w:rPr>
          <w:i/>
          <w:iCs/>
        </w:rPr>
        <w:t>Kyoto Protocol, Synthetic Greenhouse Gases</w:t>
      </w:r>
      <w:r>
        <w:t xml:space="preserve"> under Annex A, or</w:t>
      </w:r>
    </w:p>
    <w:p w14:paraId="4ABC835D" w14:textId="77777777" w:rsidR="004412AC" w:rsidRDefault="008E7E8F" w:rsidP="000A5B68">
      <w:pPr>
        <w:pStyle w:val="Bulletlist"/>
      </w:pPr>
      <w:r>
        <w:t xml:space="preserve">the chemical is controlled under the </w:t>
      </w:r>
      <w:r w:rsidRPr="00DC39B5">
        <w:rPr>
          <w:i/>
          <w:iCs/>
        </w:rPr>
        <w:t>Montreal Protocol on Substances that Deplete the Ozone Layer</w:t>
      </w:r>
      <w:r>
        <w:t>.</w:t>
      </w:r>
    </w:p>
    <w:p w14:paraId="3D085310" w14:textId="77777777" w:rsidR="00AD0343" w:rsidRDefault="00AD0343" w:rsidP="00AD0343">
      <w:pPr>
        <w:pStyle w:val="Heading2"/>
      </w:pPr>
      <w:bookmarkStart w:id="54" w:name="_Toc238816832"/>
      <w:r>
        <w:t>6.25</w:t>
      </w:r>
      <w:r w:rsidR="00DC39B5">
        <w:tab/>
      </w:r>
      <w:r>
        <w:t>Adverse effects mediated by an endocrine mode of action – Environment hazard band D</w:t>
      </w:r>
      <w:bookmarkEnd w:id="54"/>
    </w:p>
    <w:p w14:paraId="03676335" w14:textId="77777777" w:rsidR="00AD0343" w:rsidRDefault="00AD0343" w:rsidP="00AD0343">
      <w:pPr>
        <w:pStyle w:val="Heading3"/>
      </w:pPr>
      <w:r>
        <w:t>6.25.1</w:t>
      </w:r>
      <w:r w:rsidR="00DC39B5">
        <w:tab/>
      </w:r>
      <w:r>
        <w:t>Clause 4 of Part 2, Schedule 1 to the IC General Rules</w:t>
      </w:r>
    </w:p>
    <w:p w14:paraId="3055AC4A" w14:textId="77777777" w:rsidR="00AD0343" w:rsidRDefault="00AD0343" w:rsidP="00AD0343">
      <w:r>
        <w:t>For the purposes of table item 4 of Clause 4, Part 2, Schedule 1 to the IC General Rules:</w:t>
      </w:r>
    </w:p>
    <w:p w14:paraId="61BF6A06" w14:textId="77777777" w:rsidR="00AD0343" w:rsidRDefault="00AD0343" w:rsidP="00AD0343">
      <w:r w:rsidRPr="00AD0343">
        <w:rPr>
          <w:b/>
          <w:bCs/>
        </w:rPr>
        <w:t>Adverse effects mediated by an endocrine mode of action</w:t>
      </w:r>
      <w:r>
        <w:t xml:space="preserve"> means that any of the following apply to the industrial chemical:</w:t>
      </w:r>
    </w:p>
    <w:p w14:paraId="07534B8A" w14:textId="77777777" w:rsidR="00AD0343" w:rsidRDefault="00AD0343" w:rsidP="000A5B68">
      <w:pPr>
        <w:pStyle w:val="Bulletlist"/>
      </w:pPr>
      <w:r>
        <w:t xml:space="preserve">the chemical meets </w:t>
      </w:r>
      <w:proofErr w:type="gramStart"/>
      <w:r>
        <w:t>all of</w:t>
      </w:r>
      <w:proofErr w:type="gramEnd"/>
      <w:r>
        <w:t xml:space="preserve"> the following:</w:t>
      </w:r>
    </w:p>
    <w:p w14:paraId="21859B11" w14:textId="77777777" w:rsidR="00AD0343" w:rsidRDefault="00AD0343" w:rsidP="00C144B1">
      <w:pPr>
        <w:pStyle w:val="Bulletlist2"/>
      </w:pPr>
      <w:r>
        <w:t>it shows an adverse effect in an intact organism or its progeny, which is a change in the morphology, physiology, growth, development, reproduction or lifespan of an organism, system or (sub)population that results in an impairment of functional capacity, an impairment of the capacity to compensate for additional stress or an increase in the susceptibility to other influences, and</w:t>
      </w:r>
    </w:p>
    <w:p w14:paraId="1D9A9BEB" w14:textId="77777777" w:rsidR="00AD0343" w:rsidRDefault="00AD0343" w:rsidP="00C144B1">
      <w:pPr>
        <w:pStyle w:val="Bulletlist2"/>
      </w:pPr>
      <w:r>
        <w:t>it has an endocrine activity, which is the capacity to alter the function(s) of the endocrine system, and</w:t>
      </w:r>
    </w:p>
    <w:p w14:paraId="4F5C3773" w14:textId="77777777" w:rsidR="00AD0343" w:rsidRDefault="00AD0343" w:rsidP="00C144B1">
      <w:pPr>
        <w:pStyle w:val="Bulletlist2"/>
      </w:pPr>
      <w:r>
        <w:t>the adverse effect is a consequence of the endocrine activity</w:t>
      </w:r>
    </w:p>
    <w:p w14:paraId="1FC80FA5" w14:textId="77777777" w:rsidR="00AD0343" w:rsidRDefault="00AD0343" w:rsidP="00AD0343">
      <w:r>
        <w:t>or</w:t>
      </w:r>
    </w:p>
    <w:p w14:paraId="590CF0C0" w14:textId="77777777" w:rsidR="00AD0343" w:rsidRDefault="00AD0343" w:rsidP="000A5B68">
      <w:pPr>
        <w:pStyle w:val="Bulletlist"/>
      </w:pPr>
      <w:r>
        <w:t xml:space="preserve">the chemical is on the </w:t>
      </w:r>
      <w:r w:rsidRPr="000502CD">
        <w:rPr>
          <w:b/>
          <w:bCs/>
        </w:rPr>
        <w:t>list of chemicals with high hazards for categorisation</w:t>
      </w:r>
      <w:r>
        <w:t xml:space="preserve">, based on its adverse effects mediated by an endocrine mode of action, </w:t>
      </w:r>
    </w:p>
    <w:p w14:paraId="607CDE59" w14:textId="77777777" w:rsidR="00AD0343" w:rsidRDefault="00AD0343" w:rsidP="00AD0343">
      <w:r>
        <w:t>or</w:t>
      </w:r>
    </w:p>
    <w:p w14:paraId="316AEC0D" w14:textId="77777777" w:rsidR="00AD0343" w:rsidRDefault="00AD0343" w:rsidP="000A5B68">
      <w:pPr>
        <w:pStyle w:val="Bulletlist"/>
      </w:pPr>
      <w:r>
        <w:t xml:space="preserve">the chemical is an ester or salt of specified chemicals in Part 6.25.2 of these Guidelines, which are on the list of chemicals with high hazards for categorisation based on </w:t>
      </w:r>
      <w:r w:rsidRPr="00CB3B12">
        <w:rPr>
          <w:b/>
          <w:bCs/>
        </w:rPr>
        <w:t>adverse effects mediated by an endocrine mode of action</w:t>
      </w:r>
      <w:r>
        <w:t xml:space="preserve"> unless an exception, as identified in Part 6.25.2, is met for that chemical, or</w:t>
      </w:r>
    </w:p>
    <w:p w14:paraId="6DEE81E4" w14:textId="77777777" w:rsidR="00AD0343" w:rsidRDefault="00AD0343" w:rsidP="000A5B68">
      <w:pPr>
        <w:pStyle w:val="Bulletlist"/>
      </w:pPr>
      <w:r>
        <w:t xml:space="preserve"> the chemical meets </w:t>
      </w:r>
      <w:proofErr w:type="gramStart"/>
      <w:r>
        <w:t>all of</w:t>
      </w:r>
      <w:proofErr w:type="gramEnd"/>
      <w:r>
        <w:t xml:space="preserve"> the following:</w:t>
      </w:r>
    </w:p>
    <w:p w14:paraId="71F9F97E" w14:textId="77777777" w:rsidR="00AD0343" w:rsidRDefault="00AD0343" w:rsidP="00C144B1">
      <w:pPr>
        <w:pStyle w:val="Bulletlist2"/>
      </w:pPr>
      <w:r>
        <w:t xml:space="preserve">information is available that is relevant to determining whether the chemical has the hazard characteristic, </w:t>
      </w:r>
      <w:r w:rsidRPr="00F93C44">
        <w:rPr>
          <w:b/>
          <w:bCs/>
        </w:rPr>
        <w:t>adverse effects mediated by an endocrine mode of action</w:t>
      </w:r>
      <w:r>
        <w:t xml:space="preserve">, and </w:t>
      </w:r>
    </w:p>
    <w:p w14:paraId="1DE545BF" w14:textId="77777777" w:rsidR="00AD0343" w:rsidRDefault="00AD0343" w:rsidP="00C144B1">
      <w:pPr>
        <w:pStyle w:val="Bulletlist2"/>
      </w:pPr>
      <w:r>
        <w:t>the information has been considered in a weight of evidence analysis based on the following guidance documents:</w:t>
      </w:r>
    </w:p>
    <w:p w14:paraId="7FB1644F" w14:textId="77777777" w:rsidR="00AD0343" w:rsidRDefault="00AD0343" w:rsidP="00103519">
      <w:pPr>
        <w:pStyle w:val="Bulletlist3"/>
      </w:pPr>
      <w:r>
        <w:lastRenderedPageBreak/>
        <w:t>the EU guidance for identifying endocrine disruptors</w:t>
      </w:r>
      <w:bookmarkStart w:id="55" w:name="_Ref191049516"/>
      <w:r w:rsidR="00CB3B12">
        <w:rPr>
          <w:rStyle w:val="FootnoteReference"/>
        </w:rPr>
        <w:footnoteReference w:id="25"/>
      </w:r>
      <w:bookmarkEnd w:id="55"/>
      <w:r>
        <w:t>, and</w:t>
      </w:r>
    </w:p>
    <w:p w14:paraId="5362262E" w14:textId="77777777" w:rsidR="004412AC" w:rsidRDefault="00AD0343" w:rsidP="00103519">
      <w:pPr>
        <w:pStyle w:val="Bulletlist3"/>
      </w:pPr>
      <w:r>
        <w:t>the guidance provided in OECD GD 150</w:t>
      </w:r>
      <w:bookmarkStart w:id="56" w:name="_Ref191049540"/>
      <w:r w:rsidR="00AC3DCF">
        <w:rPr>
          <w:rStyle w:val="FootnoteReference"/>
        </w:rPr>
        <w:footnoteReference w:id="26"/>
      </w:r>
      <w:bookmarkEnd w:id="56"/>
      <w:r>
        <w:t>; and</w:t>
      </w:r>
    </w:p>
    <w:p w14:paraId="775F99BC" w14:textId="77777777" w:rsidR="00E16162" w:rsidRDefault="005753D3" w:rsidP="00C144B1">
      <w:pPr>
        <w:pStyle w:val="Bulletlist2"/>
      </w:pPr>
      <w:r>
        <w:t>the weight of evidence analysis concludes that the chemical has the hazard characteristic, adverse effects mediated by an endocrine mode of action.</w:t>
      </w:r>
    </w:p>
    <w:p w14:paraId="2999B823" w14:textId="77777777" w:rsidR="0015000A" w:rsidRDefault="0015000A" w:rsidP="0015000A">
      <w:pPr>
        <w:pStyle w:val="Heading3"/>
      </w:pPr>
      <w:r>
        <w:t xml:space="preserve">6.25.2 Section 30 of the IC General Rules </w:t>
      </w:r>
      <w:r w:rsidR="005B7E03">
        <w:t>–</w:t>
      </w:r>
      <w:r>
        <w:t xml:space="preserve"> Information required to demonstrate the absence of hazard characteristics </w:t>
      </w:r>
    </w:p>
    <w:p w14:paraId="0939CD7E" w14:textId="77777777" w:rsidR="0015000A" w:rsidRDefault="0015000A" w:rsidP="0015000A">
      <w:r>
        <w:t>For the purposes of paragraph 30(2)(b) and subparagraph30(2)(c)(iv) of the IC General Rules:</w:t>
      </w:r>
    </w:p>
    <w:p w14:paraId="098D05C9" w14:textId="77777777" w:rsidR="0015000A" w:rsidRDefault="0015000A" w:rsidP="000A5B68">
      <w:pPr>
        <w:pStyle w:val="Bulletlist"/>
      </w:pPr>
      <w:r>
        <w:t xml:space="preserve">if the chemical has existing information relevant to determining whether it has the hazard characteristic, </w:t>
      </w:r>
      <w:r w:rsidRPr="00AE1EF2">
        <w:rPr>
          <w:b/>
          <w:bCs/>
        </w:rPr>
        <w:t>adverse effects mediated by an endocrine mode of action</w:t>
      </w:r>
      <w:r>
        <w:t>, information is required to demonstrate that the chemical does not have this hazard characteristic:</w:t>
      </w:r>
    </w:p>
    <w:p w14:paraId="0223AD8A" w14:textId="17F65F0D" w:rsidR="0015000A" w:rsidRDefault="0015000A" w:rsidP="00C144B1">
      <w:pPr>
        <w:pStyle w:val="Bulletlist2"/>
      </w:pPr>
      <w:r>
        <w:t>This must involve a documented weight of evidence analysis based on the EU guidance for identifying endocrine disruptors</w:t>
      </w:r>
      <w:r w:rsidR="00333BCE">
        <w:fldChar w:fldCharType="begin"/>
      </w:r>
      <w:r w:rsidR="00333BCE">
        <w:instrText xml:space="preserve"> NOTEREF _Ref191049516 \f \h </w:instrText>
      </w:r>
      <w:r w:rsidR="00333BCE">
        <w:fldChar w:fldCharType="separate"/>
      </w:r>
      <w:r w:rsidR="00791D8C" w:rsidRPr="00791D8C">
        <w:rPr>
          <w:rStyle w:val="FootnoteReference"/>
        </w:rPr>
        <w:t>24</w:t>
      </w:r>
      <w:r w:rsidR="00333BCE">
        <w:fldChar w:fldCharType="end"/>
      </w:r>
      <w:r>
        <w:t xml:space="preserve"> and the guidance in OECD GD 150</w:t>
      </w:r>
      <w:r w:rsidR="00333BCE">
        <w:fldChar w:fldCharType="begin"/>
      </w:r>
      <w:r w:rsidR="00333BCE">
        <w:instrText xml:space="preserve"> NOTEREF _Ref191049540 \f \h </w:instrText>
      </w:r>
      <w:r w:rsidR="00333BCE">
        <w:fldChar w:fldCharType="separate"/>
      </w:r>
      <w:r w:rsidR="00791D8C" w:rsidRPr="00791D8C">
        <w:rPr>
          <w:rStyle w:val="FootnoteReference"/>
        </w:rPr>
        <w:t>25</w:t>
      </w:r>
      <w:r w:rsidR="00333BCE">
        <w:fldChar w:fldCharType="end"/>
      </w:r>
      <w:r>
        <w:t>, and</w:t>
      </w:r>
    </w:p>
    <w:p w14:paraId="2DC53F7B" w14:textId="77777777" w:rsidR="0015000A" w:rsidRDefault="0015000A" w:rsidP="00C144B1">
      <w:pPr>
        <w:pStyle w:val="Bulletlist2"/>
      </w:pPr>
      <w:r>
        <w:t xml:space="preserve">The analysis must conclude that the chemical does not have the hazard characteristic, </w:t>
      </w:r>
      <w:r w:rsidRPr="008F39E3">
        <w:rPr>
          <w:b/>
          <w:bCs/>
        </w:rPr>
        <w:t>adverse effects mediated by an endocrine mode of action</w:t>
      </w:r>
      <w:r>
        <w:t>.</w:t>
      </w:r>
    </w:p>
    <w:p w14:paraId="03211BF2" w14:textId="77777777" w:rsidR="006E216C" w:rsidRDefault="0015000A" w:rsidP="000A5B68">
      <w:pPr>
        <w:pStyle w:val="Bulletlist"/>
      </w:pPr>
      <w:r>
        <w:t xml:space="preserve">Otherwise, the information required to demonstrate that a chemical does not have the hazard characteristic, </w:t>
      </w:r>
      <w:r w:rsidRPr="007574CB">
        <w:rPr>
          <w:b/>
          <w:bCs/>
        </w:rPr>
        <w:t>adverse effects mediated by an endocrine mode of action</w:t>
      </w:r>
      <w:r>
        <w:t xml:space="preserve">, is confirmation that the chemical is not on the </w:t>
      </w:r>
      <w:r w:rsidRPr="00A452FB">
        <w:rPr>
          <w:b/>
          <w:bCs/>
        </w:rPr>
        <w:t>list of chemicals with high hazards for categorisation</w:t>
      </w:r>
      <w:r>
        <w:t>, based on its adverse effects mediated by an endocrine mode of action, and confirmation that the chemical is not an ester or salt of the specified chemicals shown in the below table, which are on the list of chemicals with high hazards for categorisation, based on adverse effects mediated by an endocrine mode of action:</w:t>
      </w:r>
    </w:p>
    <w:tbl>
      <w:tblPr>
        <w:tblStyle w:val="AICISTableBasic"/>
        <w:tblW w:w="9639" w:type="dxa"/>
        <w:tblLayout w:type="fixed"/>
        <w:tblLook w:val="0620" w:firstRow="1" w:lastRow="0" w:firstColumn="0" w:lastColumn="0" w:noHBand="1" w:noVBand="1"/>
      </w:tblPr>
      <w:tblGrid>
        <w:gridCol w:w="2410"/>
        <w:gridCol w:w="3313"/>
        <w:gridCol w:w="3916"/>
      </w:tblGrid>
      <w:tr w:rsidR="00D20CF9" w:rsidRPr="00E02465" w14:paraId="5FF36AE4" w14:textId="77777777" w:rsidTr="00E02465">
        <w:trPr>
          <w:trHeight w:val="1191"/>
          <w:tblHeader/>
        </w:trPr>
        <w:tc>
          <w:tcPr>
            <w:tcW w:w="2268" w:type="dxa"/>
          </w:tcPr>
          <w:p w14:paraId="2839B742" w14:textId="77777777" w:rsidR="00D20CF9" w:rsidRPr="00E02465" w:rsidRDefault="00D20CF9" w:rsidP="00B77C47">
            <w:pPr>
              <w:rPr>
                <w:b/>
                <w:bCs/>
              </w:rPr>
            </w:pPr>
            <w:bookmarkStart w:id="57" w:name="_Hlk176955480"/>
            <w:r w:rsidRPr="00E02465">
              <w:rPr>
                <w:b/>
                <w:bCs/>
              </w:rPr>
              <w:t>CAS number</w:t>
            </w:r>
          </w:p>
        </w:tc>
        <w:tc>
          <w:tcPr>
            <w:tcW w:w="3118" w:type="dxa"/>
          </w:tcPr>
          <w:p w14:paraId="49381620" w14:textId="77777777" w:rsidR="00D20CF9" w:rsidRPr="00E02465" w:rsidRDefault="00D20CF9" w:rsidP="00B77C47">
            <w:pPr>
              <w:rPr>
                <w:b/>
                <w:bCs/>
              </w:rPr>
            </w:pPr>
            <w:r w:rsidRPr="00E02465">
              <w:rPr>
                <w:b/>
                <w:bCs/>
              </w:rPr>
              <w:t>Chemical name</w:t>
            </w:r>
          </w:p>
        </w:tc>
        <w:tc>
          <w:tcPr>
            <w:tcW w:w="3685" w:type="dxa"/>
          </w:tcPr>
          <w:p w14:paraId="07B5AE7B" w14:textId="77777777" w:rsidR="00BF5BC3" w:rsidRPr="00E02465" w:rsidRDefault="00BF5BC3" w:rsidP="00BF5BC3">
            <w:pPr>
              <w:tabs>
                <w:tab w:val="left" w:pos="864"/>
              </w:tabs>
              <w:rPr>
                <w:b/>
                <w:bCs/>
              </w:rPr>
            </w:pPr>
            <w:r w:rsidRPr="00E02465">
              <w:rPr>
                <w:b/>
                <w:bCs/>
              </w:rPr>
              <w:t>An ester or salt of the chemical has the adverse effects mediated by an endocrine mode of action hazard characteristic, unless one or more of the below exception criteria apply</w:t>
            </w:r>
          </w:p>
        </w:tc>
      </w:tr>
      <w:tr w:rsidR="00D20CF9" w:rsidRPr="00B97EC9" w14:paraId="6F1E0592" w14:textId="77777777" w:rsidTr="00E02465">
        <w:trPr>
          <w:trHeight w:val="300"/>
        </w:trPr>
        <w:tc>
          <w:tcPr>
            <w:tcW w:w="2268" w:type="dxa"/>
          </w:tcPr>
          <w:p w14:paraId="18588E3D" w14:textId="77777777" w:rsidR="00D20CF9" w:rsidRPr="00B97EC9" w:rsidRDefault="00A8562D" w:rsidP="00B77C47">
            <w:r w:rsidRPr="00B97EC9">
              <w:t>80-05-7</w:t>
            </w:r>
          </w:p>
        </w:tc>
        <w:tc>
          <w:tcPr>
            <w:tcW w:w="3118" w:type="dxa"/>
          </w:tcPr>
          <w:p w14:paraId="185572BC" w14:textId="2D8D412F" w:rsidR="00D20CF9" w:rsidRPr="00B97EC9" w:rsidRDefault="00B21655" w:rsidP="00B21655">
            <w:r w:rsidRPr="00B97EC9">
              <w:t>Phenol, 4,4'-(1-</w:t>
            </w:r>
            <w:proofErr w:type="gramStart"/>
            <w:r w:rsidRPr="00B97EC9">
              <w:t>methylethylidene)bis</w:t>
            </w:r>
            <w:proofErr w:type="gramEnd"/>
            <w:r w:rsidRPr="00B97EC9">
              <w:t>-</w:t>
            </w:r>
            <w:r w:rsidR="00117BA7">
              <w:t xml:space="preserve"> </w:t>
            </w:r>
            <w:r w:rsidRPr="00B97EC9">
              <w:t>(Bisphenol A)</w:t>
            </w:r>
          </w:p>
        </w:tc>
        <w:tc>
          <w:tcPr>
            <w:tcW w:w="3685" w:type="dxa"/>
          </w:tcPr>
          <w:p w14:paraId="211F4F18" w14:textId="77777777" w:rsidR="00D20CF9" w:rsidRPr="00B97EC9" w:rsidRDefault="00D20CF9" w:rsidP="000A5B68">
            <w:pPr>
              <w:pStyle w:val="Tablebullet"/>
            </w:pPr>
            <w:r w:rsidRPr="00B97EC9">
              <w:t>the salt/ester is a high molecular weight polymer, with low levels of low molecular weight species</w:t>
            </w:r>
          </w:p>
          <w:p w14:paraId="492A196B" w14:textId="7DBCAD44" w:rsidR="00D20CF9" w:rsidRPr="00B97EC9" w:rsidRDefault="00D20CF9" w:rsidP="000A5B68">
            <w:pPr>
              <w:pStyle w:val="Tablebullet"/>
            </w:pPr>
            <w:r w:rsidRPr="00B97EC9">
              <w:t>the molecular weight of the salt/ester is greater than or equal to 1,000 g/mol</w:t>
            </w:r>
            <w:r w:rsidR="00117BA7">
              <w:t>.</w:t>
            </w:r>
          </w:p>
        </w:tc>
      </w:tr>
      <w:tr w:rsidR="00D20CF9" w:rsidRPr="00B97EC9" w14:paraId="15310449" w14:textId="77777777" w:rsidTr="00E02465">
        <w:trPr>
          <w:trHeight w:val="300"/>
        </w:trPr>
        <w:tc>
          <w:tcPr>
            <w:tcW w:w="2268" w:type="dxa"/>
          </w:tcPr>
          <w:p w14:paraId="6DC89ADC" w14:textId="77777777" w:rsidR="00D20CF9" w:rsidRPr="00B97EC9" w:rsidRDefault="00725ABA" w:rsidP="00B77C47">
            <w:r w:rsidRPr="00B97EC9">
              <w:t>80-09-1</w:t>
            </w:r>
          </w:p>
        </w:tc>
        <w:tc>
          <w:tcPr>
            <w:tcW w:w="3118" w:type="dxa"/>
          </w:tcPr>
          <w:p w14:paraId="43E9EE9F" w14:textId="77777777" w:rsidR="00D20CF9" w:rsidRPr="00B97EC9" w:rsidRDefault="00725ABA" w:rsidP="00725ABA">
            <w:r w:rsidRPr="00B97EC9">
              <w:t>Phenol, 4,4'-sulfonylbis- (Bisphenol S)</w:t>
            </w:r>
          </w:p>
        </w:tc>
        <w:tc>
          <w:tcPr>
            <w:tcW w:w="3685" w:type="dxa"/>
          </w:tcPr>
          <w:p w14:paraId="0074179E" w14:textId="77777777" w:rsidR="00135FCD" w:rsidRPr="00B97EC9" w:rsidRDefault="00135FCD" w:rsidP="000A5B68">
            <w:pPr>
              <w:pStyle w:val="Tablebullet"/>
            </w:pPr>
            <w:r w:rsidRPr="00B97EC9">
              <w:t>the salt/ester is a high molecular weight polymer, with low levels of low molecular weight species</w:t>
            </w:r>
          </w:p>
          <w:p w14:paraId="00BAB150" w14:textId="77777777" w:rsidR="00725ABA" w:rsidRPr="00B97EC9" w:rsidRDefault="00135FCD" w:rsidP="000A5B68">
            <w:pPr>
              <w:pStyle w:val="Tablebullet"/>
            </w:pPr>
            <w:r w:rsidRPr="00B97EC9">
              <w:lastRenderedPageBreak/>
              <w:t>the molecular weight of the salt/ester is greater than or equal to 1,000 g/mol.</w:t>
            </w:r>
          </w:p>
        </w:tc>
      </w:tr>
      <w:tr w:rsidR="00D20CF9" w:rsidRPr="00B97EC9" w14:paraId="2F2B856D" w14:textId="77777777" w:rsidTr="00E02465">
        <w:trPr>
          <w:trHeight w:val="300"/>
        </w:trPr>
        <w:tc>
          <w:tcPr>
            <w:tcW w:w="2268" w:type="dxa"/>
          </w:tcPr>
          <w:p w14:paraId="147E28AB" w14:textId="77777777" w:rsidR="00D20CF9" w:rsidRPr="00B97EC9" w:rsidRDefault="0036301C" w:rsidP="00B77C47">
            <w:r w:rsidRPr="00B97EC9">
              <w:lastRenderedPageBreak/>
              <w:t>98-54-4</w:t>
            </w:r>
          </w:p>
        </w:tc>
        <w:tc>
          <w:tcPr>
            <w:tcW w:w="3118" w:type="dxa"/>
          </w:tcPr>
          <w:p w14:paraId="46EADF88" w14:textId="77777777" w:rsidR="00D20CF9" w:rsidRPr="00B97EC9" w:rsidRDefault="0036301C" w:rsidP="00B77C47">
            <w:r w:rsidRPr="00B97EC9">
              <w:t>Phenol, 4-(1,1-dimethylethyl)-</w:t>
            </w:r>
          </w:p>
        </w:tc>
        <w:tc>
          <w:tcPr>
            <w:tcW w:w="3685" w:type="dxa"/>
          </w:tcPr>
          <w:p w14:paraId="3B8E3777" w14:textId="77777777" w:rsidR="006E0C63" w:rsidRPr="00B97EC9" w:rsidRDefault="006E0C63" w:rsidP="000A5B68">
            <w:pPr>
              <w:pStyle w:val="Tablebullet"/>
            </w:pPr>
            <w:r w:rsidRPr="00B97EC9">
              <w:t>the salt/ester is a high molecular weight polymer that is not an ethoxylate polymer and has low levels of low molecular weight species</w:t>
            </w:r>
          </w:p>
          <w:p w14:paraId="59F2A44C" w14:textId="77777777" w:rsidR="006E0C63" w:rsidRPr="00B97EC9" w:rsidRDefault="006E0C63" w:rsidP="000A5B68">
            <w:pPr>
              <w:pStyle w:val="Tablebullet"/>
            </w:pPr>
            <w:r w:rsidRPr="00B97EC9">
              <w:t xml:space="preserve">the molecular weight of the salt/ester is greater than or </w:t>
            </w:r>
          </w:p>
          <w:p w14:paraId="4C95F02B" w14:textId="77777777" w:rsidR="006E0C63" w:rsidRPr="00B97EC9" w:rsidRDefault="006E0C63" w:rsidP="000A5B68">
            <w:pPr>
              <w:pStyle w:val="Tablebullet"/>
            </w:pPr>
            <w:r w:rsidRPr="00B97EC9">
              <w:t>equal to 1,000 g/mol.</w:t>
            </w:r>
          </w:p>
        </w:tc>
      </w:tr>
      <w:tr w:rsidR="00D20CF9" w:rsidRPr="00B97EC9" w14:paraId="749CABCD" w14:textId="77777777" w:rsidTr="00E02465">
        <w:trPr>
          <w:trHeight w:val="300"/>
        </w:trPr>
        <w:tc>
          <w:tcPr>
            <w:tcW w:w="2268" w:type="dxa"/>
          </w:tcPr>
          <w:p w14:paraId="33AA7E57" w14:textId="77777777" w:rsidR="00D20CF9" w:rsidRPr="00B97EC9" w:rsidRDefault="00D560F7" w:rsidP="00B77C47">
            <w:r w:rsidRPr="00B97EC9">
              <w:t>80-46-6</w:t>
            </w:r>
          </w:p>
        </w:tc>
        <w:tc>
          <w:tcPr>
            <w:tcW w:w="3118" w:type="dxa"/>
          </w:tcPr>
          <w:p w14:paraId="2EBD9DFB" w14:textId="77777777" w:rsidR="00D20CF9" w:rsidRPr="00B97EC9" w:rsidRDefault="00D560F7" w:rsidP="00B77C47">
            <w:r w:rsidRPr="00B97EC9">
              <w:t>Phenol, 4-(1,1-dimethylpropyl)-</w:t>
            </w:r>
          </w:p>
        </w:tc>
        <w:tc>
          <w:tcPr>
            <w:tcW w:w="3685" w:type="dxa"/>
          </w:tcPr>
          <w:p w14:paraId="3B627FE0" w14:textId="77777777" w:rsidR="00765EEA" w:rsidRPr="00B97EC9" w:rsidRDefault="00765EEA" w:rsidP="000A5B68">
            <w:pPr>
              <w:pStyle w:val="Tablebullet"/>
            </w:pPr>
            <w:r w:rsidRPr="00B97EC9">
              <w:t>the salt/ester is a high molecular weight polymer that is not an ethoxylate polymer and has low levels of low molecular weight species</w:t>
            </w:r>
          </w:p>
          <w:p w14:paraId="4CD0781C" w14:textId="77777777" w:rsidR="00765EEA" w:rsidRPr="00B97EC9" w:rsidRDefault="00765EEA" w:rsidP="000A5B68">
            <w:pPr>
              <w:pStyle w:val="Tablebullet"/>
            </w:pPr>
            <w:r w:rsidRPr="00B97EC9">
              <w:t>the molecular weight of the salt/ester is greater than or equal to 1,000 g/mol.</w:t>
            </w:r>
          </w:p>
        </w:tc>
      </w:tr>
      <w:tr w:rsidR="003F6E33" w:rsidRPr="00B97EC9" w14:paraId="07FFCE76" w14:textId="77777777" w:rsidTr="00E02465">
        <w:trPr>
          <w:trHeight w:val="300"/>
        </w:trPr>
        <w:tc>
          <w:tcPr>
            <w:tcW w:w="2268" w:type="dxa"/>
          </w:tcPr>
          <w:p w14:paraId="3977CB50" w14:textId="77777777" w:rsidR="003F6E33" w:rsidRPr="00B97EC9" w:rsidRDefault="0070186D" w:rsidP="00B77C47">
            <w:r w:rsidRPr="00B97EC9">
              <w:t>Various</w:t>
            </w:r>
          </w:p>
        </w:tc>
        <w:tc>
          <w:tcPr>
            <w:tcW w:w="3118" w:type="dxa"/>
          </w:tcPr>
          <w:p w14:paraId="43BF8F02" w14:textId="77777777" w:rsidR="003F6E33" w:rsidRPr="00B97EC9" w:rsidRDefault="0070186D" w:rsidP="0070186D">
            <w:proofErr w:type="spellStart"/>
            <w:r w:rsidRPr="00B97EC9">
              <w:t>Heptylphenols</w:t>
            </w:r>
            <w:proofErr w:type="spellEnd"/>
            <w:r w:rsidRPr="00B97EC9">
              <w:t xml:space="preserve"> on the list of chemicals with high hazards for categorisation – includes linear and branched isomers</w:t>
            </w:r>
          </w:p>
        </w:tc>
        <w:tc>
          <w:tcPr>
            <w:tcW w:w="3685" w:type="dxa"/>
          </w:tcPr>
          <w:p w14:paraId="26DE1C7D" w14:textId="77777777" w:rsidR="003E0484" w:rsidRPr="00B97EC9" w:rsidRDefault="003E0484" w:rsidP="000A5B68">
            <w:pPr>
              <w:pStyle w:val="Tablebullet"/>
            </w:pPr>
            <w:r w:rsidRPr="00B97EC9">
              <w:t>the salt/ester is a high molecular weight polymer that is not an ethoxylate polymer and has low levels of low molecular weight species</w:t>
            </w:r>
          </w:p>
          <w:p w14:paraId="31F7BC4E" w14:textId="77777777" w:rsidR="003F6E33" w:rsidRPr="00B97EC9" w:rsidRDefault="003E0484" w:rsidP="000A5B68">
            <w:pPr>
              <w:pStyle w:val="Tablebullet"/>
            </w:pPr>
            <w:r w:rsidRPr="00B97EC9">
              <w:t>the molecular weight of the salt/ester is greater than or equal to 1,000 g/mol.</w:t>
            </w:r>
          </w:p>
        </w:tc>
      </w:tr>
      <w:tr w:rsidR="003F6E33" w:rsidRPr="00B97EC9" w14:paraId="617C3115" w14:textId="77777777" w:rsidTr="00E02465">
        <w:trPr>
          <w:trHeight w:val="300"/>
        </w:trPr>
        <w:tc>
          <w:tcPr>
            <w:tcW w:w="2268" w:type="dxa"/>
          </w:tcPr>
          <w:p w14:paraId="7BA03B56" w14:textId="77777777" w:rsidR="003F6E33" w:rsidRPr="00B97EC9" w:rsidRDefault="001258AD" w:rsidP="00B77C47">
            <w:r w:rsidRPr="00B97EC9">
              <w:t>Various</w:t>
            </w:r>
          </w:p>
        </w:tc>
        <w:tc>
          <w:tcPr>
            <w:tcW w:w="3118" w:type="dxa"/>
          </w:tcPr>
          <w:p w14:paraId="4D115478" w14:textId="77777777" w:rsidR="003F6E33" w:rsidRPr="00B97EC9" w:rsidRDefault="001258AD" w:rsidP="001258AD">
            <w:proofErr w:type="spellStart"/>
            <w:r w:rsidRPr="00B97EC9">
              <w:t>Octylphenols</w:t>
            </w:r>
            <w:proofErr w:type="spellEnd"/>
            <w:r w:rsidRPr="00B97EC9">
              <w:t xml:space="preserve"> on the list of chemicals with high hazards for categorisation – includes linear and branched isomers</w:t>
            </w:r>
          </w:p>
        </w:tc>
        <w:tc>
          <w:tcPr>
            <w:tcW w:w="3685" w:type="dxa"/>
          </w:tcPr>
          <w:p w14:paraId="2CE24DBF" w14:textId="77777777" w:rsidR="00596B77" w:rsidRPr="00B97EC9" w:rsidRDefault="00596B77" w:rsidP="000A5B68">
            <w:pPr>
              <w:pStyle w:val="Tablebullet"/>
            </w:pPr>
            <w:r w:rsidRPr="00B97EC9">
              <w:t>the salt/ester is a high molecular weight polymer that is not an ethoxylate polymer and has low levels of low molecular weight species</w:t>
            </w:r>
          </w:p>
          <w:p w14:paraId="00CD5D2D" w14:textId="77777777" w:rsidR="003F6E33" w:rsidRPr="00B97EC9" w:rsidRDefault="00596B77" w:rsidP="000A5B68">
            <w:pPr>
              <w:pStyle w:val="Tablebullet"/>
            </w:pPr>
            <w:r w:rsidRPr="00B97EC9">
              <w:t>the molecular weight of the salt/ester is greater than or equal to 1,000 g/mol.</w:t>
            </w:r>
          </w:p>
        </w:tc>
      </w:tr>
      <w:tr w:rsidR="003F6E33" w:rsidRPr="00B97EC9" w14:paraId="1BA95389" w14:textId="77777777" w:rsidTr="00E02465">
        <w:trPr>
          <w:trHeight w:val="300"/>
        </w:trPr>
        <w:tc>
          <w:tcPr>
            <w:tcW w:w="2268" w:type="dxa"/>
          </w:tcPr>
          <w:p w14:paraId="7473D323" w14:textId="77777777" w:rsidR="003F6E33" w:rsidRPr="00B97EC9" w:rsidRDefault="00FB2AD0" w:rsidP="00B77C47">
            <w:r w:rsidRPr="00B97EC9">
              <w:t>Various</w:t>
            </w:r>
          </w:p>
        </w:tc>
        <w:tc>
          <w:tcPr>
            <w:tcW w:w="3118" w:type="dxa"/>
          </w:tcPr>
          <w:p w14:paraId="1A77C939" w14:textId="77777777" w:rsidR="003F6E33" w:rsidRPr="00B97EC9" w:rsidRDefault="00FB2AD0" w:rsidP="00FB2AD0">
            <w:r w:rsidRPr="00B97EC9">
              <w:t>Nonylphenols on the list of chemicals with high hazards for categorisation – includes linear and branched isomers</w:t>
            </w:r>
          </w:p>
        </w:tc>
        <w:tc>
          <w:tcPr>
            <w:tcW w:w="3685" w:type="dxa"/>
          </w:tcPr>
          <w:p w14:paraId="006F4B94" w14:textId="77777777" w:rsidR="00516E8A" w:rsidRPr="00B97EC9" w:rsidRDefault="00516E8A" w:rsidP="000A5B68">
            <w:pPr>
              <w:pStyle w:val="Tablebullet"/>
            </w:pPr>
            <w:r w:rsidRPr="00B97EC9">
              <w:t>the salt/ester is a high molecular weight polymer that is not an ethoxylate polymer and has low levels of low molecular weight species</w:t>
            </w:r>
          </w:p>
          <w:p w14:paraId="48B32543" w14:textId="77777777" w:rsidR="003F6E33" w:rsidRPr="00B97EC9" w:rsidRDefault="00516E8A" w:rsidP="000A5B68">
            <w:pPr>
              <w:pStyle w:val="Tablebullet"/>
            </w:pPr>
            <w:r w:rsidRPr="00B97EC9">
              <w:t>the molecular weight of the salt/ester is greater than or equal to 1,000 g/mol.</w:t>
            </w:r>
          </w:p>
        </w:tc>
      </w:tr>
      <w:tr w:rsidR="003E0484" w:rsidRPr="00B97EC9" w14:paraId="2448901B" w14:textId="77777777" w:rsidTr="00E02465">
        <w:trPr>
          <w:trHeight w:val="300"/>
        </w:trPr>
        <w:tc>
          <w:tcPr>
            <w:tcW w:w="2268" w:type="dxa"/>
          </w:tcPr>
          <w:p w14:paraId="49F665B1" w14:textId="77777777" w:rsidR="003E0484" w:rsidRPr="00B97EC9" w:rsidRDefault="00516E8A" w:rsidP="00B77C47">
            <w:r w:rsidRPr="00B97EC9">
              <w:t>Various</w:t>
            </w:r>
          </w:p>
        </w:tc>
        <w:tc>
          <w:tcPr>
            <w:tcW w:w="3118" w:type="dxa"/>
          </w:tcPr>
          <w:p w14:paraId="0CA8169D" w14:textId="2A75E4EE" w:rsidR="003E0484" w:rsidRPr="00B97EC9" w:rsidRDefault="00852367" w:rsidP="00852367">
            <w:proofErr w:type="spellStart"/>
            <w:r w:rsidRPr="00B97EC9">
              <w:t>Dodecylphenols</w:t>
            </w:r>
            <w:proofErr w:type="spellEnd"/>
            <w:r w:rsidRPr="00B97EC9">
              <w:t xml:space="preserve"> on the list of chemicals with high hazards for categorisation – includes linear and branched isomer</w:t>
            </w:r>
            <w:r w:rsidR="0093006B">
              <w:t>s</w:t>
            </w:r>
          </w:p>
        </w:tc>
        <w:tc>
          <w:tcPr>
            <w:tcW w:w="3685" w:type="dxa"/>
          </w:tcPr>
          <w:p w14:paraId="27783A50" w14:textId="77777777" w:rsidR="00852367" w:rsidRPr="00B97EC9" w:rsidRDefault="00852367" w:rsidP="000A5B68">
            <w:pPr>
              <w:pStyle w:val="Tablebullet"/>
            </w:pPr>
            <w:r w:rsidRPr="00B97EC9">
              <w:t>the salt/ester is a high molecular weight polymer that is not an ethoxylate polymer and has low levels of low molecular weight species</w:t>
            </w:r>
          </w:p>
          <w:p w14:paraId="4A61C828" w14:textId="77777777" w:rsidR="003E0484" w:rsidRPr="00B97EC9" w:rsidRDefault="00852367" w:rsidP="000A5B68">
            <w:pPr>
              <w:pStyle w:val="Tablebullet"/>
            </w:pPr>
            <w:r w:rsidRPr="00B97EC9">
              <w:t>the molecular weight of the salt/ester is greater than or equal to 1,000 g/mol.</w:t>
            </w:r>
          </w:p>
        </w:tc>
      </w:tr>
      <w:tr w:rsidR="003E0484" w:rsidRPr="00B97EC9" w14:paraId="7E7C00E4" w14:textId="77777777" w:rsidTr="00E02465">
        <w:trPr>
          <w:trHeight w:val="300"/>
        </w:trPr>
        <w:tc>
          <w:tcPr>
            <w:tcW w:w="2268" w:type="dxa"/>
          </w:tcPr>
          <w:p w14:paraId="0ECD3307" w14:textId="77777777" w:rsidR="003E0484" w:rsidRPr="00B97EC9" w:rsidRDefault="00F11D2F" w:rsidP="00B77C47">
            <w:r w:rsidRPr="00B97EC9">
              <w:lastRenderedPageBreak/>
              <w:t>Various</w:t>
            </w:r>
          </w:p>
        </w:tc>
        <w:tc>
          <w:tcPr>
            <w:tcW w:w="3118" w:type="dxa"/>
          </w:tcPr>
          <w:p w14:paraId="712B5780" w14:textId="77777777" w:rsidR="003E0484" w:rsidRPr="00B97EC9" w:rsidRDefault="00F11D2F" w:rsidP="00F11D2F">
            <w:r w:rsidRPr="00B97EC9">
              <w:t>Octyl and Nonylphenol ethoxylates on the list of chemicals with high hazards for categorisation</w:t>
            </w:r>
          </w:p>
        </w:tc>
        <w:tc>
          <w:tcPr>
            <w:tcW w:w="3685" w:type="dxa"/>
          </w:tcPr>
          <w:p w14:paraId="26C8C00A" w14:textId="77777777" w:rsidR="003E0484" w:rsidRPr="00B97EC9" w:rsidRDefault="008014D4" w:rsidP="000A5B68">
            <w:pPr>
              <w:pStyle w:val="Tablebullet"/>
            </w:pPr>
            <w:r w:rsidRPr="00B97EC9">
              <w:t>No exceptions</w:t>
            </w:r>
          </w:p>
        </w:tc>
      </w:tr>
    </w:tbl>
    <w:p w14:paraId="763B330B" w14:textId="77777777" w:rsidR="002226EB" w:rsidRPr="002226EB" w:rsidRDefault="002226EB" w:rsidP="00B93E2A">
      <w:pPr>
        <w:pStyle w:val="Heading2"/>
      </w:pPr>
      <w:bookmarkStart w:id="58" w:name="_Toc238816833"/>
      <w:bookmarkEnd w:id="57"/>
      <w:r w:rsidRPr="002226EB">
        <w:t>6.26</w:t>
      </w:r>
      <w:r w:rsidRPr="002226EB">
        <w:tab/>
        <w:t>Persistent, bioaccumulative and toxic – Environment hazard band D</w:t>
      </w:r>
      <w:bookmarkEnd w:id="58"/>
    </w:p>
    <w:p w14:paraId="582235E4" w14:textId="77777777" w:rsidR="002226EB" w:rsidRPr="002226EB" w:rsidRDefault="002226EB" w:rsidP="00002E89">
      <w:pPr>
        <w:pStyle w:val="Heading3"/>
      </w:pPr>
      <w:r w:rsidRPr="002226EB">
        <w:t>6.26.1</w:t>
      </w:r>
      <w:r w:rsidR="00DE3591">
        <w:tab/>
      </w:r>
      <w:r w:rsidRPr="002226EB">
        <w:t xml:space="preserve">Clause 4 of Part 2, Schedule 1 to the IC General Rules </w:t>
      </w:r>
    </w:p>
    <w:p w14:paraId="337A4046" w14:textId="77777777" w:rsidR="00927582" w:rsidRDefault="002226EB" w:rsidP="00927582">
      <w:r w:rsidRPr="002226EB">
        <w:t>For the purposes of table item 5 of Clause 4, Part 2, Schedule 1 to the IC General Rules:</w:t>
      </w:r>
    </w:p>
    <w:p w14:paraId="74008C1A" w14:textId="77777777" w:rsidR="00E70107" w:rsidRDefault="00E70107" w:rsidP="00927582">
      <w:r w:rsidRPr="00927582">
        <w:rPr>
          <w:b/>
          <w:bCs/>
        </w:rPr>
        <w:t>Persistent, bioaccumulative and toxic</w:t>
      </w:r>
      <w:r>
        <w:t xml:space="preserve"> means that any of the following apply to the industrial chemical:</w:t>
      </w:r>
    </w:p>
    <w:p w14:paraId="540BB702" w14:textId="77777777" w:rsidR="00E70107" w:rsidRDefault="00E70107" w:rsidP="000A5B68">
      <w:pPr>
        <w:pStyle w:val="Bulletlist"/>
      </w:pPr>
      <w:r>
        <w:t xml:space="preserve">the chemical is on the </w:t>
      </w:r>
      <w:r w:rsidRPr="00927582">
        <w:rPr>
          <w:b/>
          <w:bCs/>
        </w:rPr>
        <w:t>list of chemicals with high hazards for categorisation</w:t>
      </w:r>
      <w:r>
        <w:t>, based on it being persistent, bioaccumulative and toxic, or</w:t>
      </w:r>
    </w:p>
    <w:p w14:paraId="6078A16A" w14:textId="77777777" w:rsidR="00E70107" w:rsidRDefault="00E70107" w:rsidP="000A5B68">
      <w:pPr>
        <w:pStyle w:val="Bulletlist"/>
      </w:pPr>
      <w:proofErr w:type="gramStart"/>
      <w:r>
        <w:t>all of</w:t>
      </w:r>
      <w:proofErr w:type="gramEnd"/>
      <w:r>
        <w:t xml:space="preserve"> the following apply:</w:t>
      </w:r>
    </w:p>
    <w:p w14:paraId="0ED5499C" w14:textId="77777777" w:rsidR="00E70107" w:rsidRDefault="00E70107" w:rsidP="00C144B1">
      <w:pPr>
        <w:pStyle w:val="Bulletlist2"/>
      </w:pPr>
      <w:r>
        <w:t>the chemical is persistent (see part 2.1.6 of these Guidelines for the meaning),</w:t>
      </w:r>
      <w:r w:rsidR="00AD788A">
        <w:t xml:space="preserve"> </w:t>
      </w:r>
      <w:r>
        <w:t>and</w:t>
      </w:r>
    </w:p>
    <w:p w14:paraId="2775A0F1" w14:textId="77777777" w:rsidR="00E70107" w:rsidRDefault="00E70107" w:rsidP="00C144B1">
      <w:pPr>
        <w:pStyle w:val="Bulletlist2"/>
      </w:pPr>
      <w:r>
        <w:t>the chemical is bioaccumulative, and</w:t>
      </w:r>
    </w:p>
    <w:p w14:paraId="66AC0B06" w14:textId="77777777" w:rsidR="00E70107" w:rsidRDefault="00E70107" w:rsidP="00C144B1">
      <w:pPr>
        <w:pStyle w:val="Bulletlist2"/>
      </w:pPr>
      <w:r>
        <w:t>the chemical has the hazard characteristic, very toxic to any aquatic life (see part 6.27.1 of these Guidelines for the meaning).</w:t>
      </w:r>
    </w:p>
    <w:p w14:paraId="712FDE56" w14:textId="77777777" w:rsidR="00E70107" w:rsidRDefault="00E70107" w:rsidP="00E70107">
      <w:r>
        <w:t>For the purposes of this hazard characteristic, bioaccumulative means any of the following apply to the chemical:</w:t>
      </w:r>
    </w:p>
    <w:p w14:paraId="54717E6E" w14:textId="77777777" w:rsidR="00E70107" w:rsidRDefault="00E70107" w:rsidP="000A5B68">
      <w:pPr>
        <w:pStyle w:val="Bulletlist"/>
      </w:pPr>
      <w:r>
        <w:t>it has a bioaccumulation factor (BAF) ≥ 2000 for the aquatic compartment, or</w:t>
      </w:r>
    </w:p>
    <w:p w14:paraId="210C1F19" w14:textId="77777777" w:rsidR="00E70107" w:rsidRDefault="00E70107" w:rsidP="000A5B68">
      <w:pPr>
        <w:pStyle w:val="Bulletlist"/>
      </w:pPr>
      <w:r>
        <w:t>it has a bioconcentration factor (BCF) ≥ 2000 for the aquatic compartment, or</w:t>
      </w:r>
    </w:p>
    <w:p w14:paraId="6911D374" w14:textId="77777777" w:rsidR="00E70107" w:rsidRDefault="00E70107" w:rsidP="000A5B68">
      <w:pPr>
        <w:pStyle w:val="Bulletlist"/>
      </w:pPr>
      <w:r>
        <w:t>it has a measured log Kow ≥ 4.2 for the aquatic compartment (unless a measured BAF or BCF is &lt; 2000), or</w:t>
      </w:r>
    </w:p>
    <w:p w14:paraId="6BE9ED05" w14:textId="77777777" w:rsidR="00E70107" w:rsidRDefault="00E70107" w:rsidP="000A5B68">
      <w:pPr>
        <w:pStyle w:val="Bulletlist"/>
      </w:pPr>
      <w:r>
        <w:t>it has a log Koa &gt; 6 and log Kow ≥ 2 for the terrestrial compartment, or</w:t>
      </w:r>
    </w:p>
    <w:p w14:paraId="0836B788" w14:textId="77777777" w:rsidR="006E216C" w:rsidRDefault="00E70107" w:rsidP="000A5B68">
      <w:pPr>
        <w:pStyle w:val="Bulletlist"/>
      </w:pPr>
      <w:r>
        <w:t>it has a biomagnification factor (BMF) &gt; 1.</w:t>
      </w:r>
    </w:p>
    <w:p w14:paraId="362B804C" w14:textId="77777777" w:rsidR="004C5D6D" w:rsidRDefault="004C5D6D" w:rsidP="004C5D6D">
      <w:pPr>
        <w:pStyle w:val="Heading3"/>
      </w:pPr>
      <w:r>
        <w:t>6.26.2</w:t>
      </w:r>
      <w:r w:rsidR="007A2DD1">
        <w:tab/>
      </w:r>
      <w:r>
        <w:t xml:space="preserve">Section 30 of the IC General Rules </w:t>
      </w:r>
      <w:r w:rsidR="005B7E03">
        <w:t>–</w:t>
      </w:r>
      <w:r>
        <w:t xml:space="preserve"> Information required to demonstrate the absence of hazard characteristics </w:t>
      </w:r>
    </w:p>
    <w:p w14:paraId="3DE5BDAC" w14:textId="392DB862" w:rsidR="004C5D6D" w:rsidRDefault="004C5D6D" w:rsidP="004C5D6D">
      <w:r>
        <w:t xml:space="preserve">For the purposes of paragraph 30(2)(b) and subparagraph 30(2)(c)(iv) of the IC General Rules, the information required to demonstrate that a chemical does not have the hazard </w:t>
      </w:r>
      <w:r w:rsidR="0093006B">
        <w:t>c</w:t>
      </w:r>
      <w:r>
        <w:t xml:space="preserve">haracteristic, </w:t>
      </w:r>
      <w:r w:rsidRPr="009A1D25">
        <w:rPr>
          <w:b/>
          <w:bCs/>
        </w:rPr>
        <w:t>persistent, bioaccumulative and toxic</w:t>
      </w:r>
      <w:r>
        <w:t xml:space="preserve">, is confirmation that the chemical is not on the </w:t>
      </w:r>
      <w:r w:rsidRPr="009A1D25">
        <w:rPr>
          <w:b/>
          <w:bCs/>
        </w:rPr>
        <w:t>list of chemicals with high hazards for categorisation</w:t>
      </w:r>
      <w:r>
        <w:t xml:space="preserve"> based on it being persistent, bioaccumulative and toxic.</w:t>
      </w:r>
    </w:p>
    <w:p w14:paraId="31AA5610" w14:textId="77777777" w:rsidR="004C5D6D" w:rsidRDefault="004C5D6D" w:rsidP="004C5D6D">
      <w:r>
        <w:t>In addition, if the environment exposure band for the introduction is 2 (and you are seeking to demonstrate that the introduction meets the criteria for very low risk in accordance with</w:t>
      </w:r>
      <w:r w:rsidR="009A1D25">
        <w:t xml:space="preserve"> </w:t>
      </w:r>
      <w:r>
        <w:t xml:space="preserve">table item 16, section 29 of the IC General Rules), or 3, or 4, the information required to demonstrate that a chemical does not have the hazard characteristic, </w:t>
      </w:r>
      <w:r w:rsidRPr="001C6F61">
        <w:rPr>
          <w:b/>
          <w:bCs/>
        </w:rPr>
        <w:t>persistent, bioaccumulative and toxic</w:t>
      </w:r>
      <w:r>
        <w:t>, is at least one of the following:</w:t>
      </w:r>
    </w:p>
    <w:p w14:paraId="6EB470D6" w14:textId="77777777" w:rsidR="004C5D6D" w:rsidRDefault="004C5D6D" w:rsidP="000A5B68">
      <w:pPr>
        <w:pStyle w:val="Bulletlist"/>
      </w:pPr>
      <w:r>
        <w:t>information that demonstrates that the chemical is an inorganic chemical, or</w:t>
      </w:r>
    </w:p>
    <w:p w14:paraId="1B59B775" w14:textId="77777777" w:rsidR="004C5D6D" w:rsidRDefault="004C5D6D" w:rsidP="000A5B68">
      <w:pPr>
        <w:pStyle w:val="Bulletlist"/>
      </w:pPr>
      <w:r>
        <w:t>information to demonstrate that the chemical is a biological chemical, or</w:t>
      </w:r>
    </w:p>
    <w:p w14:paraId="5BDFC4C4" w14:textId="77777777" w:rsidR="004C5D6D" w:rsidRDefault="004C5D6D" w:rsidP="000A5B68">
      <w:pPr>
        <w:pStyle w:val="Bulletlist"/>
      </w:pPr>
      <w:r>
        <w:t>information that demonstrates that the chemical has a molecular weight that is &gt; 1,000 g/mol, or</w:t>
      </w:r>
    </w:p>
    <w:p w14:paraId="328C7510" w14:textId="77777777" w:rsidR="004C5D6D" w:rsidRDefault="004C5D6D" w:rsidP="000A5B68">
      <w:pPr>
        <w:pStyle w:val="Bulletlist"/>
      </w:pPr>
      <w:r>
        <w:t>information that demonstrates that the chemical is a high molecular weight polymer with:</w:t>
      </w:r>
    </w:p>
    <w:p w14:paraId="5173A2D4" w14:textId="77777777" w:rsidR="004C5D6D" w:rsidRDefault="004C5D6D" w:rsidP="00C144B1">
      <w:pPr>
        <w:pStyle w:val="Bulletlist2"/>
      </w:pPr>
      <w:r>
        <w:t>&lt; 25% low molecular weight oligomeric species &lt; 1,000 g/mol, and</w:t>
      </w:r>
    </w:p>
    <w:p w14:paraId="5C3A8BCF" w14:textId="77777777" w:rsidR="008956BF" w:rsidRDefault="004C5D6D" w:rsidP="00C144B1">
      <w:pPr>
        <w:pStyle w:val="Bulletlist2"/>
      </w:pPr>
      <w:r>
        <w:lastRenderedPageBreak/>
        <w:t>&lt; 10% low molecular weight oligomeric species &lt; 500 g/mol, or</w:t>
      </w:r>
    </w:p>
    <w:p w14:paraId="4D127A83" w14:textId="36AEE9CA" w:rsidR="002D0D7B" w:rsidRDefault="002D0D7B" w:rsidP="000A5B68">
      <w:pPr>
        <w:pStyle w:val="Bulletlist"/>
      </w:pPr>
      <w:r>
        <w:t>information that demonstrates that the chemical has a solubility in water that is &gt; 5</w:t>
      </w:r>
      <w:r w:rsidR="00455FA4">
        <w:t xml:space="preserve"> </w:t>
      </w:r>
      <w:r>
        <w:t>g/L, measured following an acceptable test guideline for water solubility, or</w:t>
      </w:r>
    </w:p>
    <w:p w14:paraId="58F2C629" w14:textId="77777777" w:rsidR="002D0D7B" w:rsidRDefault="002D0D7B" w:rsidP="000A5B68">
      <w:pPr>
        <w:pStyle w:val="Bulletlist"/>
      </w:pPr>
      <w:r>
        <w:t>information that demonstrates that the chemical is a gas that is not expected to partition to the aquatic compartment, or</w:t>
      </w:r>
    </w:p>
    <w:p w14:paraId="74A8F32D" w14:textId="77777777" w:rsidR="002D0D7B" w:rsidRDefault="002D0D7B" w:rsidP="000A5B68">
      <w:pPr>
        <w:pStyle w:val="Bulletlist"/>
      </w:pPr>
      <w:r>
        <w:t>information that demonstrates that the chemical is a substance covered by Entry 9 of Annex V of the REACH Regulation, or</w:t>
      </w:r>
    </w:p>
    <w:p w14:paraId="1085EEDA" w14:textId="77777777" w:rsidR="002D0D7B" w:rsidRDefault="002D0D7B" w:rsidP="000A5B68">
      <w:pPr>
        <w:pStyle w:val="Bulletlist"/>
      </w:pPr>
      <w:r>
        <w:t>a suitable in silico prediction for partition coefficient of the chemical itself of log Kow &lt; 4.2 (that is not negated by a measured log Kow), or</w:t>
      </w:r>
    </w:p>
    <w:p w14:paraId="7D28CB14" w14:textId="77777777" w:rsidR="002D0D7B" w:rsidRDefault="002D0D7B" w:rsidP="000A5B68">
      <w:pPr>
        <w:pStyle w:val="Bulletlist"/>
      </w:pPr>
      <w:r>
        <w:t>measured value from a study on the chemical or from suitable read-across information, conducted following an acceptable test guideline for partition coefficient, for which log Kow &lt; 4.2, or</w:t>
      </w:r>
    </w:p>
    <w:p w14:paraId="2103ACB6" w14:textId="77777777" w:rsidR="002D0D7B" w:rsidRDefault="002D0D7B" w:rsidP="000A5B68">
      <w:pPr>
        <w:pStyle w:val="Bulletlist"/>
      </w:pPr>
      <w:r>
        <w:t>if the chemical is not a highly branched organic chemical</w:t>
      </w:r>
      <w:bookmarkStart w:id="59" w:name="_Ref191050037"/>
      <w:r w:rsidR="00E50F37">
        <w:rPr>
          <w:rStyle w:val="FootnoteReference"/>
        </w:rPr>
        <w:footnoteReference w:id="27"/>
      </w:r>
      <w:bookmarkEnd w:id="59"/>
      <w:r w:rsidR="00B96890">
        <w:t xml:space="preserve"> </w:t>
      </w:r>
      <w:r>
        <w:t xml:space="preserve">– a test result from a study </w:t>
      </w:r>
    </w:p>
    <w:p w14:paraId="25059211" w14:textId="77777777" w:rsidR="002D0D7B" w:rsidRDefault="002D0D7B" w:rsidP="000A5B68">
      <w:pPr>
        <w:pStyle w:val="Bulletlist"/>
      </w:pPr>
      <w:r>
        <w:t>on the chemical or from suitable read</w:t>
      </w:r>
      <w:r w:rsidR="00DE14BC">
        <w:t>-</w:t>
      </w:r>
      <w:r>
        <w:t>across information, conducted following an acceptable test guideline for ready biodegradability, which meets at least one of the following degradation pass levels during the period specified in the test method:</w:t>
      </w:r>
    </w:p>
    <w:p w14:paraId="61C168BF" w14:textId="77777777" w:rsidR="002D0D7B" w:rsidRDefault="002D0D7B" w:rsidP="00C144B1">
      <w:pPr>
        <w:pStyle w:val="Bulletlist2"/>
      </w:pPr>
      <w:r>
        <w:t xml:space="preserve">tests based on dissolved organic carbon (DOC) </w:t>
      </w:r>
      <w:r w:rsidR="00DE14BC">
        <w:t>–</w:t>
      </w:r>
      <w:r>
        <w:t xml:space="preserve"> ≥ 70% DOC removal, or</w:t>
      </w:r>
    </w:p>
    <w:p w14:paraId="53DC47AB" w14:textId="77777777" w:rsidR="002D0D7B" w:rsidRDefault="002D0D7B" w:rsidP="00C144B1">
      <w:pPr>
        <w:pStyle w:val="Bulletlist2"/>
      </w:pPr>
      <w:r>
        <w:t xml:space="preserve">tests based on carbon dioxide generation </w:t>
      </w:r>
      <w:r w:rsidR="00DE14BC">
        <w:t>–</w:t>
      </w:r>
      <w:r>
        <w:t xml:space="preserve"> ≥ 60% theoretical carbon dioxide, or </w:t>
      </w:r>
    </w:p>
    <w:p w14:paraId="44B6549F" w14:textId="77777777" w:rsidR="0067313C" w:rsidRDefault="002D0D7B" w:rsidP="00C144B1">
      <w:pPr>
        <w:pStyle w:val="Bulletlist2"/>
      </w:pPr>
      <w:r>
        <w:t xml:space="preserve">tests based on oxygen depletion </w:t>
      </w:r>
      <w:r w:rsidR="00DE14BC">
        <w:t>–</w:t>
      </w:r>
      <w:r>
        <w:t xml:space="preserve"> ≥ 60% theoretical oxygen demand, or</w:t>
      </w:r>
    </w:p>
    <w:p w14:paraId="21D92803" w14:textId="77777777" w:rsidR="00DE2410" w:rsidRDefault="00DE2410" w:rsidP="000A5B68">
      <w:pPr>
        <w:pStyle w:val="Bulletlist"/>
      </w:pPr>
      <w:r>
        <w:t>a test result from a study on the chemical, conducted following an acceptable test guideline for ready biodegradability, which meets at least one of the following degradation pass levels during the period specified in the test method:</w:t>
      </w:r>
    </w:p>
    <w:p w14:paraId="22E0C32C" w14:textId="77777777" w:rsidR="00DE2410" w:rsidRDefault="00DE2410" w:rsidP="00C144B1">
      <w:pPr>
        <w:pStyle w:val="Bulletlist2"/>
      </w:pPr>
      <w:r>
        <w:t xml:space="preserve">tests based on dissolved organic carbon (DOC) </w:t>
      </w:r>
      <w:r w:rsidR="00DE14BC">
        <w:t>–</w:t>
      </w:r>
      <w:r>
        <w:t xml:space="preserve"> ≥ 70% DOC removal, or</w:t>
      </w:r>
    </w:p>
    <w:p w14:paraId="23AC3EC9" w14:textId="77777777" w:rsidR="00DE2410" w:rsidRDefault="00DE2410" w:rsidP="00C144B1">
      <w:pPr>
        <w:pStyle w:val="Bulletlist2"/>
      </w:pPr>
      <w:r>
        <w:t xml:space="preserve">tests based on carbon dioxide generation </w:t>
      </w:r>
      <w:r w:rsidR="00DE14BC">
        <w:t>–</w:t>
      </w:r>
      <w:r>
        <w:t xml:space="preserve"> ≥ 60% theoretical carbon dioxide, or </w:t>
      </w:r>
    </w:p>
    <w:p w14:paraId="21F169A8" w14:textId="77777777" w:rsidR="00DE2410" w:rsidRDefault="00DE2410" w:rsidP="00C144B1">
      <w:pPr>
        <w:pStyle w:val="Bulletlist2"/>
      </w:pPr>
      <w:r>
        <w:t xml:space="preserve">tests based on oxygen depletion </w:t>
      </w:r>
      <w:r w:rsidR="00DE14BC">
        <w:t>–</w:t>
      </w:r>
      <w:r>
        <w:t xml:space="preserve"> ≥ 60% theoretical oxygen demand, or</w:t>
      </w:r>
    </w:p>
    <w:p w14:paraId="456F1431" w14:textId="338FA4D4" w:rsidR="00DE2410" w:rsidRDefault="00DE2410" w:rsidP="000A5B68">
      <w:pPr>
        <w:pStyle w:val="Bulletlist"/>
      </w:pPr>
      <w:r>
        <w:t>if the chemical is not a highly branched organic chemical</w:t>
      </w:r>
      <w:r w:rsidR="00333BCE">
        <w:fldChar w:fldCharType="begin"/>
      </w:r>
      <w:r w:rsidR="00333BCE">
        <w:instrText xml:space="preserve"> NOTEREF _Ref191050037 \f \h </w:instrText>
      </w:r>
      <w:r w:rsidR="00333BCE">
        <w:fldChar w:fldCharType="separate"/>
      </w:r>
      <w:r w:rsidR="00791D8C" w:rsidRPr="00791D8C">
        <w:rPr>
          <w:rStyle w:val="FootnoteReference"/>
        </w:rPr>
        <w:t>26</w:t>
      </w:r>
      <w:r w:rsidR="00333BCE">
        <w:fldChar w:fldCharType="end"/>
      </w:r>
      <w:r w:rsidR="00FE5F85">
        <w:t xml:space="preserve"> </w:t>
      </w:r>
      <w:r>
        <w:t xml:space="preserve">– a test result from a study </w:t>
      </w:r>
    </w:p>
    <w:p w14:paraId="5166848D" w14:textId="77777777" w:rsidR="00DE2410" w:rsidRDefault="00DE2410" w:rsidP="000A5B68">
      <w:pPr>
        <w:pStyle w:val="Bulletlist"/>
      </w:pPr>
      <w:r>
        <w:t>on the chemical or from suitable read across information, conducted following an acceptable test guideline for transformation in aquatic sediment systems, results in both:</w:t>
      </w:r>
    </w:p>
    <w:p w14:paraId="64F7EC83" w14:textId="77777777" w:rsidR="00DE2410" w:rsidRDefault="00DE2410" w:rsidP="00C144B1">
      <w:pPr>
        <w:pStyle w:val="Bulletlist2"/>
      </w:pPr>
      <w:r>
        <w:t>a degradation half-life in water of &lt; 2 months, and</w:t>
      </w:r>
    </w:p>
    <w:p w14:paraId="16394EE2" w14:textId="77777777" w:rsidR="00DE2410" w:rsidRDefault="00DE2410" w:rsidP="00C144B1">
      <w:pPr>
        <w:pStyle w:val="Bulletlist2"/>
      </w:pPr>
      <w:r>
        <w:t>a degradation half-life in sediment of &lt; 6 months, or</w:t>
      </w:r>
    </w:p>
    <w:p w14:paraId="2F940028" w14:textId="77777777" w:rsidR="00DE2410" w:rsidRDefault="00DE2410" w:rsidP="000A5B68">
      <w:pPr>
        <w:pStyle w:val="Bulletlist"/>
      </w:pPr>
      <w:r>
        <w:t>a test result from a study on the chemical, conducted following an acceptable test guideline for transformation in aquatic sediment systems, results in both:</w:t>
      </w:r>
    </w:p>
    <w:p w14:paraId="5BD6C004" w14:textId="77777777" w:rsidR="00DE2410" w:rsidRDefault="00DE2410" w:rsidP="00C144B1">
      <w:pPr>
        <w:pStyle w:val="Bulletlist2"/>
      </w:pPr>
      <w:r>
        <w:t>a degradation half-life in water of &lt; 2 months, and</w:t>
      </w:r>
    </w:p>
    <w:p w14:paraId="58915037" w14:textId="77777777" w:rsidR="0067313C" w:rsidRDefault="00DE2410" w:rsidP="00C144B1">
      <w:pPr>
        <w:pStyle w:val="Bulletlist2"/>
      </w:pPr>
      <w:r>
        <w:t>a degradation half-life in sediment of &lt; 6 months, or</w:t>
      </w:r>
    </w:p>
    <w:p w14:paraId="59BF23FF" w14:textId="77777777" w:rsidR="001F47E8" w:rsidRDefault="001F47E8" w:rsidP="000A5B68">
      <w:pPr>
        <w:pStyle w:val="Bulletlist"/>
      </w:pPr>
      <w:r>
        <w:t xml:space="preserve">if the chemical is not a biocidal active and not a persistent, highly branched organic </w:t>
      </w:r>
      <w:r w:rsidR="00437620">
        <w:t>c</w:t>
      </w:r>
      <w:r>
        <w:t>hemical</w:t>
      </w:r>
      <w:r w:rsidR="00437620">
        <w:rPr>
          <w:rStyle w:val="FootnoteReference"/>
        </w:rPr>
        <w:footnoteReference w:id="28"/>
      </w:r>
      <w:r w:rsidR="008B4695">
        <w:t xml:space="preserve"> </w:t>
      </w:r>
      <w:r>
        <w:t>– information on aquatic toxicity for all three trophic levels (fish, invertebrates and algae), from suitable in silico predictions on the chemical or in vivo studies on the chemical or from suitable read-across information conducted following acceptable test guidelines for aquatic toxicity, with at least one of the following results for each of the three trophic levels</w:t>
      </w:r>
      <w:r w:rsidR="003152CC">
        <w:rPr>
          <w:rStyle w:val="FootnoteReference"/>
        </w:rPr>
        <w:footnoteReference w:id="29"/>
      </w:r>
      <w:r>
        <w:t>:</w:t>
      </w:r>
    </w:p>
    <w:p w14:paraId="14D4DB8F" w14:textId="77777777" w:rsidR="001F47E8" w:rsidRDefault="001F47E8" w:rsidP="00C144B1">
      <w:pPr>
        <w:pStyle w:val="Bulletlist2"/>
      </w:pPr>
      <w:r>
        <w:lastRenderedPageBreak/>
        <w:t>acute aquatic toxicity &gt; 1 mg/L (96 h LC50 (fish), or 48 h EC50 (invertebrates) or 72 or 96 h ErC50 (algae)), or</w:t>
      </w:r>
    </w:p>
    <w:p w14:paraId="44F7C255" w14:textId="77777777" w:rsidR="001F47E8" w:rsidRDefault="001F47E8" w:rsidP="00C144B1">
      <w:pPr>
        <w:pStyle w:val="Bulletlist2"/>
      </w:pPr>
      <w:r>
        <w:t>chronic aquatic toxicity NOEC or EC10 &gt; 0.1 mg/L (for chemicals that are not readily biodegradable), or</w:t>
      </w:r>
    </w:p>
    <w:p w14:paraId="6FE7185C" w14:textId="77777777" w:rsidR="001F47E8" w:rsidRDefault="001F47E8" w:rsidP="00C144B1">
      <w:pPr>
        <w:pStyle w:val="Bulletlist2"/>
      </w:pPr>
      <w:r>
        <w:t>chronic aquatic toxicity NOEC or EC10 &gt; 0.01 mg/L (for chemicals that are readily biodegradable), or</w:t>
      </w:r>
    </w:p>
    <w:p w14:paraId="0F9E6754" w14:textId="77777777" w:rsidR="001F47E8" w:rsidRDefault="001F47E8" w:rsidP="000A5B68">
      <w:pPr>
        <w:pStyle w:val="Bulletlist"/>
      </w:pPr>
      <w:r>
        <w:t>test results for all three trophic levels (fish, invertebrates and algae) from in vivo studies on the chemical or from suitable read-across information, conducted following acceptable test guidelines for chronic aquatic toxicity with a NOEC or EC10</w:t>
      </w:r>
    </w:p>
    <w:p w14:paraId="4AEEB631" w14:textId="77777777" w:rsidR="001F47E8" w:rsidRDefault="001F47E8" w:rsidP="00C144B1">
      <w:pPr>
        <w:pStyle w:val="Bulletlist2"/>
      </w:pPr>
      <w:r>
        <w:t>&gt; 0.1 mg/L for all three trophic levels, or</w:t>
      </w:r>
    </w:p>
    <w:p w14:paraId="42D043E0" w14:textId="77777777" w:rsidR="001F47E8" w:rsidRDefault="001F47E8" w:rsidP="000A5B68">
      <w:pPr>
        <w:pStyle w:val="Bulletlist"/>
      </w:pPr>
      <w:r>
        <w:t xml:space="preserve">a test result from an in vivo study on the chemical or from suitable read-across information, conducted following an acceptable test guideline for bioconcentration, for which the BCF &lt; 2,000, or </w:t>
      </w:r>
    </w:p>
    <w:p w14:paraId="4AC8CC8E" w14:textId="77777777" w:rsidR="0067313C" w:rsidRDefault="001F47E8" w:rsidP="000A5B68">
      <w:pPr>
        <w:pStyle w:val="Bulletlist"/>
      </w:pPr>
      <w:r>
        <w:t>a test result from an in vivo study on the chemical or from suitable read-across information, conducted following an acceptable test guideline for bioaccumulation, for which the BAF &lt; 2,000</w:t>
      </w:r>
    </w:p>
    <w:p w14:paraId="145C37CF" w14:textId="77777777" w:rsidR="007F5CC1" w:rsidRDefault="007F5CC1" w:rsidP="007F5CC1">
      <w:pPr>
        <w:pStyle w:val="Heading2"/>
      </w:pPr>
      <w:bookmarkStart w:id="61" w:name="_Toc238816834"/>
      <w:r>
        <w:t>6.27</w:t>
      </w:r>
      <w:r w:rsidR="0078341D">
        <w:tab/>
      </w:r>
      <w:r>
        <w:t>Very toxic to any aquatic life – Environment hazard band C</w:t>
      </w:r>
      <w:bookmarkEnd w:id="61"/>
    </w:p>
    <w:p w14:paraId="30D5B9F8" w14:textId="77777777" w:rsidR="007F5CC1" w:rsidRDefault="007F5CC1" w:rsidP="007F5CC1">
      <w:pPr>
        <w:pStyle w:val="Heading3"/>
      </w:pPr>
      <w:r>
        <w:t>6.27.1</w:t>
      </w:r>
      <w:r w:rsidR="0078341D">
        <w:tab/>
      </w:r>
      <w:r>
        <w:t>Clause 4 of Part 2, Schedule 1 to the IC General Rules</w:t>
      </w:r>
    </w:p>
    <w:p w14:paraId="124C3AA9" w14:textId="77777777" w:rsidR="007F5CC1" w:rsidRDefault="007F5CC1" w:rsidP="007F5CC1">
      <w:r>
        <w:t>For the purposes of table item 6 of Clause 4, Part 2, Schedule 1 to the IC General Rules:</w:t>
      </w:r>
    </w:p>
    <w:p w14:paraId="11731786" w14:textId="77777777" w:rsidR="007F5CC1" w:rsidRDefault="007F5CC1" w:rsidP="007F5CC1">
      <w:r w:rsidRPr="007F5CC1">
        <w:rPr>
          <w:b/>
          <w:bCs/>
        </w:rPr>
        <w:t>Very toxic to any aquatic life</w:t>
      </w:r>
      <w:r>
        <w:t xml:space="preserve"> means that any of the following apply to the industrial chemical:</w:t>
      </w:r>
    </w:p>
    <w:p w14:paraId="075A3704" w14:textId="77777777" w:rsidR="007F5CC1" w:rsidRDefault="007F5CC1" w:rsidP="000A5B68">
      <w:pPr>
        <w:pStyle w:val="Bulletlist"/>
      </w:pPr>
      <w:r>
        <w:t xml:space="preserve"> the chemical is known to cause:</w:t>
      </w:r>
    </w:p>
    <w:p w14:paraId="2AFD44EF" w14:textId="77777777" w:rsidR="00600476" w:rsidRDefault="007F5CC1" w:rsidP="00C144B1">
      <w:pPr>
        <w:pStyle w:val="Bulletlist2"/>
      </w:pPr>
      <w:r>
        <w:t>toxic injury to an organism following short term aquatic exposure as described in chapter 4.1 of the GHS, with the chemical classified as acute aquatic toxicity (category 1), or</w:t>
      </w:r>
    </w:p>
    <w:p w14:paraId="514A4C4E" w14:textId="77777777" w:rsidR="00141523" w:rsidRDefault="00141523" w:rsidP="00C144B1">
      <w:pPr>
        <w:pStyle w:val="Bulletlist2"/>
      </w:pPr>
      <w:r>
        <w:t xml:space="preserve">adverse effects to an organism during aquatic exposures determined in relation to the </w:t>
      </w:r>
      <w:proofErr w:type="gramStart"/>
      <w:r>
        <w:t>life-cycle</w:t>
      </w:r>
      <w:proofErr w:type="gramEnd"/>
      <w:r>
        <w:t xml:space="preserve"> of the organism, as described in chapter 4.1 of the GHS, with the chemical classified as chronic aquatic toxicity (category 1), or</w:t>
      </w:r>
    </w:p>
    <w:p w14:paraId="2A5E311E" w14:textId="77777777" w:rsidR="00141523" w:rsidRDefault="00141523" w:rsidP="000A5B68">
      <w:pPr>
        <w:pStyle w:val="Bulletlist"/>
      </w:pPr>
      <w:r>
        <w:t xml:space="preserve">the chemical is on the </w:t>
      </w:r>
      <w:r w:rsidRPr="0078341D">
        <w:rPr>
          <w:b/>
          <w:bCs/>
        </w:rPr>
        <w:t>list of chemicals with high hazards for categorisation</w:t>
      </w:r>
      <w:r>
        <w:t xml:space="preserve"> based on it being very toxic to any aquatic life, or</w:t>
      </w:r>
    </w:p>
    <w:p w14:paraId="7A8F0B22" w14:textId="77777777" w:rsidR="00141523" w:rsidRDefault="00141523" w:rsidP="000A5B68">
      <w:pPr>
        <w:pStyle w:val="Bulletlist"/>
      </w:pPr>
      <w:r>
        <w:t>an in vivo acute study on the chemical:</w:t>
      </w:r>
    </w:p>
    <w:p w14:paraId="5CAB233E" w14:textId="77777777" w:rsidR="00141523" w:rsidRDefault="00141523" w:rsidP="00C144B1">
      <w:pPr>
        <w:pStyle w:val="Bulletlist2"/>
      </w:pPr>
      <w:r>
        <w:t>conducted following an acceptable test guideline for acute toxicity to fish results in a 96 h LC50 ≤ 1 mg/L, or</w:t>
      </w:r>
    </w:p>
    <w:p w14:paraId="2C73E029" w14:textId="77777777" w:rsidR="00141523" w:rsidRDefault="00141523" w:rsidP="00C144B1">
      <w:pPr>
        <w:pStyle w:val="Bulletlist2"/>
      </w:pPr>
      <w:r>
        <w:t>conducted following an acceptable test guideline for acute toxicity to invertebrates results in a 48 h EC50 ≤ 1 mg/L, or</w:t>
      </w:r>
    </w:p>
    <w:p w14:paraId="746B482D" w14:textId="77777777" w:rsidR="00141523" w:rsidRDefault="00141523" w:rsidP="00C144B1">
      <w:pPr>
        <w:pStyle w:val="Bulletlist2"/>
      </w:pPr>
      <w:r>
        <w:t>conducted following an acceptable test guideline for acute toxicity to algae or other aquatic plants results in a 72 or 96 h ErC50 ≤ 1mg/L, or</w:t>
      </w:r>
    </w:p>
    <w:p w14:paraId="52BCEAE5" w14:textId="77777777" w:rsidR="00141523" w:rsidRDefault="00141523" w:rsidP="000A5B68">
      <w:pPr>
        <w:pStyle w:val="Bulletlist"/>
      </w:pPr>
      <w:r>
        <w:t xml:space="preserve">an in vivo chronic study on the chemical conducted following an acceptable test guideline for chronic toxicity to fish, chronic toxicity to invertebrates, or chronic toxicity to algae or other aquatic plants results in a: </w:t>
      </w:r>
    </w:p>
    <w:p w14:paraId="348C3978" w14:textId="77777777" w:rsidR="00141523" w:rsidRDefault="00141523" w:rsidP="00C144B1">
      <w:pPr>
        <w:pStyle w:val="Bulletlist2"/>
      </w:pPr>
      <w:r>
        <w:t>NOEC or EC10 ≤ 0.1 mg/L (for chemicals that are not readily biodegradable), or</w:t>
      </w:r>
    </w:p>
    <w:p w14:paraId="0285881D" w14:textId="77777777" w:rsidR="00141523" w:rsidRDefault="00141523" w:rsidP="00C144B1">
      <w:pPr>
        <w:pStyle w:val="Bulletlist2"/>
      </w:pPr>
      <w:r>
        <w:t>NOEC or EC10 ≤ 0.01 mg/L (for chemicals that are readily biodegradable), or</w:t>
      </w:r>
    </w:p>
    <w:p w14:paraId="57C37A01" w14:textId="77777777" w:rsidR="00141523" w:rsidRDefault="00141523" w:rsidP="000A5B68">
      <w:pPr>
        <w:pStyle w:val="Bulletlist"/>
      </w:pPr>
      <w:r>
        <w:t xml:space="preserve">a suitable in silico prediction for acute aquatic toxicity results in a prediction of: </w:t>
      </w:r>
    </w:p>
    <w:p w14:paraId="012C5E6C" w14:textId="77777777" w:rsidR="00141523" w:rsidRDefault="00141523" w:rsidP="00C144B1">
      <w:pPr>
        <w:pStyle w:val="Bulletlist2"/>
      </w:pPr>
      <w:r>
        <w:t>for fish – 96 h LC50 ≤ 1 mg/L, or</w:t>
      </w:r>
    </w:p>
    <w:p w14:paraId="1E2F087D" w14:textId="77777777" w:rsidR="00141523" w:rsidRDefault="00141523" w:rsidP="00C144B1">
      <w:pPr>
        <w:pStyle w:val="Bulletlist2"/>
      </w:pPr>
      <w:r>
        <w:t>for invertebrates – 48 h EC50 ≤ 1 mg/L, or</w:t>
      </w:r>
    </w:p>
    <w:p w14:paraId="0D65602E" w14:textId="77777777" w:rsidR="00842835" w:rsidRDefault="00141523" w:rsidP="00B87411">
      <w:pPr>
        <w:pStyle w:val="Bulletlist2"/>
        <w:spacing w:after="0" w:afterAutospacing="0"/>
        <w:ind w:hanging="357"/>
      </w:pPr>
      <w:r>
        <w:t xml:space="preserve">for algae or other aquatic plants </w:t>
      </w:r>
      <w:r w:rsidR="005B7E03">
        <w:t>–</w:t>
      </w:r>
      <w:r>
        <w:t xml:space="preserve"> 72 or 96 h ErC50 ≤ 1 mg/L</w:t>
      </w:r>
      <w:r w:rsidR="00402CBB">
        <w:t xml:space="preserve"> </w:t>
      </w:r>
    </w:p>
    <w:p w14:paraId="05278F9B" w14:textId="77777777" w:rsidR="00600476" w:rsidRDefault="00141523" w:rsidP="00B87411">
      <w:pPr>
        <w:pStyle w:val="Bulletlist2"/>
        <w:numPr>
          <w:ilvl w:val="0"/>
          <w:numId w:val="0"/>
        </w:numPr>
        <w:spacing w:before="0" w:beforeAutospacing="0"/>
        <w:ind w:left="777"/>
      </w:pPr>
      <w:r>
        <w:t>and the predictions have not been negated by in vivo studies conducted on the chemical for aquatic toxicity.</w:t>
      </w:r>
    </w:p>
    <w:p w14:paraId="59BCE2B2" w14:textId="77777777" w:rsidR="005F3754" w:rsidRDefault="005F3754" w:rsidP="0061479C">
      <w:pPr>
        <w:pStyle w:val="Heading3"/>
      </w:pPr>
      <w:r>
        <w:t>6.27.2</w:t>
      </w:r>
      <w:r w:rsidR="0078341D">
        <w:tab/>
      </w:r>
      <w:r>
        <w:t xml:space="preserve">Section 30 of the IC General Rules </w:t>
      </w:r>
      <w:r w:rsidR="005B7E03">
        <w:t>–</w:t>
      </w:r>
      <w:r>
        <w:t xml:space="preserve"> Information required to demonstrate the absence of hazard characteristics </w:t>
      </w:r>
    </w:p>
    <w:p w14:paraId="3E519D65" w14:textId="77777777" w:rsidR="005F3754" w:rsidRDefault="005F3754" w:rsidP="005F3754">
      <w:r>
        <w:t xml:space="preserve">For the purposes of subparagraph 30(2)(c)(iv) of the IC General Rules, the information required to demonstrate that a chemical does not have the hazard characteristic, </w:t>
      </w:r>
      <w:r w:rsidRPr="0061479C">
        <w:rPr>
          <w:b/>
          <w:bCs/>
        </w:rPr>
        <w:t>very toxic to any aquatic life</w:t>
      </w:r>
      <w:r>
        <w:t>, is:</w:t>
      </w:r>
    </w:p>
    <w:p w14:paraId="5C0FFBDD" w14:textId="77777777" w:rsidR="005F3754" w:rsidRDefault="005F3754" w:rsidP="000A5B68">
      <w:pPr>
        <w:pStyle w:val="Bulletlist"/>
      </w:pPr>
      <w:r>
        <w:lastRenderedPageBreak/>
        <w:t xml:space="preserve">if the exposure band for the introduction is 1 </w:t>
      </w:r>
      <w:r w:rsidR="00401756">
        <w:t>–</w:t>
      </w:r>
      <w:r>
        <w:t xml:space="preserve"> confirmation that the chemical is not on the </w:t>
      </w:r>
      <w:r w:rsidRPr="0078341D">
        <w:rPr>
          <w:b/>
          <w:bCs/>
        </w:rPr>
        <w:t>list of chemicals with high hazards for categorisation</w:t>
      </w:r>
      <w:r>
        <w:t xml:space="preserve"> based on it being very toxic to any aquatic life</w:t>
      </w:r>
    </w:p>
    <w:p w14:paraId="6C3E34C2" w14:textId="77777777" w:rsidR="005F3754" w:rsidRDefault="005F3754" w:rsidP="000A5B68">
      <w:pPr>
        <w:pStyle w:val="Bulletlist"/>
      </w:pPr>
      <w:r>
        <w:t xml:space="preserve">if the environment exposure band for the introduction is 2, 3, or 4, </w:t>
      </w:r>
      <w:r w:rsidR="00401756">
        <w:t>–</w:t>
      </w:r>
      <w:r>
        <w:t xml:space="preserve"> at least one of the following:</w:t>
      </w:r>
    </w:p>
    <w:p w14:paraId="297AF0C3" w14:textId="77777777" w:rsidR="005F3754" w:rsidRDefault="005F3754" w:rsidP="00C144B1">
      <w:pPr>
        <w:pStyle w:val="Bulletlist2"/>
      </w:pPr>
      <w:r>
        <w:t>information that demonstrates that the chemical has a molecular weight &gt; 1,000 g/mol and has a low cationic density, or</w:t>
      </w:r>
    </w:p>
    <w:p w14:paraId="6C732D19" w14:textId="77777777" w:rsidR="005F3754" w:rsidRDefault="005F3754" w:rsidP="00C144B1">
      <w:pPr>
        <w:pStyle w:val="Bulletlist2"/>
      </w:pPr>
      <w:r>
        <w:t>information that demonstrates that the chemical is a high molecular weight polymer that has a low cationic density, or</w:t>
      </w:r>
    </w:p>
    <w:p w14:paraId="19960422" w14:textId="77777777" w:rsidR="00600476" w:rsidRDefault="005F3754" w:rsidP="00C144B1">
      <w:pPr>
        <w:pStyle w:val="Bulletlist2"/>
      </w:pPr>
      <w:r>
        <w:t xml:space="preserve"> information that demonstrates that the chemical is a substance covered by Entry 9 of Annex V of the REACH Regulation, or</w:t>
      </w:r>
    </w:p>
    <w:p w14:paraId="2B293D22" w14:textId="77777777" w:rsidR="009A3B16" w:rsidRDefault="009A3B16" w:rsidP="00C144B1">
      <w:pPr>
        <w:pStyle w:val="Bulletlist2"/>
      </w:pPr>
      <w:r>
        <w:t>if the chemical is not a biocidal active and not a persistent, highly branched organic chemical</w:t>
      </w:r>
      <w:r w:rsidR="0078341D">
        <w:rPr>
          <w:rStyle w:val="FootnoteReference"/>
        </w:rPr>
        <w:footnoteReference w:id="30"/>
      </w:r>
      <w:r>
        <w:t xml:space="preserve"> – information on aquatic toxicity for all three trophic levels (fish, invertebrates and algae), from suitable in silico predictions on the chemical or in vivo studies on the chemical or from suitable read-across information conducted following acceptable test guidelines for aquatic toxicity, with one of the following results for each of the three trophic levels</w:t>
      </w:r>
      <w:r w:rsidR="009601B3">
        <w:rPr>
          <w:rStyle w:val="FootnoteReference"/>
        </w:rPr>
        <w:footnoteReference w:id="31"/>
      </w:r>
      <w:r>
        <w:t>:</w:t>
      </w:r>
    </w:p>
    <w:p w14:paraId="681AFE57" w14:textId="77777777" w:rsidR="009A3B16" w:rsidRPr="009363EC" w:rsidRDefault="009A3B16" w:rsidP="00103519">
      <w:pPr>
        <w:pStyle w:val="Bulletlist3"/>
      </w:pPr>
      <w:r w:rsidRPr="009363EC">
        <w:t xml:space="preserve"> acute aquatic toxicity &gt; 1 mg/L (LC50 (fish), or EC50 (invertebrates) or ErC50 (algae)), or</w:t>
      </w:r>
    </w:p>
    <w:p w14:paraId="6E9C4A43" w14:textId="77777777" w:rsidR="009A3B16" w:rsidRPr="009363EC" w:rsidRDefault="009A3B16" w:rsidP="00103519">
      <w:pPr>
        <w:pStyle w:val="Bulletlist3"/>
      </w:pPr>
      <w:r w:rsidRPr="009363EC">
        <w:t>chronic aquatic toxicity NOEC or EC10 &gt; 0.1 mg/L (for chemicals that are not readily biodegradable), or</w:t>
      </w:r>
    </w:p>
    <w:p w14:paraId="7CD9D370" w14:textId="77777777" w:rsidR="009A3B16" w:rsidRPr="009363EC" w:rsidRDefault="009A3B16" w:rsidP="00103519">
      <w:pPr>
        <w:pStyle w:val="Bulletlist3"/>
      </w:pPr>
      <w:r w:rsidRPr="009363EC">
        <w:t>chronic aquatic toxicity NOEC or EC10 &gt; 0.01 mg/L (for chemicals that are readily biodegradable), or</w:t>
      </w:r>
    </w:p>
    <w:p w14:paraId="4B916D7E" w14:textId="77777777" w:rsidR="009A3B16" w:rsidRDefault="009A3B16" w:rsidP="00C144B1">
      <w:pPr>
        <w:pStyle w:val="Bulletlist2"/>
      </w:pPr>
      <w:r>
        <w:t>test results for all three trophic levels (fish, invertebrates and algae) from in vivo studies on the chemical, or from suitable read-across information, conducted following acceptable test guidelines for chronic aquatic toxicity with the following results for all three trophic levels:</w:t>
      </w:r>
    </w:p>
    <w:p w14:paraId="252253B7" w14:textId="77777777" w:rsidR="009A3B16" w:rsidRDefault="009A3B16" w:rsidP="00103519">
      <w:pPr>
        <w:pStyle w:val="Bulletlist3"/>
      </w:pPr>
      <w:r>
        <w:t>NOEC or EC</w:t>
      </w:r>
      <w:r w:rsidRPr="00791D8C">
        <w:t>10</w:t>
      </w:r>
      <w:r>
        <w:t xml:space="preserve"> &gt; 0.1 mg/L (for chemicals that are not readily biodegradable), or</w:t>
      </w:r>
    </w:p>
    <w:p w14:paraId="30F25E43" w14:textId="77777777" w:rsidR="00600476" w:rsidRDefault="009A3B16" w:rsidP="00103519">
      <w:pPr>
        <w:pStyle w:val="Bulletlist3"/>
      </w:pPr>
      <w:r>
        <w:t>NOEC or EC</w:t>
      </w:r>
      <w:r w:rsidRPr="00791D8C">
        <w:t>10</w:t>
      </w:r>
      <w:r>
        <w:t xml:space="preserve"> &gt; 0.01 mg/L (for chemicals that are readily biodegradable).</w:t>
      </w:r>
    </w:p>
    <w:p w14:paraId="5D16EE74" w14:textId="77777777" w:rsidR="003A72B5" w:rsidRDefault="003A72B5" w:rsidP="003A72B5">
      <w:pPr>
        <w:pStyle w:val="Heading2"/>
      </w:pPr>
      <w:bookmarkStart w:id="62" w:name="_Toc238816835"/>
      <w:r>
        <w:t>6.28 Persistent and bioaccumulative – Environment hazard band C</w:t>
      </w:r>
      <w:bookmarkEnd w:id="62"/>
    </w:p>
    <w:p w14:paraId="53C6C83C" w14:textId="77777777" w:rsidR="003A72B5" w:rsidRDefault="003A72B5" w:rsidP="003A72B5">
      <w:pPr>
        <w:pStyle w:val="Heading3"/>
      </w:pPr>
      <w:r>
        <w:t>6.28.1 Clause 4 of Part 2, Schedule 1 to the IC General Rules</w:t>
      </w:r>
    </w:p>
    <w:p w14:paraId="0BFC7573" w14:textId="77777777" w:rsidR="003A72B5" w:rsidRDefault="003A72B5" w:rsidP="003A72B5">
      <w:r>
        <w:t>For the purposes of table item 7 of Clause 4, Part 2, Schedule 1 to the IC General Rules:</w:t>
      </w:r>
    </w:p>
    <w:p w14:paraId="6F327379" w14:textId="77777777" w:rsidR="003A72B5" w:rsidRDefault="003A72B5" w:rsidP="003A72B5">
      <w:r w:rsidRPr="003A72B5">
        <w:rPr>
          <w:b/>
          <w:bCs/>
        </w:rPr>
        <w:t>Persistent and bioaccumulative</w:t>
      </w:r>
      <w:r>
        <w:t xml:space="preserve"> means that any of the following apply to the industrial chemical:</w:t>
      </w:r>
    </w:p>
    <w:p w14:paraId="7D84D9B8" w14:textId="77777777" w:rsidR="003A72B5" w:rsidRDefault="003A72B5" w:rsidP="000A5B68">
      <w:pPr>
        <w:pStyle w:val="Bulletlist"/>
      </w:pPr>
      <w:r>
        <w:t xml:space="preserve">the chemical is on the </w:t>
      </w:r>
      <w:r w:rsidRPr="00F271F2">
        <w:rPr>
          <w:b/>
          <w:bCs/>
        </w:rPr>
        <w:t>list of chemicals with high hazards for categorisation</w:t>
      </w:r>
      <w:r>
        <w:t>, based on it being persistent and bioaccumulative, or</w:t>
      </w:r>
    </w:p>
    <w:p w14:paraId="6CA17648" w14:textId="77777777" w:rsidR="003A72B5" w:rsidRDefault="003A72B5" w:rsidP="000A5B68">
      <w:pPr>
        <w:pStyle w:val="Bulletlist"/>
      </w:pPr>
      <w:r>
        <w:t>both of the following apply:</w:t>
      </w:r>
    </w:p>
    <w:p w14:paraId="09438D8A" w14:textId="77777777" w:rsidR="003A72B5" w:rsidRDefault="003A72B5" w:rsidP="00C144B1">
      <w:pPr>
        <w:pStyle w:val="Bulletlist2"/>
      </w:pPr>
      <w:r>
        <w:t>the chemical is persistent (see part 2.1.6 for definition), and</w:t>
      </w:r>
    </w:p>
    <w:p w14:paraId="7F999177" w14:textId="77777777" w:rsidR="00600476" w:rsidRDefault="003A72B5" w:rsidP="00C144B1">
      <w:pPr>
        <w:pStyle w:val="Bulletlist2"/>
      </w:pPr>
      <w:r>
        <w:t>the chemical is bioaccumulative.</w:t>
      </w:r>
    </w:p>
    <w:p w14:paraId="416E741F" w14:textId="77777777" w:rsidR="00BA22CD" w:rsidRDefault="00BA22CD" w:rsidP="005443C1">
      <w:r>
        <w:t>For the purposes of this hazard characteristic, bioaccumulative means any of the following apply to the chemical:</w:t>
      </w:r>
    </w:p>
    <w:p w14:paraId="4569A6B3" w14:textId="77777777" w:rsidR="00BA22CD" w:rsidRDefault="00BA22CD" w:rsidP="000A5B68">
      <w:pPr>
        <w:pStyle w:val="Bulletlist"/>
      </w:pPr>
      <w:r>
        <w:lastRenderedPageBreak/>
        <w:t>it has a bioaccumulation factor (BAF) ≥ 2000 for the aquatic compartment, or</w:t>
      </w:r>
    </w:p>
    <w:p w14:paraId="012CE7EA" w14:textId="77777777" w:rsidR="00BA22CD" w:rsidRDefault="00BA22CD" w:rsidP="000A5B68">
      <w:pPr>
        <w:pStyle w:val="Bulletlist"/>
      </w:pPr>
      <w:r>
        <w:t>it has a bioconcentration factor (BCF) ≥ 2000 for the aquatic compartment, or</w:t>
      </w:r>
    </w:p>
    <w:p w14:paraId="32C9A90A" w14:textId="49952F8D" w:rsidR="00BA22CD" w:rsidRDefault="00BA22CD" w:rsidP="000A5B68">
      <w:pPr>
        <w:pStyle w:val="Bulletlist"/>
      </w:pPr>
      <w:r>
        <w:t>it has a measured log Kow ≥</w:t>
      </w:r>
      <w:r w:rsidR="00A41720">
        <w:t xml:space="preserve"> </w:t>
      </w:r>
      <w:r>
        <w:t>4.2 for the aquatic compartment (unless a measured BCF or BAF is &lt; 2000), or</w:t>
      </w:r>
    </w:p>
    <w:p w14:paraId="7D66C4D7" w14:textId="77777777" w:rsidR="00BA22CD" w:rsidRDefault="00BA22CD" w:rsidP="000A5B68">
      <w:pPr>
        <w:pStyle w:val="Bulletlist"/>
      </w:pPr>
      <w:r>
        <w:t>it has a log Koa &gt; 6 and log Kow ≥ 2 for the terrestrial compartment, or</w:t>
      </w:r>
    </w:p>
    <w:p w14:paraId="6A9A5A23" w14:textId="77777777" w:rsidR="008956BF" w:rsidRDefault="00BA22CD" w:rsidP="000A5B68">
      <w:pPr>
        <w:pStyle w:val="Bulletlist"/>
      </w:pPr>
      <w:r>
        <w:t>it has a biomagnification factor (BMF) &gt; 1.</w:t>
      </w:r>
    </w:p>
    <w:p w14:paraId="3E80D3D8" w14:textId="77777777" w:rsidR="005F0075" w:rsidRDefault="005F0075" w:rsidP="00C443C9">
      <w:pPr>
        <w:pStyle w:val="Heading3"/>
      </w:pPr>
      <w:r>
        <w:t>6.28.2</w:t>
      </w:r>
      <w:r w:rsidR="005443C1">
        <w:tab/>
      </w:r>
      <w:r>
        <w:t xml:space="preserve">Section 30 of the IC General Rules </w:t>
      </w:r>
      <w:r w:rsidR="005B7E03">
        <w:t>–</w:t>
      </w:r>
      <w:r>
        <w:t xml:space="preserve"> Information required to demonstrate the absence of hazard characteristics</w:t>
      </w:r>
    </w:p>
    <w:p w14:paraId="6F4BEB38" w14:textId="77777777" w:rsidR="005F0075" w:rsidRDefault="005F0075" w:rsidP="005F0075">
      <w:r>
        <w:t xml:space="preserve">For the purposes of subparagraph 30(2)(c)(iv) of the IC General Rules, the information required to demonstrate that a chemical does not have the hazard characteristic, </w:t>
      </w:r>
      <w:r w:rsidRPr="00757E64">
        <w:rPr>
          <w:b/>
          <w:bCs/>
        </w:rPr>
        <w:t>persistent and bioaccumulative</w:t>
      </w:r>
      <w:r>
        <w:t xml:space="preserve">, is confirmation that the chemical is not on the </w:t>
      </w:r>
      <w:r w:rsidRPr="00A2794B">
        <w:rPr>
          <w:b/>
          <w:bCs/>
        </w:rPr>
        <w:t>list of chemicals with high hazards for categorisation</w:t>
      </w:r>
      <w:r>
        <w:t xml:space="preserve"> based on it being persistent and bioaccumulative.</w:t>
      </w:r>
    </w:p>
    <w:p w14:paraId="4E8BB6CF" w14:textId="77777777" w:rsidR="005F0075" w:rsidRDefault="005F0075" w:rsidP="005F0075">
      <w:r>
        <w:t>In addition, if the environment exposure band for the introduction is 2 (and you are seeking to demonstrate that the introduction meets the criteria for very low risk in accordance with</w:t>
      </w:r>
      <w:r w:rsidR="00A2794B">
        <w:t xml:space="preserve"> </w:t>
      </w:r>
      <w:r>
        <w:t>table item 16, section 29 of the IC General Rules), or 3 or 4, at least one of the following:</w:t>
      </w:r>
    </w:p>
    <w:p w14:paraId="60F0F997" w14:textId="77777777" w:rsidR="005F0075" w:rsidRDefault="005F0075" w:rsidP="000A5B68">
      <w:pPr>
        <w:pStyle w:val="Bulletlist"/>
      </w:pPr>
      <w:r>
        <w:t>information that demonstrates that the chemical is an inorganic chemical, or</w:t>
      </w:r>
    </w:p>
    <w:p w14:paraId="17A40042" w14:textId="77777777" w:rsidR="005F0075" w:rsidRDefault="005F0075" w:rsidP="000A5B68">
      <w:pPr>
        <w:pStyle w:val="Bulletlist"/>
      </w:pPr>
      <w:r>
        <w:t>information to demonstrate that the chemical is a biological chemical, or</w:t>
      </w:r>
    </w:p>
    <w:p w14:paraId="09AA94C2" w14:textId="77777777" w:rsidR="005F0075" w:rsidRDefault="005F0075" w:rsidP="000A5B68">
      <w:pPr>
        <w:pStyle w:val="Bulletlist"/>
      </w:pPr>
      <w:r>
        <w:t>information that demonstrates that the chemical has a molecular weight that is &gt; 1,000 g/mol, or</w:t>
      </w:r>
    </w:p>
    <w:p w14:paraId="70199377" w14:textId="77777777" w:rsidR="005F0075" w:rsidRDefault="005F0075" w:rsidP="000A5B68">
      <w:pPr>
        <w:pStyle w:val="Bulletlist"/>
      </w:pPr>
      <w:r>
        <w:t>information that demonstrates that the chemical is a high molecular weight polymer</w:t>
      </w:r>
      <w:r w:rsidR="00A2794B">
        <w:t xml:space="preserve"> </w:t>
      </w:r>
      <w:r>
        <w:t>with:</w:t>
      </w:r>
    </w:p>
    <w:p w14:paraId="203B36E4" w14:textId="77777777" w:rsidR="005F0075" w:rsidRDefault="005F0075" w:rsidP="00C144B1">
      <w:pPr>
        <w:pStyle w:val="Bulletlist2"/>
      </w:pPr>
      <w:r>
        <w:t>&lt; 25% low molecular weight oligomeric species &lt; 1,000 g/mol, and</w:t>
      </w:r>
    </w:p>
    <w:p w14:paraId="1AB589A5" w14:textId="77777777" w:rsidR="005F0075" w:rsidRDefault="005F0075" w:rsidP="00C144B1">
      <w:pPr>
        <w:pStyle w:val="Bulletlist2"/>
      </w:pPr>
      <w:r>
        <w:t>&lt; 10% low molecular weight oligomeric species &lt; 500 g/mol, or</w:t>
      </w:r>
    </w:p>
    <w:p w14:paraId="416E36FD" w14:textId="786F5009" w:rsidR="005F0075" w:rsidRDefault="005F0075" w:rsidP="000A5B68">
      <w:pPr>
        <w:pStyle w:val="Bulletlist"/>
      </w:pPr>
      <w:r>
        <w:t>information that demonstrates that the chemical has a solubility in water that is &gt;</w:t>
      </w:r>
      <w:r w:rsidR="00D619E1">
        <w:t xml:space="preserve"> </w:t>
      </w:r>
      <w:r>
        <w:t>5</w:t>
      </w:r>
      <w:r w:rsidR="00D619E1">
        <w:t xml:space="preserve"> </w:t>
      </w:r>
      <w:r>
        <w:t>g/L, measured following an acceptable test guideline for water solubility, or</w:t>
      </w:r>
    </w:p>
    <w:p w14:paraId="3C405CA8" w14:textId="77777777" w:rsidR="005F0075" w:rsidRDefault="005F0075" w:rsidP="000A5B68">
      <w:pPr>
        <w:pStyle w:val="Bulletlist"/>
      </w:pPr>
      <w:r>
        <w:t>information that demonstrates that the chemical is a gas that is not expected to partition to the aquatic compartment, or</w:t>
      </w:r>
    </w:p>
    <w:p w14:paraId="0C2F5D38" w14:textId="77777777" w:rsidR="005F0075" w:rsidRDefault="005F0075" w:rsidP="000A5B68">
      <w:pPr>
        <w:pStyle w:val="Bulletlist"/>
      </w:pPr>
      <w:r>
        <w:t>a suitable in silico prediction for partition coefficient of the chemical itself of log Kow &lt; 4.2 (that is not negated by a measured log Kow), or</w:t>
      </w:r>
    </w:p>
    <w:p w14:paraId="1017EC10" w14:textId="77777777" w:rsidR="004F10BF" w:rsidRDefault="005F0075" w:rsidP="000A5B68">
      <w:pPr>
        <w:pStyle w:val="Bulletlist"/>
      </w:pPr>
      <w:r>
        <w:t>a measured value from a study on the chemical or from suitable read-across information, conducted following an acceptable test guideline for partition</w:t>
      </w:r>
      <w:r w:rsidR="00C443C9">
        <w:t xml:space="preserve"> </w:t>
      </w:r>
      <w:r w:rsidR="00C443C9" w:rsidRPr="00C443C9">
        <w:t>coefficient, for which log Kow &lt; 4.2, or</w:t>
      </w:r>
    </w:p>
    <w:p w14:paraId="00C7D691" w14:textId="77777777" w:rsidR="00FB52FF" w:rsidRDefault="00FB52FF" w:rsidP="000A5B68">
      <w:pPr>
        <w:pStyle w:val="Bulletlist"/>
      </w:pPr>
      <w:r>
        <w:t>if the chemical is not a highly branched organic chemical</w:t>
      </w:r>
      <w:r w:rsidR="0099768F">
        <w:rPr>
          <w:rStyle w:val="FootnoteReference"/>
        </w:rPr>
        <w:footnoteReference w:id="32"/>
      </w:r>
      <w:r w:rsidR="00586A9C">
        <w:t xml:space="preserve"> </w:t>
      </w:r>
      <w:r>
        <w:t>– a test result from a study on the chemical or from suitable read across information, conducted following an acceptable test guideline for ready biodegradability, which meets at least one of the following degradation pass levels during the period specified in the test method:</w:t>
      </w:r>
    </w:p>
    <w:p w14:paraId="0D7F275C" w14:textId="77777777" w:rsidR="00FB52FF" w:rsidRDefault="00FB52FF" w:rsidP="00C144B1">
      <w:pPr>
        <w:pStyle w:val="Bulletlist2"/>
      </w:pPr>
      <w:r>
        <w:t xml:space="preserve">tests based on dissolved organic carbon (DOC) </w:t>
      </w:r>
      <w:r w:rsidR="00B82B63">
        <w:t>–</w:t>
      </w:r>
      <w:r>
        <w:t xml:space="preserve"> ≥ 70% DOC removal, or</w:t>
      </w:r>
    </w:p>
    <w:p w14:paraId="6215AE1E" w14:textId="77777777" w:rsidR="00FB52FF" w:rsidRDefault="00FB52FF" w:rsidP="00C144B1">
      <w:pPr>
        <w:pStyle w:val="Bulletlist2"/>
      </w:pPr>
      <w:r>
        <w:t xml:space="preserve">tests based on carbon dioxide generation </w:t>
      </w:r>
      <w:r w:rsidR="00B82B63">
        <w:t>–</w:t>
      </w:r>
      <w:r>
        <w:t xml:space="preserve"> ≥ 60% theoretical carbon dioxide, or </w:t>
      </w:r>
    </w:p>
    <w:p w14:paraId="74C594FE" w14:textId="77777777" w:rsidR="00FB52FF" w:rsidRDefault="00FB52FF" w:rsidP="00C144B1">
      <w:pPr>
        <w:pStyle w:val="Bulletlist2"/>
      </w:pPr>
      <w:r>
        <w:t xml:space="preserve">tests based on oxygen depletion </w:t>
      </w:r>
      <w:r w:rsidR="00B82B63">
        <w:t>–</w:t>
      </w:r>
      <w:r>
        <w:t xml:space="preserve"> ≥ 60% theoretical oxygen demand, or</w:t>
      </w:r>
    </w:p>
    <w:p w14:paraId="5AF1BF92" w14:textId="53E8EFB6" w:rsidR="00FB52FF" w:rsidRDefault="00FB52FF" w:rsidP="000A5B68">
      <w:pPr>
        <w:pStyle w:val="Bulletlist"/>
      </w:pPr>
      <w:r>
        <w:t xml:space="preserve">a test result from a study on the chemical, conducted following an acceptable test guideline for ready biodegradability, which meets at least one of the following degradation pass levels </w:t>
      </w:r>
      <w:r w:rsidR="0093006B">
        <w:t>d</w:t>
      </w:r>
      <w:r>
        <w:t>uring the period specified in the test method:</w:t>
      </w:r>
    </w:p>
    <w:p w14:paraId="074F2214" w14:textId="77777777" w:rsidR="00FB52FF" w:rsidRDefault="00FB52FF" w:rsidP="00C144B1">
      <w:pPr>
        <w:pStyle w:val="Bulletlist2"/>
      </w:pPr>
      <w:r>
        <w:t xml:space="preserve">tests based on dissolved organic carbon (DOC) </w:t>
      </w:r>
      <w:r w:rsidR="00B82B63">
        <w:t>–</w:t>
      </w:r>
      <w:r>
        <w:t xml:space="preserve"> ≥ 70% DOC removal, or</w:t>
      </w:r>
    </w:p>
    <w:p w14:paraId="01DB0B2C" w14:textId="77777777" w:rsidR="00FB52FF" w:rsidRDefault="00FB52FF" w:rsidP="00C144B1">
      <w:pPr>
        <w:pStyle w:val="Bulletlist2"/>
      </w:pPr>
      <w:r>
        <w:t xml:space="preserve">tests based on carbon dioxide generation </w:t>
      </w:r>
      <w:r w:rsidR="00B82B63">
        <w:t>–</w:t>
      </w:r>
      <w:r>
        <w:t xml:space="preserve"> ≥ 60% theoretical carbon dioxide, or </w:t>
      </w:r>
    </w:p>
    <w:p w14:paraId="4B484969" w14:textId="77777777" w:rsidR="00FB52FF" w:rsidRDefault="00FB52FF" w:rsidP="00C144B1">
      <w:pPr>
        <w:pStyle w:val="Bulletlist2"/>
      </w:pPr>
      <w:r>
        <w:t xml:space="preserve">tests based on oxygen depletion </w:t>
      </w:r>
      <w:r w:rsidR="00B82B63">
        <w:t>–</w:t>
      </w:r>
      <w:r>
        <w:t xml:space="preserve"> ≥ 60% theoretical oxygen demand, or</w:t>
      </w:r>
    </w:p>
    <w:p w14:paraId="2F35245A" w14:textId="77777777" w:rsidR="00FB52FF" w:rsidRDefault="00FB52FF" w:rsidP="000A5B68">
      <w:pPr>
        <w:pStyle w:val="Bulletlist"/>
      </w:pPr>
      <w:r>
        <w:lastRenderedPageBreak/>
        <w:t>if the chemical is not a highly branched organic chemical</w:t>
      </w:r>
      <w:r w:rsidR="0095422D">
        <w:rPr>
          <w:rStyle w:val="FootnoteReference"/>
        </w:rPr>
        <w:footnoteReference w:id="33"/>
      </w:r>
      <w:r w:rsidR="00586A9C">
        <w:t xml:space="preserve"> </w:t>
      </w:r>
      <w:r>
        <w:t>– a test result from a study on the chemical or from suitable read</w:t>
      </w:r>
      <w:r w:rsidR="00727F94">
        <w:t>-</w:t>
      </w:r>
      <w:r>
        <w:t>across information, conducted following an acceptable test guideline for transformation in aquatic sediment systems, results in both:</w:t>
      </w:r>
    </w:p>
    <w:p w14:paraId="24C06E0F" w14:textId="77777777" w:rsidR="00FB52FF" w:rsidRDefault="00FB52FF" w:rsidP="00C144B1">
      <w:pPr>
        <w:pStyle w:val="Bulletlist2"/>
      </w:pPr>
      <w:r>
        <w:t>a degradation half-life in water of &lt; 2 months, and</w:t>
      </w:r>
    </w:p>
    <w:p w14:paraId="054AF55E" w14:textId="77777777" w:rsidR="00FB52FF" w:rsidRDefault="00FB52FF" w:rsidP="00C144B1">
      <w:pPr>
        <w:pStyle w:val="Bulletlist2"/>
      </w:pPr>
      <w:r>
        <w:t>a degradation half-life in sediment of &lt; 6 months, or</w:t>
      </w:r>
    </w:p>
    <w:p w14:paraId="27B3C84E" w14:textId="77777777" w:rsidR="00FB52FF" w:rsidRDefault="00FB52FF" w:rsidP="000A5B68">
      <w:pPr>
        <w:pStyle w:val="Bulletlist"/>
      </w:pPr>
      <w:r>
        <w:t>a test result from the chemical, conducted following an acceptable test guideline for transformation in aquatic sediment systems, results in both:</w:t>
      </w:r>
    </w:p>
    <w:p w14:paraId="371811CF" w14:textId="77777777" w:rsidR="00FB52FF" w:rsidRDefault="00FB52FF" w:rsidP="00C144B1">
      <w:pPr>
        <w:pStyle w:val="Bulletlist2"/>
      </w:pPr>
      <w:r>
        <w:t>a degradation half-life in water of &lt; 2 months, and</w:t>
      </w:r>
    </w:p>
    <w:p w14:paraId="316FF1E4" w14:textId="77777777" w:rsidR="00FB52FF" w:rsidRDefault="00FB52FF" w:rsidP="00C144B1">
      <w:pPr>
        <w:pStyle w:val="Bulletlist2"/>
      </w:pPr>
      <w:r>
        <w:t>a degradation half-life in sediment of &lt; 6 months, or</w:t>
      </w:r>
    </w:p>
    <w:p w14:paraId="2E9F7A71" w14:textId="77777777" w:rsidR="00FB52FF" w:rsidRDefault="00FB52FF" w:rsidP="000A5B68">
      <w:pPr>
        <w:pStyle w:val="Bulletlist"/>
      </w:pPr>
      <w:r>
        <w:t xml:space="preserve">a test result from an in vivo study on the chemical or from suitable read-across information, conducted following an acceptable test guideline for bioconcentration, for which the BCF &lt; 2,000, or </w:t>
      </w:r>
    </w:p>
    <w:p w14:paraId="372906E3" w14:textId="77777777" w:rsidR="004F10BF" w:rsidRDefault="00FB52FF" w:rsidP="000A5B68">
      <w:pPr>
        <w:pStyle w:val="Bulletlist"/>
      </w:pPr>
      <w:r>
        <w:t>a test result from an in vivo study on the chemical or from suitable read-across information, conducted following an acceptable test guideline for bioaccumulation, for which the BAF &lt; 2,000.</w:t>
      </w:r>
    </w:p>
    <w:p w14:paraId="3BF9F108" w14:textId="77777777" w:rsidR="00072E4D" w:rsidRDefault="00072E4D" w:rsidP="00060E77">
      <w:pPr>
        <w:pStyle w:val="Heading2"/>
      </w:pPr>
      <w:bookmarkStart w:id="63" w:name="_Toc238816836"/>
      <w:r>
        <w:t>6.29 Toxic to any aquatic life – Environment hazard band B</w:t>
      </w:r>
      <w:bookmarkEnd w:id="63"/>
    </w:p>
    <w:p w14:paraId="7EA08D14" w14:textId="77777777" w:rsidR="00072E4D" w:rsidRDefault="00072E4D" w:rsidP="00060E77">
      <w:pPr>
        <w:pStyle w:val="Heading3"/>
      </w:pPr>
      <w:r>
        <w:t>6.29.1 Clause 4 of Part 2, Schedule 1 to the IC General Rules</w:t>
      </w:r>
    </w:p>
    <w:p w14:paraId="70513BE9" w14:textId="77777777" w:rsidR="00072E4D" w:rsidRDefault="00072E4D" w:rsidP="00072E4D">
      <w:r>
        <w:t>For the purposes of table item 8 of Clause 4, Part 2, Schedule 1 of the IC General Rules:</w:t>
      </w:r>
    </w:p>
    <w:p w14:paraId="77745F63" w14:textId="77777777" w:rsidR="00072E4D" w:rsidRDefault="00072E4D" w:rsidP="00072E4D">
      <w:r w:rsidRPr="00060E77">
        <w:rPr>
          <w:b/>
          <w:bCs/>
        </w:rPr>
        <w:t>Toxic to any aquatic life</w:t>
      </w:r>
      <w:r>
        <w:t xml:space="preserve"> means that any of the following apply to the industrial chemical:</w:t>
      </w:r>
    </w:p>
    <w:p w14:paraId="467C6202" w14:textId="77777777" w:rsidR="00072E4D" w:rsidRDefault="00072E4D" w:rsidP="000A5B68">
      <w:pPr>
        <w:pStyle w:val="Bulletlist"/>
      </w:pPr>
      <w:r>
        <w:t>the chemical is known to cause:</w:t>
      </w:r>
    </w:p>
    <w:p w14:paraId="2CC8C91C" w14:textId="77777777" w:rsidR="00072E4D" w:rsidRPr="005B380E" w:rsidRDefault="00072E4D" w:rsidP="00C144B1">
      <w:pPr>
        <w:pStyle w:val="Bulletlist2"/>
      </w:pPr>
      <w:r w:rsidRPr="005B380E">
        <w:t>toxic injury to an organism following short term aquatic exposure as described in chapter 4.1 of the GHS, with the chemical classified as acute aquatic toxicity (category 2), or</w:t>
      </w:r>
    </w:p>
    <w:p w14:paraId="2DD7FD9B" w14:textId="77777777" w:rsidR="00072E4D" w:rsidRPr="005B380E" w:rsidRDefault="00072E4D" w:rsidP="00C144B1">
      <w:pPr>
        <w:pStyle w:val="Bulletlist2"/>
      </w:pPr>
      <w:r w:rsidRPr="005B380E">
        <w:t xml:space="preserve">adverse effects to an organism during aquatic exposures determined in relation to the </w:t>
      </w:r>
      <w:proofErr w:type="gramStart"/>
      <w:r w:rsidRPr="005B380E">
        <w:t>life-cycle</w:t>
      </w:r>
      <w:proofErr w:type="gramEnd"/>
      <w:r w:rsidRPr="005B380E">
        <w:t xml:space="preserve"> of the organism, as described in chapter 4.1 of the GHS, with the chemical classified as chronic aquatic toxicity (category 2), or</w:t>
      </w:r>
    </w:p>
    <w:p w14:paraId="5228F342" w14:textId="77777777" w:rsidR="00072E4D" w:rsidRDefault="00072E4D" w:rsidP="000A5B68">
      <w:pPr>
        <w:pStyle w:val="Bulletlist"/>
      </w:pPr>
      <w:r>
        <w:t xml:space="preserve">an in vivo acute study on the chemical: </w:t>
      </w:r>
    </w:p>
    <w:p w14:paraId="0808FD8D" w14:textId="77777777" w:rsidR="00072E4D" w:rsidRDefault="00072E4D" w:rsidP="00C144B1">
      <w:pPr>
        <w:pStyle w:val="Bulletlist2"/>
      </w:pPr>
      <w:r>
        <w:t>conducted following an acceptable test guideline for acute toxicity to fish results in a 96h LC50 &gt; 1 mg/L but ≤ 10 mg/L, or</w:t>
      </w:r>
    </w:p>
    <w:p w14:paraId="5BF3C424" w14:textId="77777777" w:rsidR="00072E4D" w:rsidRDefault="00072E4D" w:rsidP="00C144B1">
      <w:pPr>
        <w:pStyle w:val="Bulletlist2"/>
      </w:pPr>
      <w:r>
        <w:t>conducted following an acceptable test guideline for acute toxicity to invertebrates results in a 48h EC50 &gt; 1 mg/L but ≤ 10 mg/L, or</w:t>
      </w:r>
    </w:p>
    <w:p w14:paraId="31B88294" w14:textId="77777777" w:rsidR="00072E4D" w:rsidRDefault="00072E4D" w:rsidP="00C144B1">
      <w:pPr>
        <w:pStyle w:val="Bulletlist2"/>
      </w:pPr>
      <w:r>
        <w:t>conducted following an acceptable test guideline for acute toxicity to algae or other aquatic plants results in a 72 or 96h ErC50 &gt; 1 mg/L but ≤ 10 mg/L, or</w:t>
      </w:r>
    </w:p>
    <w:p w14:paraId="0E763804" w14:textId="77777777" w:rsidR="00072E4D" w:rsidRDefault="00072E4D" w:rsidP="000A5B68">
      <w:pPr>
        <w:pStyle w:val="Bulletlist"/>
      </w:pPr>
      <w:r>
        <w:t xml:space="preserve">an in vivo chronic study on the chemical conducted following an acceptable test guideline for chronic toxicity to fish, chronic toxicity to invertebrates, or chronic toxicity to algae or other aquatic plants results in a: </w:t>
      </w:r>
    </w:p>
    <w:p w14:paraId="684FB988" w14:textId="77777777" w:rsidR="00072E4D" w:rsidRDefault="00072E4D" w:rsidP="00C144B1">
      <w:pPr>
        <w:pStyle w:val="Bulletlist2"/>
      </w:pPr>
      <w:r>
        <w:t>NOEC or EC10 &gt; 0.1 mg/L but ≤ 1 mg/L (for chemicals that are not readily biodegradable), or</w:t>
      </w:r>
    </w:p>
    <w:p w14:paraId="558D8C91" w14:textId="77777777" w:rsidR="00072E4D" w:rsidRDefault="00072E4D" w:rsidP="00C144B1">
      <w:pPr>
        <w:pStyle w:val="Bulletlist2"/>
      </w:pPr>
      <w:r>
        <w:t>NOEC or EC10 &gt; 0.01 mg/L but ≤ 0.1 mg/L (for chemicals that are readily biodegradable), or</w:t>
      </w:r>
    </w:p>
    <w:p w14:paraId="325681AD" w14:textId="77777777" w:rsidR="00072E4D" w:rsidRDefault="00072E4D" w:rsidP="000A5B68">
      <w:pPr>
        <w:pStyle w:val="Bulletlist"/>
      </w:pPr>
      <w:r>
        <w:t xml:space="preserve">a suitable in silico prediction for acute aquatic toxicity results in a prediction of: </w:t>
      </w:r>
    </w:p>
    <w:p w14:paraId="3BB98C03" w14:textId="77777777" w:rsidR="00072E4D" w:rsidRDefault="00072E4D" w:rsidP="00C144B1">
      <w:pPr>
        <w:pStyle w:val="Bulletlist2"/>
      </w:pPr>
      <w:r>
        <w:t>for fish – 96 h LC50 &gt; 1 mg/L but ≤ 10 mg/L, or</w:t>
      </w:r>
    </w:p>
    <w:p w14:paraId="583D117A" w14:textId="77777777" w:rsidR="00072E4D" w:rsidRDefault="00072E4D" w:rsidP="00C144B1">
      <w:pPr>
        <w:pStyle w:val="Bulletlist2"/>
      </w:pPr>
      <w:r>
        <w:t xml:space="preserve">for invertebrates </w:t>
      </w:r>
      <w:r w:rsidR="00727F94">
        <w:t>–</w:t>
      </w:r>
      <w:r>
        <w:t xml:space="preserve"> 48h EC50 &gt; 1 mg/L but ≤ 10 mg/L, or</w:t>
      </w:r>
    </w:p>
    <w:p w14:paraId="39D44C9D" w14:textId="77777777" w:rsidR="00072E4D" w:rsidRDefault="00072E4D" w:rsidP="004226F1">
      <w:pPr>
        <w:pStyle w:val="Bulletlist2"/>
        <w:spacing w:after="0" w:afterAutospacing="0"/>
        <w:ind w:hanging="357"/>
      </w:pPr>
      <w:r>
        <w:t xml:space="preserve">for algae or other aquatic plants </w:t>
      </w:r>
      <w:r w:rsidR="005B7E03">
        <w:t>–</w:t>
      </w:r>
      <w:r>
        <w:t xml:space="preserve"> 72 or 96 h ErC50 &gt; 1 mg/L but ≤ 10 mg/L, or</w:t>
      </w:r>
    </w:p>
    <w:p w14:paraId="208BEDF7" w14:textId="77777777" w:rsidR="004F10BF" w:rsidRDefault="00AF6BD3" w:rsidP="004226F1">
      <w:pPr>
        <w:spacing w:before="0" w:beforeAutospacing="0"/>
        <w:ind w:left="720"/>
      </w:pPr>
      <w:r>
        <w:lastRenderedPageBreak/>
        <w:t>and the predictions have not been negated by in vivo studies conducted on the chemical for aquatic toxicity.</w:t>
      </w:r>
    </w:p>
    <w:p w14:paraId="3334E8C9" w14:textId="77777777" w:rsidR="00C11710" w:rsidRDefault="00C11710" w:rsidP="00C11710">
      <w:pPr>
        <w:pStyle w:val="Heading3"/>
      </w:pPr>
      <w:r>
        <w:t xml:space="preserve">6.29.2 Section 30 of the IC General Rules </w:t>
      </w:r>
      <w:r w:rsidR="005B7E03">
        <w:t>–</w:t>
      </w:r>
      <w:r>
        <w:t xml:space="preserve"> Information required to demonstrate the absence of hazard characteristics </w:t>
      </w:r>
    </w:p>
    <w:p w14:paraId="0FD32883" w14:textId="77777777" w:rsidR="00C11710" w:rsidRDefault="00C11710" w:rsidP="00C11710">
      <w:r>
        <w:t xml:space="preserve">For the purposes of subparagraph 30(2)(c)(iv) of the IC General Rules, the information required to demonstrate that a chemical does not have the hazard characteristic, </w:t>
      </w:r>
      <w:r w:rsidRPr="00442599">
        <w:rPr>
          <w:b/>
          <w:bCs/>
        </w:rPr>
        <w:t>toxic to any aquatic life</w:t>
      </w:r>
      <w:r>
        <w:t>, is at least one of the following:</w:t>
      </w:r>
    </w:p>
    <w:p w14:paraId="32C5D3A0" w14:textId="77777777" w:rsidR="008956BF" w:rsidRPr="00563B76" w:rsidRDefault="00C11710" w:rsidP="000A5B68">
      <w:pPr>
        <w:pStyle w:val="Bulletlist"/>
      </w:pPr>
      <w:r w:rsidRPr="00563B76">
        <w:t>information that demonstrates that the chemical has a molecular weight &gt; 1,000 g/mol and has a low cationic density, or</w:t>
      </w:r>
    </w:p>
    <w:p w14:paraId="6A547724" w14:textId="77777777" w:rsidR="00E97D02" w:rsidRPr="00563B76" w:rsidRDefault="00E97D02" w:rsidP="000A5B68">
      <w:pPr>
        <w:pStyle w:val="Bulletlist"/>
      </w:pPr>
      <w:r w:rsidRPr="00563B76">
        <w:t>information that demonstrates that the chemical is a high molecular weight polymer that has a low cationic density, or</w:t>
      </w:r>
    </w:p>
    <w:p w14:paraId="456B8DFF" w14:textId="77777777" w:rsidR="00E97D02" w:rsidRPr="00563B76" w:rsidRDefault="00E97D02" w:rsidP="000A5B68">
      <w:pPr>
        <w:pStyle w:val="Bulletlist"/>
      </w:pPr>
      <w:r w:rsidRPr="00563B76">
        <w:t>information that demonstrates that the chemical is a substance covered by Entry 9 of Annex V of the REACH Regulation, or</w:t>
      </w:r>
    </w:p>
    <w:p w14:paraId="4A335B62" w14:textId="77777777" w:rsidR="00E97D02" w:rsidRDefault="00E97D02" w:rsidP="000A5B68">
      <w:pPr>
        <w:pStyle w:val="Bulletlist"/>
      </w:pPr>
      <w:r>
        <w:t>if the chemical is not a biocidal active and not a persistent, highly branched organic chemical</w:t>
      </w:r>
      <w:r w:rsidR="005F5CC6">
        <w:rPr>
          <w:rStyle w:val="FootnoteReference"/>
        </w:rPr>
        <w:footnoteReference w:id="34"/>
      </w:r>
      <w:r w:rsidR="00FE3962">
        <w:t xml:space="preserve"> </w:t>
      </w:r>
      <w:r>
        <w:t>– information on aquatic toxicity for all three trophic levels (fish, invertebrates and algae), from suitable in silico predictions on the chemical or in vivo studies on the chemical or from suitable read-across information conducted following acceptable test guidelines for aquatic toxicity, with the following results for all three trophic levels:</w:t>
      </w:r>
    </w:p>
    <w:p w14:paraId="2F45A016" w14:textId="77777777" w:rsidR="00E97D02" w:rsidRDefault="00E97D02" w:rsidP="00C144B1">
      <w:pPr>
        <w:pStyle w:val="Bulletlist2"/>
      </w:pPr>
      <w:r>
        <w:t>acute aquatic toxicity &gt; 10 mg/L (LC50 (fish), or EC50 (invertebrates) or ErC50 (algae)), or</w:t>
      </w:r>
    </w:p>
    <w:p w14:paraId="1D1B2B89" w14:textId="77777777" w:rsidR="00E97D02" w:rsidRDefault="00E97D02" w:rsidP="00C144B1">
      <w:pPr>
        <w:pStyle w:val="Bulletlist2"/>
      </w:pPr>
      <w:r>
        <w:t>chronic aquatic toxicity NOEC or EC</w:t>
      </w:r>
      <w:r w:rsidRPr="00693647">
        <w:rPr>
          <w:vertAlign w:val="subscript"/>
        </w:rPr>
        <w:t>10</w:t>
      </w:r>
      <w:r>
        <w:t xml:space="preserve"> &gt; 1 mg/L (for chemicals that are not readily biodegradable), or</w:t>
      </w:r>
    </w:p>
    <w:p w14:paraId="3661DB72" w14:textId="77777777" w:rsidR="00E97D02" w:rsidRDefault="00E97D02" w:rsidP="00C144B1">
      <w:pPr>
        <w:pStyle w:val="Bulletlist2"/>
      </w:pPr>
      <w:r>
        <w:t>chronic aquatic toxicity NOEC or EC</w:t>
      </w:r>
      <w:r w:rsidRPr="0016695A">
        <w:rPr>
          <w:vertAlign w:val="subscript"/>
        </w:rPr>
        <w:t>10</w:t>
      </w:r>
      <w:r>
        <w:t xml:space="preserve"> &gt; 0.1 mg/L (for chemicals that are readily biodegradable), or</w:t>
      </w:r>
    </w:p>
    <w:p w14:paraId="632C727D" w14:textId="77777777" w:rsidR="00E97D02" w:rsidRDefault="00E97D02" w:rsidP="000A5B68">
      <w:pPr>
        <w:pStyle w:val="Bulletlist"/>
      </w:pPr>
      <w:r>
        <w:t>test results for all three trophic levels (fish, invertebrates and algae) from in vivo studies on the chemical or from suitable read-across information, conducted following acceptable test guidelines for chronic aquatic toxicity with the following results for all three trophic levels:</w:t>
      </w:r>
    </w:p>
    <w:p w14:paraId="3B310997" w14:textId="77777777" w:rsidR="00E97D02" w:rsidRDefault="00E97D02" w:rsidP="00C144B1">
      <w:pPr>
        <w:pStyle w:val="Bulletlist2"/>
      </w:pPr>
      <w:r>
        <w:t>NOEC or EC</w:t>
      </w:r>
      <w:r w:rsidRPr="0016695A">
        <w:rPr>
          <w:vertAlign w:val="subscript"/>
        </w:rPr>
        <w:t>10</w:t>
      </w:r>
      <w:r>
        <w:t xml:space="preserve"> &gt; 1 mg/L (for chemicals that are not readily biodegradable), or</w:t>
      </w:r>
    </w:p>
    <w:p w14:paraId="6349BA13" w14:textId="77777777" w:rsidR="008956BF" w:rsidRDefault="00E97D02" w:rsidP="00C144B1">
      <w:pPr>
        <w:pStyle w:val="Bulletlist2"/>
      </w:pPr>
      <w:r>
        <w:t>NOEC or EC</w:t>
      </w:r>
      <w:r w:rsidRPr="0016695A">
        <w:rPr>
          <w:vertAlign w:val="subscript"/>
        </w:rPr>
        <w:t>10</w:t>
      </w:r>
      <w:r>
        <w:t xml:space="preserve"> &gt; 0.1 mg/L (for chemicals that are readily biodegradable).</w:t>
      </w:r>
      <w:r>
        <w:cr/>
      </w:r>
    </w:p>
    <w:p w14:paraId="1E744B0A" w14:textId="77777777" w:rsidR="00D85CD6" w:rsidRDefault="00D85CD6" w:rsidP="00D85CD6">
      <w:pPr>
        <w:pStyle w:val="Heading2"/>
      </w:pPr>
      <w:bookmarkStart w:id="64" w:name="_Toc238816837"/>
      <w:r>
        <w:t>6.30</w:t>
      </w:r>
      <w:r w:rsidR="001F6B58">
        <w:tab/>
      </w:r>
      <w:r>
        <w:t>Polymer that is not stable – Environment hazard band A</w:t>
      </w:r>
      <w:bookmarkEnd w:id="64"/>
    </w:p>
    <w:p w14:paraId="6E6F73D4" w14:textId="77777777" w:rsidR="00D85CD6" w:rsidRDefault="00D85CD6" w:rsidP="00353180">
      <w:pPr>
        <w:pStyle w:val="Heading3"/>
      </w:pPr>
      <w:r>
        <w:t>6.30.1</w:t>
      </w:r>
      <w:r w:rsidR="00794341">
        <w:tab/>
      </w:r>
      <w:r>
        <w:t>Clause 4 of Part 2, Schedule 1 to the IC General Rules</w:t>
      </w:r>
    </w:p>
    <w:p w14:paraId="44BB8ADF" w14:textId="77777777" w:rsidR="00D85CD6" w:rsidRDefault="00D85CD6" w:rsidP="00D85CD6">
      <w:r>
        <w:t>For the purposes of table item 11 of Clause 4, Part 2, Schedule 1 to the IC General Rules:</w:t>
      </w:r>
    </w:p>
    <w:p w14:paraId="69CB546B" w14:textId="77777777" w:rsidR="00D85CD6" w:rsidRDefault="00D85CD6" w:rsidP="00D85CD6">
      <w:r w:rsidRPr="00353180">
        <w:rPr>
          <w:b/>
          <w:bCs/>
        </w:rPr>
        <w:t>Polymer that is not stable</w:t>
      </w:r>
      <w:r>
        <w:t xml:space="preserve"> means that </w:t>
      </w:r>
      <w:proofErr w:type="gramStart"/>
      <w:r>
        <w:t>all of</w:t>
      </w:r>
      <w:proofErr w:type="gramEnd"/>
      <w:r>
        <w:t xml:space="preserve"> the following apply to the industrial chemical:</w:t>
      </w:r>
    </w:p>
    <w:p w14:paraId="38726AAF" w14:textId="77777777" w:rsidR="00D85CD6" w:rsidRDefault="00D85CD6" w:rsidP="000A5B68">
      <w:pPr>
        <w:pStyle w:val="Bulletlist"/>
      </w:pPr>
      <w:r>
        <w:t>the chemical is a polymer, and</w:t>
      </w:r>
    </w:p>
    <w:p w14:paraId="18737EF0" w14:textId="77777777" w:rsidR="00D85CD6" w:rsidRDefault="00D85CD6" w:rsidP="000A5B68">
      <w:pPr>
        <w:pStyle w:val="Bulletlist"/>
      </w:pPr>
      <w:r>
        <w:t>the polymer substantially degrades, decomposes or depolymerises during use; that is, the polymer is considerably, meaningfully or to a significantly large extent, changed into simpler, smaller molecular weight chemicals as the result of processes including, but not limited to:</w:t>
      </w:r>
    </w:p>
    <w:p w14:paraId="21D97BFB" w14:textId="77777777" w:rsidR="00D85CD6" w:rsidRDefault="00D85CD6" w:rsidP="00C144B1">
      <w:pPr>
        <w:pStyle w:val="Bulletlist2"/>
      </w:pPr>
      <w:r>
        <w:t>oxidation</w:t>
      </w:r>
    </w:p>
    <w:p w14:paraId="2F7607E7" w14:textId="77777777" w:rsidR="008956BF" w:rsidRDefault="00D85CD6" w:rsidP="00C144B1">
      <w:pPr>
        <w:pStyle w:val="Bulletlist2"/>
      </w:pPr>
      <w:r>
        <w:lastRenderedPageBreak/>
        <w:t>hydrolysis</w:t>
      </w:r>
    </w:p>
    <w:p w14:paraId="5E19F9D7" w14:textId="77777777" w:rsidR="00A86372" w:rsidRDefault="00A86372" w:rsidP="00C144B1">
      <w:pPr>
        <w:pStyle w:val="Bulletlist2"/>
      </w:pPr>
      <w:r>
        <w:t>heat</w:t>
      </w:r>
    </w:p>
    <w:p w14:paraId="25928D8A" w14:textId="77777777" w:rsidR="00A86372" w:rsidRDefault="00A86372" w:rsidP="00C144B1">
      <w:pPr>
        <w:pStyle w:val="Bulletlist2"/>
      </w:pPr>
      <w:r>
        <w:t>sunlight</w:t>
      </w:r>
    </w:p>
    <w:p w14:paraId="024CB836" w14:textId="77777777" w:rsidR="00A86372" w:rsidRDefault="00A86372" w:rsidP="00C144B1">
      <w:pPr>
        <w:pStyle w:val="Bulletlist2"/>
      </w:pPr>
      <w:r>
        <w:t>attack by solvents</w:t>
      </w:r>
    </w:p>
    <w:p w14:paraId="54439142" w14:textId="77777777" w:rsidR="008956BF" w:rsidRDefault="00A86372" w:rsidP="00C144B1">
      <w:pPr>
        <w:pStyle w:val="Bulletlist2"/>
      </w:pPr>
      <w:r>
        <w:t>microbial action.</w:t>
      </w:r>
    </w:p>
    <w:p w14:paraId="3F28802C" w14:textId="77777777" w:rsidR="000F4931" w:rsidRDefault="000F4931" w:rsidP="008F07BF">
      <w:pPr>
        <w:pStyle w:val="Heading3"/>
      </w:pPr>
      <w:r>
        <w:t>6.30.2</w:t>
      </w:r>
      <w:r w:rsidR="0080358F">
        <w:tab/>
      </w:r>
      <w:r>
        <w:t xml:space="preserve">Section 30 of the IC General Rules </w:t>
      </w:r>
      <w:r w:rsidR="005B7E03">
        <w:t>–</w:t>
      </w:r>
      <w:r>
        <w:t xml:space="preserve"> Information required to demonstrate the absence of hazard characteristics </w:t>
      </w:r>
    </w:p>
    <w:p w14:paraId="0FC9F7BF" w14:textId="77777777" w:rsidR="000F4931" w:rsidRDefault="000F4931" w:rsidP="000F4931">
      <w:r>
        <w:t xml:space="preserve">For the purposes of subparagraph 30(2)(c)(iv) of the IC General Rules, the information required to demonstrate that a chemical does not have the hazard characteristic, </w:t>
      </w:r>
      <w:r w:rsidRPr="008B1AD2">
        <w:rPr>
          <w:b/>
          <w:bCs/>
        </w:rPr>
        <w:t>polymer that is not stable</w:t>
      </w:r>
      <w:r>
        <w:t>, is at least one of the following:</w:t>
      </w:r>
    </w:p>
    <w:p w14:paraId="5232131B" w14:textId="77777777" w:rsidR="000F4931" w:rsidRDefault="000F4931" w:rsidP="000A5B68">
      <w:pPr>
        <w:pStyle w:val="Bulletlist"/>
      </w:pPr>
      <w:r>
        <w:t>information that demonstrates that the polymer is protected from degradation by being encapsulated during use, or</w:t>
      </w:r>
    </w:p>
    <w:p w14:paraId="6613DFE7" w14:textId="77777777" w:rsidR="000F4931" w:rsidRDefault="000F4931" w:rsidP="000A5B68">
      <w:pPr>
        <w:pStyle w:val="Bulletlist"/>
      </w:pPr>
      <w:r>
        <w:t xml:space="preserve">information that demonstrates that </w:t>
      </w:r>
      <w:proofErr w:type="gramStart"/>
      <w:r>
        <w:t>all of</w:t>
      </w:r>
      <w:proofErr w:type="gramEnd"/>
      <w:r>
        <w:t xml:space="preserve"> the following applies to the polymer:</w:t>
      </w:r>
    </w:p>
    <w:p w14:paraId="23818CBE" w14:textId="77777777" w:rsidR="000F4931" w:rsidRDefault="000F4931" w:rsidP="00C144B1">
      <w:pPr>
        <w:pStyle w:val="Bulletlist2"/>
      </w:pPr>
      <w:r>
        <w:t>it is not designed to be pyrolysed or burnt, and</w:t>
      </w:r>
    </w:p>
    <w:p w14:paraId="3C01171C" w14:textId="77777777" w:rsidR="000F4931" w:rsidRDefault="000F4931" w:rsidP="00C144B1">
      <w:pPr>
        <w:pStyle w:val="Bulletlist2"/>
      </w:pPr>
      <w:r>
        <w:t>it is not designed or reasonably anticipated to substantially photodegrade, and</w:t>
      </w:r>
    </w:p>
    <w:p w14:paraId="10E06EF5" w14:textId="77777777" w:rsidR="000F4931" w:rsidRDefault="000F4931" w:rsidP="00C144B1">
      <w:pPr>
        <w:pStyle w:val="Bulletlist2"/>
      </w:pPr>
      <w:r>
        <w:t>it is not designed or reasonably anticipated to substantially biodegrade, and</w:t>
      </w:r>
    </w:p>
    <w:p w14:paraId="0D0D620E" w14:textId="77777777" w:rsidR="000F4931" w:rsidRDefault="000F4931" w:rsidP="00C144B1">
      <w:pPr>
        <w:pStyle w:val="Bulletlist2"/>
      </w:pPr>
      <w:r>
        <w:t>it is not explosive, and</w:t>
      </w:r>
    </w:p>
    <w:p w14:paraId="55777DA3" w14:textId="7B68DFC6" w:rsidR="000F4931" w:rsidRDefault="000F4931" w:rsidP="00C144B1">
      <w:pPr>
        <w:pStyle w:val="Bulletlist2"/>
      </w:pPr>
      <w:r>
        <w:t>it is hydrolytically stable (T½ ≥</w:t>
      </w:r>
      <w:r w:rsidR="00A41720">
        <w:t xml:space="preserve"> </w:t>
      </w:r>
      <w:r>
        <w:t>12 hours), and</w:t>
      </w:r>
    </w:p>
    <w:p w14:paraId="641BCC26" w14:textId="77777777" w:rsidR="000F4931" w:rsidRDefault="000F4931" w:rsidP="00C144B1">
      <w:pPr>
        <w:pStyle w:val="Bulletlist2"/>
      </w:pPr>
      <w:r>
        <w:t>it is not a biological polymer, and</w:t>
      </w:r>
    </w:p>
    <w:p w14:paraId="1973CA43" w14:textId="77777777" w:rsidR="000F4931" w:rsidRDefault="000F4931" w:rsidP="00C144B1">
      <w:pPr>
        <w:pStyle w:val="Bulletlist2"/>
      </w:pPr>
      <w:r>
        <w:t>it is not a polysaccharide, and</w:t>
      </w:r>
    </w:p>
    <w:p w14:paraId="0A233ADE" w14:textId="77777777" w:rsidR="000F4931" w:rsidRDefault="000F4931" w:rsidP="00C144B1">
      <w:pPr>
        <w:pStyle w:val="Bulletlist2"/>
      </w:pPr>
      <w:r>
        <w:t xml:space="preserve">if it is a polymer that contains polyethylene glycol (PEG) functionalities and has a solubility in water of &gt; 200 mg/L </w:t>
      </w:r>
      <w:r w:rsidR="0080358F">
        <w:t>–</w:t>
      </w:r>
      <w:r>
        <w:t xml:space="preserve"> measured data demonstrates that the polymer does not substantially biodegrade, and</w:t>
      </w:r>
    </w:p>
    <w:p w14:paraId="049617EA" w14:textId="77777777" w:rsidR="000F4931" w:rsidRDefault="000F4931" w:rsidP="00C144B1">
      <w:pPr>
        <w:pStyle w:val="Bulletlist2"/>
      </w:pPr>
      <w:r>
        <w:t xml:space="preserve">if it is a polymer that contains polypropylene glycol (PPG) functionalities and has a solubility in water of &gt; 200 mg/L </w:t>
      </w:r>
      <w:r w:rsidR="0080358F">
        <w:t>–</w:t>
      </w:r>
      <w:r>
        <w:t xml:space="preserve"> measured data demonstrates that the polymer does not substantially biodegrade.</w:t>
      </w:r>
    </w:p>
    <w:p w14:paraId="0D202781" w14:textId="77777777" w:rsidR="000F4931" w:rsidRDefault="000F4931" w:rsidP="008B1AD2">
      <w:pPr>
        <w:pStyle w:val="Heading2"/>
      </w:pPr>
      <w:bookmarkStart w:id="65" w:name="_Toc238816838"/>
      <w:r>
        <w:t>6.31</w:t>
      </w:r>
      <w:r w:rsidR="0080358F">
        <w:tab/>
      </w:r>
      <w:r>
        <w:t>Bioaccumulation potential – Environment hazard band A</w:t>
      </w:r>
      <w:bookmarkEnd w:id="65"/>
    </w:p>
    <w:p w14:paraId="25983BE2" w14:textId="77777777" w:rsidR="000F4931" w:rsidRDefault="000F4931" w:rsidP="008B1AD2">
      <w:pPr>
        <w:pStyle w:val="Heading3"/>
      </w:pPr>
      <w:r>
        <w:t>6.31.1 Clause 4 of Part 2, Schedule 1 to the IC General Rules</w:t>
      </w:r>
    </w:p>
    <w:p w14:paraId="5C3E1388" w14:textId="77777777" w:rsidR="000F4931" w:rsidRDefault="000F4931" w:rsidP="000F4931">
      <w:r>
        <w:t>For the purposes of table item 12 of Clause 4, Part 2, Schedule 1 to the IC General Rules:</w:t>
      </w:r>
    </w:p>
    <w:p w14:paraId="54803EB8" w14:textId="77777777" w:rsidR="000F4931" w:rsidRDefault="000F4931" w:rsidP="000F4931">
      <w:r w:rsidRPr="00D153FD">
        <w:rPr>
          <w:b/>
          <w:bCs/>
        </w:rPr>
        <w:t>Bioaccumulation potential</w:t>
      </w:r>
      <w:r>
        <w:t xml:space="preserve"> means that at least one of the following applies to the industrial chemical:</w:t>
      </w:r>
    </w:p>
    <w:p w14:paraId="56F2EB6A" w14:textId="77777777" w:rsidR="000F4931" w:rsidRDefault="000F4931" w:rsidP="000A5B68">
      <w:pPr>
        <w:pStyle w:val="Bulletlist"/>
      </w:pPr>
      <w:r>
        <w:t>it has a bioconcentration factor (BCF) ≥ 500, or</w:t>
      </w:r>
    </w:p>
    <w:p w14:paraId="403E21CA" w14:textId="77777777" w:rsidR="000F4931" w:rsidRDefault="000F4931" w:rsidP="000A5B68">
      <w:pPr>
        <w:pStyle w:val="Bulletlist"/>
      </w:pPr>
      <w:r>
        <w:t>it has a bioaccumulation factor (BAF) ≥ 500, or</w:t>
      </w:r>
    </w:p>
    <w:p w14:paraId="2AA32BE2" w14:textId="77777777" w:rsidR="008956BF" w:rsidRDefault="000F4931" w:rsidP="000A5B68">
      <w:pPr>
        <w:pStyle w:val="Bulletlist"/>
      </w:pPr>
      <w:r>
        <w:t>it has a partition coefficient (log Kow) ≥ 4.0 (un</w:t>
      </w:r>
      <w:r w:rsidR="008F07BF" w:rsidRPr="008F07BF">
        <w:t>less a measured BAF or BCF is &lt; 500).</w:t>
      </w:r>
    </w:p>
    <w:p w14:paraId="50D74D59" w14:textId="77777777" w:rsidR="000A4093" w:rsidRDefault="000A4093" w:rsidP="000A4093">
      <w:pPr>
        <w:pStyle w:val="Heading3"/>
      </w:pPr>
      <w:r>
        <w:t xml:space="preserve">6.31.2 Section 30 of the IC General Rules - Information required to demonstrate the absence of hazard characteristics </w:t>
      </w:r>
    </w:p>
    <w:p w14:paraId="6EBF3DC6" w14:textId="77777777" w:rsidR="000A4093" w:rsidRDefault="000A4093" w:rsidP="000A4093">
      <w:r>
        <w:t xml:space="preserve">For the purposes of subparagraph 30(2)(c)(iv) of the IC General Rules, the information required to demonstrate that a chemical does not have the hazard characteristic, </w:t>
      </w:r>
      <w:r w:rsidRPr="00030917">
        <w:rPr>
          <w:b/>
          <w:bCs/>
        </w:rPr>
        <w:t>bioaccumulation potential</w:t>
      </w:r>
      <w:r>
        <w:t>, is at least one of the following:</w:t>
      </w:r>
    </w:p>
    <w:p w14:paraId="39B1CB18" w14:textId="77777777" w:rsidR="000A4093" w:rsidRDefault="000A4093" w:rsidP="000A5B68">
      <w:pPr>
        <w:pStyle w:val="Bulletlist"/>
      </w:pPr>
      <w:r>
        <w:t>information that demonstrates that the chemical is an inorganic chemical, or</w:t>
      </w:r>
    </w:p>
    <w:p w14:paraId="74C91C6D" w14:textId="77777777" w:rsidR="000A4093" w:rsidRDefault="000A4093" w:rsidP="000A5B68">
      <w:pPr>
        <w:pStyle w:val="Bulletlist"/>
      </w:pPr>
      <w:r>
        <w:t>information that demonstrates that the chemical has a high molecular weight, or</w:t>
      </w:r>
    </w:p>
    <w:p w14:paraId="62547117" w14:textId="77777777" w:rsidR="000A4093" w:rsidRDefault="000A4093" w:rsidP="000A5B68">
      <w:pPr>
        <w:pStyle w:val="Bulletlist"/>
      </w:pPr>
      <w:r>
        <w:t>information that demonstrates that the chemical is a high molecular weight polymer with:</w:t>
      </w:r>
    </w:p>
    <w:p w14:paraId="5C8363FC" w14:textId="77777777" w:rsidR="000A4093" w:rsidRDefault="000A4093" w:rsidP="00C144B1">
      <w:pPr>
        <w:pStyle w:val="Bulletlist2"/>
      </w:pPr>
      <w:r>
        <w:t>&lt; 25% low molecular weight oligomeric species &lt; 1,000 g/mol</w:t>
      </w:r>
    </w:p>
    <w:p w14:paraId="379F9237" w14:textId="77777777" w:rsidR="000A4093" w:rsidRDefault="000A4093" w:rsidP="00C144B1">
      <w:pPr>
        <w:pStyle w:val="Bulletlist2"/>
      </w:pPr>
      <w:r>
        <w:lastRenderedPageBreak/>
        <w:t>&lt; 10% low molecular weight oligomeric species &lt; 500 g/mol, or</w:t>
      </w:r>
    </w:p>
    <w:p w14:paraId="7FB90F62" w14:textId="465BD17E" w:rsidR="000A4093" w:rsidRDefault="000A4093" w:rsidP="000A5B68">
      <w:pPr>
        <w:pStyle w:val="Bulletlist"/>
      </w:pPr>
      <w:r>
        <w:t>information that demonstrates that the chemical has a solubility in water that is &gt; 5 g/L, measured following an acceptable test guideline for water solubility, or</w:t>
      </w:r>
    </w:p>
    <w:p w14:paraId="799026C6" w14:textId="77777777" w:rsidR="000A4093" w:rsidRDefault="000A4093" w:rsidP="000A5B68">
      <w:pPr>
        <w:pStyle w:val="Bulletlist"/>
      </w:pPr>
      <w:r>
        <w:t>information that demonstrates that the chemical is a gas that is not expected to partition to the aquatic compartment, or</w:t>
      </w:r>
    </w:p>
    <w:p w14:paraId="2A2C63A8" w14:textId="17B41471" w:rsidR="000A4093" w:rsidRDefault="00B335BD" w:rsidP="000A5B68">
      <w:pPr>
        <w:pStyle w:val="Bulletlist"/>
      </w:pPr>
      <w:r>
        <w:t xml:space="preserve">a </w:t>
      </w:r>
      <w:r w:rsidR="000A4093">
        <w:t>measured value from a study on the chemical or from suitable read-across information, conducted following an acceptable test guideline for partition coefficient, for which log Kow &lt; 4.0, or</w:t>
      </w:r>
    </w:p>
    <w:p w14:paraId="03F7E2E6" w14:textId="77777777" w:rsidR="000A4093" w:rsidRDefault="000A4093" w:rsidP="000A5B68">
      <w:pPr>
        <w:pStyle w:val="Bulletlist"/>
      </w:pPr>
      <w:r>
        <w:t>a suitable in silico prediction for partition coefficient of the chemical using KOWWIN on the chemical for log Kow &lt; 4.0 (that is not negated by a measured log Kow), or</w:t>
      </w:r>
    </w:p>
    <w:p w14:paraId="57C8543D" w14:textId="77777777" w:rsidR="000A4093" w:rsidRDefault="000A4093" w:rsidP="000A5B68">
      <w:pPr>
        <w:pStyle w:val="Bulletlist"/>
      </w:pPr>
      <w:r>
        <w:t>a test result from an in vivo study on the chemical or from suitable read-across information, conducted following an acceptable test guideline for bioconcentration, for which the BCF &lt; 500, or</w:t>
      </w:r>
    </w:p>
    <w:p w14:paraId="3B549B53" w14:textId="77777777" w:rsidR="008956BF" w:rsidRDefault="000A4093" w:rsidP="000A5B68">
      <w:pPr>
        <w:pStyle w:val="Bulletlist"/>
      </w:pPr>
      <w:r>
        <w:t xml:space="preserve">a test result from an in vivo study on the chemical or from suitable read-across information, conducted following an acceptable test guideline for bioaccumulation, </w:t>
      </w:r>
      <w:r w:rsidRPr="000A4093">
        <w:t>for which the BAF &lt; 500.</w:t>
      </w:r>
    </w:p>
    <w:p w14:paraId="37D79FF6" w14:textId="77777777" w:rsidR="00AD23ED" w:rsidRDefault="00AD23ED" w:rsidP="00AD23ED">
      <w:pPr>
        <w:pStyle w:val="Heading2"/>
      </w:pPr>
      <w:bookmarkStart w:id="66" w:name="_Toc238816839"/>
      <w:r>
        <w:t>6.32</w:t>
      </w:r>
      <w:r w:rsidR="005F0B42">
        <w:tab/>
      </w:r>
      <w:r>
        <w:t>Industrial chemical (other than a polymer) that does not meet the criteria for ready biodegradability – Environment hazard band A</w:t>
      </w:r>
      <w:bookmarkEnd w:id="66"/>
    </w:p>
    <w:p w14:paraId="66206DEA" w14:textId="77777777" w:rsidR="00AD23ED" w:rsidRDefault="00AD23ED" w:rsidP="00AD23ED">
      <w:pPr>
        <w:pStyle w:val="Heading3"/>
      </w:pPr>
      <w:r>
        <w:t>6.32.1</w:t>
      </w:r>
      <w:r w:rsidR="005F0B42">
        <w:tab/>
      </w:r>
      <w:r>
        <w:t>Clause 4 of Part 2, Schedule 1 to the IC General Rules</w:t>
      </w:r>
    </w:p>
    <w:p w14:paraId="0525AA24" w14:textId="77777777" w:rsidR="00AD23ED" w:rsidRDefault="00AD23ED" w:rsidP="00AD23ED">
      <w:r>
        <w:t>For the purposes of table item 13 of Clause 4, Part 2, Schedule 1 to the IC General Rules:</w:t>
      </w:r>
    </w:p>
    <w:p w14:paraId="10FCCB6C" w14:textId="77777777" w:rsidR="00AD23ED" w:rsidRDefault="00AD23ED" w:rsidP="00AD23ED">
      <w:r w:rsidRPr="00D205F6">
        <w:rPr>
          <w:b/>
          <w:bCs/>
        </w:rPr>
        <w:t>Industrial chemical (other than a polymer) that does not meet the criteria for ready biodegradability</w:t>
      </w:r>
      <w:r>
        <w:t>, means that a study on the chemical, conducted following an acceptable test guideline for ready biodegradability, results in at least one of the following, as relevant to the test method used, and within the period specified in the test method:</w:t>
      </w:r>
    </w:p>
    <w:p w14:paraId="4D14A562" w14:textId="77777777" w:rsidR="00AD23ED" w:rsidRDefault="00AD23ED" w:rsidP="000A5B68">
      <w:pPr>
        <w:pStyle w:val="Bulletlist"/>
      </w:pPr>
      <w:r>
        <w:t>≤ 70% dissolved organic carbon (DOC) removal, or</w:t>
      </w:r>
    </w:p>
    <w:p w14:paraId="2C196E74" w14:textId="77777777" w:rsidR="00AD23ED" w:rsidRDefault="00AD23ED" w:rsidP="000A5B68">
      <w:pPr>
        <w:pStyle w:val="Bulletlist"/>
      </w:pPr>
      <w:r>
        <w:t>≤ 60% theoretical carbon dioxide, or</w:t>
      </w:r>
    </w:p>
    <w:p w14:paraId="66AF276A" w14:textId="77777777" w:rsidR="006E216C" w:rsidRDefault="00AD23ED" w:rsidP="000A5B68">
      <w:pPr>
        <w:pStyle w:val="Bulletlist"/>
      </w:pPr>
      <w:r>
        <w:t>≤ 60% theoretical oxygen demand</w:t>
      </w:r>
    </w:p>
    <w:p w14:paraId="6887EE17" w14:textId="77777777" w:rsidR="005E3F1A" w:rsidRDefault="005E3F1A" w:rsidP="005E3F1A">
      <w:pPr>
        <w:pStyle w:val="Heading3"/>
      </w:pPr>
      <w:r>
        <w:t xml:space="preserve">6.32.2 Section 30 of the IC General Rules </w:t>
      </w:r>
      <w:r w:rsidR="005B7E03">
        <w:t>–</w:t>
      </w:r>
      <w:r>
        <w:t xml:space="preserve"> Information required to demonstrate the absence of hazard characteristics </w:t>
      </w:r>
    </w:p>
    <w:p w14:paraId="41C5C75D" w14:textId="77777777" w:rsidR="005E3F1A" w:rsidRDefault="005E3F1A" w:rsidP="005E3F1A">
      <w:r>
        <w:t xml:space="preserve">For the purposes of subparagraph 30(2)(c)(iv) of the IC General Rules, the information required to demonstrate that a chemical does not have the hazard characteristic, </w:t>
      </w:r>
      <w:r w:rsidRPr="008735EA">
        <w:rPr>
          <w:b/>
          <w:bCs/>
        </w:rPr>
        <w:t>industrial</w:t>
      </w:r>
      <w:r w:rsidR="001E14D9" w:rsidRPr="008735EA">
        <w:rPr>
          <w:b/>
          <w:bCs/>
        </w:rPr>
        <w:t xml:space="preserve"> </w:t>
      </w:r>
      <w:r w:rsidRPr="008735EA">
        <w:rPr>
          <w:b/>
          <w:bCs/>
        </w:rPr>
        <w:t>chemical (other than a polymer) that does not meet the criteria for ready biodegradability</w:t>
      </w:r>
      <w:r>
        <w:t>, is at least one of the following:</w:t>
      </w:r>
    </w:p>
    <w:p w14:paraId="5B7E20E9" w14:textId="77777777" w:rsidR="005E3F1A" w:rsidRDefault="005E3F1A" w:rsidP="000A5B68">
      <w:pPr>
        <w:pStyle w:val="Bulletlist"/>
      </w:pPr>
      <w:r>
        <w:t xml:space="preserve">information that demonstrates that the chemical is highly </w:t>
      </w:r>
      <w:proofErr w:type="gramStart"/>
      <w:r>
        <w:t>volatile</w:t>
      </w:r>
      <w:proofErr w:type="gramEnd"/>
      <w:r>
        <w:t xml:space="preserve"> and it is expected</w:t>
      </w:r>
      <w:r w:rsidR="008735EA">
        <w:t xml:space="preserve"> </w:t>
      </w:r>
      <w:r>
        <w:t>to predominately partition to the air compartment, or</w:t>
      </w:r>
    </w:p>
    <w:p w14:paraId="10C17A97" w14:textId="77777777" w:rsidR="005E3F1A" w:rsidRDefault="005E3F1A" w:rsidP="000A5B68">
      <w:pPr>
        <w:pStyle w:val="Bulletlist"/>
      </w:pPr>
      <w:r>
        <w:t>information that demonstrates that it is an inorganic chemical, or</w:t>
      </w:r>
    </w:p>
    <w:p w14:paraId="6988B491" w14:textId="77777777" w:rsidR="005E3F1A" w:rsidRDefault="005E3F1A" w:rsidP="000A5B68">
      <w:pPr>
        <w:pStyle w:val="Bulletlist"/>
      </w:pPr>
      <w:r>
        <w:t>information that demonstrates that it is a biological chemical, or</w:t>
      </w:r>
    </w:p>
    <w:p w14:paraId="3C8403FB" w14:textId="77777777" w:rsidR="005E3F1A" w:rsidRDefault="005E3F1A" w:rsidP="000A5B68">
      <w:pPr>
        <w:pStyle w:val="Bulletlist"/>
      </w:pPr>
      <w:r>
        <w:t>if the chemical is not a highly branched organic chemical</w:t>
      </w:r>
      <w:r w:rsidR="00017B2F">
        <w:rPr>
          <w:rStyle w:val="FootnoteReference"/>
        </w:rPr>
        <w:footnoteReference w:id="35"/>
      </w:r>
      <w:r w:rsidR="008735EA">
        <w:t xml:space="preserve"> </w:t>
      </w:r>
      <w:r>
        <w:t xml:space="preserve">– a test result from a study on the chemical or suitable read across information, conducted following an acceptable test guideline for </w:t>
      </w:r>
      <w:r>
        <w:lastRenderedPageBreak/>
        <w:t>ready biodegradability, which meets at least one of the following degradation pass levels during the period specified in the test method:</w:t>
      </w:r>
    </w:p>
    <w:p w14:paraId="2F997DD7" w14:textId="77777777" w:rsidR="005E3F1A" w:rsidRDefault="005E3F1A" w:rsidP="00C144B1">
      <w:pPr>
        <w:pStyle w:val="Bulletlist2"/>
      </w:pPr>
      <w:r>
        <w:t xml:space="preserve">tests based on dissolved organic carbon (DOC) </w:t>
      </w:r>
      <w:r w:rsidR="0092064F">
        <w:t>–</w:t>
      </w:r>
      <w:r>
        <w:t xml:space="preserve"> ≥ 70% DOC removal, or</w:t>
      </w:r>
    </w:p>
    <w:p w14:paraId="2E7D69CA" w14:textId="77777777" w:rsidR="005E3F1A" w:rsidRDefault="005E3F1A" w:rsidP="00C144B1">
      <w:pPr>
        <w:pStyle w:val="Bulletlist2"/>
      </w:pPr>
      <w:r>
        <w:t xml:space="preserve">tests based on carbon dioxide generation </w:t>
      </w:r>
      <w:r w:rsidR="0092064F">
        <w:t>–</w:t>
      </w:r>
      <w:r>
        <w:t xml:space="preserve"> ≥ 60% theoretical carbon dioxide</w:t>
      </w:r>
    </w:p>
    <w:p w14:paraId="1C502534" w14:textId="77777777" w:rsidR="005E3F1A" w:rsidRDefault="005E3F1A" w:rsidP="00C144B1">
      <w:pPr>
        <w:pStyle w:val="Bulletlist2"/>
      </w:pPr>
      <w:r>
        <w:t>tests based on oxygen depletion</w:t>
      </w:r>
      <w:r w:rsidR="0092064F">
        <w:t xml:space="preserve"> – </w:t>
      </w:r>
      <w:r>
        <w:t>≥ 60% theoretical oxygen demand, or</w:t>
      </w:r>
    </w:p>
    <w:p w14:paraId="49B005EB" w14:textId="77777777" w:rsidR="005E3F1A" w:rsidRDefault="005E3F1A" w:rsidP="000A5B68">
      <w:pPr>
        <w:pStyle w:val="Bulletlist"/>
      </w:pPr>
      <w:r>
        <w:t>a test result from a study on the chemical, conducted following an acceptable test guideline for ready biodegradability, which meets at least one of the following degradation pass levels during the period specified in the test method:</w:t>
      </w:r>
    </w:p>
    <w:p w14:paraId="00DFF3E6" w14:textId="77777777" w:rsidR="005E3F1A" w:rsidRDefault="005E3F1A" w:rsidP="00C144B1">
      <w:pPr>
        <w:pStyle w:val="Bulletlist2"/>
      </w:pPr>
      <w:r>
        <w:t xml:space="preserve">tests based on dissolved organic carbon (DOC) </w:t>
      </w:r>
      <w:r w:rsidR="00252766">
        <w:t>–</w:t>
      </w:r>
      <w:r>
        <w:t xml:space="preserve"> ≥ 70% DOC removal, or</w:t>
      </w:r>
    </w:p>
    <w:p w14:paraId="2A9C64C5" w14:textId="77777777" w:rsidR="005E3F1A" w:rsidRDefault="005E3F1A" w:rsidP="00C144B1">
      <w:pPr>
        <w:pStyle w:val="Bulletlist2"/>
      </w:pPr>
      <w:r>
        <w:t xml:space="preserve">tests based on carbon dioxide generation </w:t>
      </w:r>
      <w:r w:rsidR="00252766">
        <w:t>–</w:t>
      </w:r>
      <w:r>
        <w:t xml:space="preserve"> ≥ 60% theoretical carbon dioxide, or </w:t>
      </w:r>
    </w:p>
    <w:p w14:paraId="4CD2A578" w14:textId="77777777" w:rsidR="006E216C" w:rsidRDefault="005E3F1A" w:rsidP="00C144B1">
      <w:pPr>
        <w:pStyle w:val="Bulletlist2"/>
      </w:pPr>
      <w:r>
        <w:t xml:space="preserve">tests based on oxygen depletion </w:t>
      </w:r>
      <w:r w:rsidR="00252766">
        <w:t>–</w:t>
      </w:r>
      <w:r>
        <w:t xml:space="preserve"> ≥ 60% theoretical oxygen demand.</w:t>
      </w:r>
    </w:p>
    <w:p w14:paraId="4822D202" w14:textId="77777777" w:rsidR="00831F8B" w:rsidRDefault="00831F8B" w:rsidP="00831F8B">
      <w:pPr>
        <w:pStyle w:val="Heading2"/>
      </w:pPr>
      <w:bookmarkStart w:id="67" w:name="_Toc238816840"/>
      <w:r>
        <w:t>6.33</w:t>
      </w:r>
      <w:r w:rsidR="00B97EC9">
        <w:tab/>
      </w:r>
      <w:r>
        <w:t>Harmful to any aquatic life – Environment hazard band A</w:t>
      </w:r>
      <w:bookmarkEnd w:id="67"/>
    </w:p>
    <w:p w14:paraId="7ADF7DF9" w14:textId="77777777" w:rsidR="00831F8B" w:rsidRDefault="00831F8B" w:rsidP="00831F8B">
      <w:pPr>
        <w:pStyle w:val="Heading3"/>
      </w:pPr>
      <w:r>
        <w:t>6.33.1 Clause 4 of Part 2, Schedule 1 to the IC General Rules</w:t>
      </w:r>
    </w:p>
    <w:p w14:paraId="6AF0C532" w14:textId="77777777" w:rsidR="00831F8B" w:rsidRDefault="00831F8B" w:rsidP="00831F8B">
      <w:r>
        <w:t>For the purposes of table item 14 of Clause 4, Part 2, Schedule 1 to the IC General Rules:</w:t>
      </w:r>
    </w:p>
    <w:p w14:paraId="31CA063A" w14:textId="77777777" w:rsidR="006E216C" w:rsidRDefault="00831F8B" w:rsidP="00831F8B">
      <w:r w:rsidRPr="00831F8B">
        <w:rPr>
          <w:b/>
          <w:bCs/>
        </w:rPr>
        <w:t>Harmful to any aquatic life</w:t>
      </w:r>
      <w:r>
        <w:t xml:space="preserve"> means that any of the following apply to the industrial chemical:</w:t>
      </w:r>
    </w:p>
    <w:p w14:paraId="2E5DAAAD" w14:textId="77777777" w:rsidR="008102E8" w:rsidRDefault="008102E8" w:rsidP="000A5B68">
      <w:pPr>
        <w:pStyle w:val="Bulletlist"/>
      </w:pPr>
      <w:r>
        <w:t>the chemical is known to cause:</w:t>
      </w:r>
    </w:p>
    <w:p w14:paraId="5A696CE3" w14:textId="77777777" w:rsidR="008102E8" w:rsidRDefault="008102E8" w:rsidP="00C144B1">
      <w:pPr>
        <w:pStyle w:val="Bulletlist2"/>
      </w:pPr>
      <w:r>
        <w:t xml:space="preserve">toxic injury to an organism following short term aquatic </w:t>
      </w:r>
      <w:proofErr w:type="gramStart"/>
      <w:r>
        <w:t>exposure ,</w:t>
      </w:r>
      <w:proofErr w:type="gramEnd"/>
      <w:r>
        <w:t xml:space="preserve"> as described in chapter 4.1 of the GHS, with the chemical classified as acute aquatic toxicity (category 3), or</w:t>
      </w:r>
    </w:p>
    <w:p w14:paraId="19832998" w14:textId="77777777" w:rsidR="008102E8" w:rsidRDefault="008102E8" w:rsidP="00C144B1">
      <w:pPr>
        <w:pStyle w:val="Bulletlist2"/>
      </w:pPr>
      <w:r>
        <w:t xml:space="preserve">adverse effects to an organism during aquatic exposures determined in relation to the </w:t>
      </w:r>
      <w:proofErr w:type="gramStart"/>
      <w:r>
        <w:t>life-cycle</w:t>
      </w:r>
      <w:proofErr w:type="gramEnd"/>
      <w:r>
        <w:t xml:space="preserve"> of the organism, as described in chapter 4.1 of the GHS, with the chemical classified as chronic aquatic toxicity (category 3 or 4), or</w:t>
      </w:r>
    </w:p>
    <w:p w14:paraId="57DF59A0" w14:textId="77777777" w:rsidR="008102E8" w:rsidRDefault="008102E8" w:rsidP="000A5B68">
      <w:pPr>
        <w:pStyle w:val="Bulletlist"/>
      </w:pPr>
      <w:r>
        <w:t xml:space="preserve">an in vivo acute study on the chemical: </w:t>
      </w:r>
    </w:p>
    <w:p w14:paraId="2E7E2BD0" w14:textId="77777777" w:rsidR="008102E8" w:rsidRDefault="008102E8" w:rsidP="00C144B1">
      <w:pPr>
        <w:pStyle w:val="Bulletlist2"/>
      </w:pPr>
      <w:r>
        <w:t>conducted following an acceptable test guideline for acute toxicity to fish results in a 96 h LC50 &gt; 10 mg/L but ≤ 100 mg/L, or</w:t>
      </w:r>
    </w:p>
    <w:p w14:paraId="3963987D" w14:textId="77777777" w:rsidR="008102E8" w:rsidRDefault="008102E8" w:rsidP="00C144B1">
      <w:pPr>
        <w:pStyle w:val="Bulletlist2"/>
      </w:pPr>
      <w:r>
        <w:t>conducted following an acceptable test guideline for acute toxicity to invertebrates results in a 48 h EC50 &gt; 10 mg/L but ≤ 100 mg/L, or</w:t>
      </w:r>
    </w:p>
    <w:p w14:paraId="3CDDC9A7" w14:textId="77777777" w:rsidR="008102E8" w:rsidRDefault="008102E8" w:rsidP="00C144B1">
      <w:pPr>
        <w:pStyle w:val="Bulletlist2"/>
      </w:pPr>
      <w:r>
        <w:t>conducted following an acceptable test guideline for acute toxicity to algae or other aquatic plants results in a 72 or 96 h ErC50 &gt; 10 mg/L but ≤ 100 mg/L, or</w:t>
      </w:r>
    </w:p>
    <w:p w14:paraId="238DE822" w14:textId="77777777" w:rsidR="008102E8" w:rsidRDefault="008102E8" w:rsidP="000A5B68">
      <w:pPr>
        <w:pStyle w:val="Bulletlist"/>
      </w:pPr>
      <w:r>
        <w:t xml:space="preserve">an in vivo chronic study on the chemical conducted following an acceptable test guideline for chronic toxicity to fish, chronic toxicity to invertebrates, or chronic toxicity to algae or other aquatic plants results in a: </w:t>
      </w:r>
    </w:p>
    <w:p w14:paraId="160F1960" w14:textId="77777777" w:rsidR="008102E8" w:rsidRDefault="008102E8" w:rsidP="00C144B1">
      <w:pPr>
        <w:pStyle w:val="Bulletlist2"/>
      </w:pPr>
      <w:r>
        <w:t>NOEC or EC10 &gt; 0.1 mg/L but ≤ 1 mg/L (for chemicals that are readily biodegradable), or</w:t>
      </w:r>
    </w:p>
    <w:p w14:paraId="5C4D341E" w14:textId="55A4231D" w:rsidR="008102E8" w:rsidRDefault="008102E8" w:rsidP="000A5B68">
      <w:pPr>
        <w:pStyle w:val="Bulletlist"/>
      </w:pPr>
      <w:r>
        <w:t xml:space="preserve">a suitable in silico prediction for acute aquatic toxicity results in a prediction of: </w:t>
      </w:r>
    </w:p>
    <w:p w14:paraId="18D53E3D" w14:textId="77777777" w:rsidR="008102E8" w:rsidRDefault="008102E8" w:rsidP="00C144B1">
      <w:pPr>
        <w:pStyle w:val="Bulletlist2"/>
      </w:pPr>
      <w:r>
        <w:t>for fish – 96 h LC50 &gt; 10 mg/L but ≤ 100 mg/L, or</w:t>
      </w:r>
    </w:p>
    <w:p w14:paraId="47C16DBF" w14:textId="77777777" w:rsidR="008102E8" w:rsidRDefault="008102E8" w:rsidP="00C144B1">
      <w:pPr>
        <w:pStyle w:val="Bulletlist2"/>
      </w:pPr>
      <w:r>
        <w:t>for invertebrates – 48 h EC50 &gt; 10 mg/L but ≤ 100 mg/L, or</w:t>
      </w:r>
    </w:p>
    <w:p w14:paraId="629C0C14" w14:textId="77777777" w:rsidR="008102E8" w:rsidRDefault="008102E8" w:rsidP="001565FA">
      <w:pPr>
        <w:pStyle w:val="Bulletlist2"/>
        <w:spacing w:after="0" w:afterAutospacing="0"/>
        <w:ind w:hanging="357"/>
      </w:pPr>
      <w:r>
        <w:t xml:space="preserve">for algae or other aquatic plants </w:t>
      </w:r>
      <w:r w:rsidR="005E2120">
        <w:t>–</w:t>
      </w:r>
      <w:r>
        <w:t xml:space="preserve"> 72 or 96 h ErC50 &gt; 10 mg/L but ≤ 100 mg/L.</w:t>
      </w:r>
    </w:p>
    <w:p w14:paraId="1788575A" w14:textId="77777777" w:rsidR="006E216C" w:rsidRDefault="008102E8" w:rsidP="001565FA">
      <w:pPr>
        <w:spacing w:before="0" w:beforeAutospacing="0"/>
        <w:ind w:left="720"/>
      </w:pPr>
      <w:r>
        <w:t>and the predictions have not been negated by in vivo studies conducted on the</w:t>
      </w:r>
      <w:r w:rsidR="001149E8">
        <w:t xml:space="preserve"> </w:t>
      </w:r>
      <w:r w:rsidR="001149E8" w:rsidRPr="001149E8">
        <w:t>chemical for aquatic toxicity.</w:t>
      </w:r>
    </w:p>
    <w:p w14:paraId="648BC360" w14:textId="77777777" w:rsidR="00DA20A4" w:rsidRDefault="00DA20A4" w:rsidP="00474092">
      <w:pPr>
        <w:pStyle w:val="Heading3"/>
      </w:pPr>
      <w:r>
        <w:t xml:space="preserve">6.33.2 Section 30 of the IC General Rules </w:t>
      </w:r>
      <w:r w:rsidR="00EF57C1">
        <w:t>–</w:t>
      </w:r>
      <w:r>
        <w:t xml:space="preserve"> Information required to demonstrate the absence of hazard characteristics </w:t>
      </w:r>
    </w:p>
    <w:p w14:paraId="60D3361B" w14:textId="77777777" w:rsidR="00DA20A4" w:rsidRDefault="00DA20A4" w:rsidP="00DA20A4">
      <w:r>
        <w:t xml:space="preserve">For the purposes of subparagraph 30(2)(c)(iv) of the IC General Rules, the information required to demonstrate that a chemical does not have the hazard characteristic, </w:t>
      </w:r>
      <w:r w:rsidRPr="00F663F2">
        <w:rPr>
          <w:b/>
          <w:bCs/>
        </w:rPr>
        <w:t>harmful to any aquatic life</w:t>
      </w:r>
      <w:r>
        <w:t>, is at least one of the following:</w:t>
      </w:r>
    </w:p>
    <w:p w14:paraId="21CF89CB" w14:textId="77777777" w:rsidR="00DA20A4" w:rsidRDefault="00DA20A4" w:rsidP="000A5B68">
      <w:pPr>
        <w:pStyle w:val="Bulletlist"/>
      </w:pPr>
      <w:r>
        <w:t>information that demonstrates that the chemical has a molecular weight &gt; 1,000 g/mol and has a low cationic density, or</w:t>
      </w:r>
    </w:p>
    <w:p w14:paraId="31E5FE5F" w14:textId="77777777" w:rsidR="00DA20A4" w:rsidRDefault="00DA20A4" w:rsidP="000A5B68">
      <w:pPr>
        <w:pStyle w:val="Bulletlist"/>
      </w:pPr>
      <w:r>
        <w:lastRenderedPageBreak/>
        <w:t>information that demonstrates that the chemical is a high molecular weight polymer that has a low cationic density, or</w:t>
      </w:r>
    </w:p>
    <w:p w14:paraId="5F5C633E" w14:textId="77777777" w:rsidR="006E216C" w:rsidRDefault="00DA20A4" w:rsidP="000A5B68">
      <w:pPr>
        <w:pStyle w:val="Bulletlist"/>
      </w:pPr>
      <w:r>
        <w:t>information that demonstrates that the chemical is a substance covered by Entry 9 of Annex V of the REACH Regulation, or</w:t>
      </w:r>
    </w:p>
    <w:p w14:paraId="76582E77" w14:textId="77777777" w:rsidR="00A2187F" w:rsidRDefault="00A2187F" w:rsidP="000A5B68">
      <w:pPr>
        <w:pStyle w:val="Bulletlist"/>
      </w:pPr>
      <w:r>
        <w:t>if the chemical is not a biocidal active and not a persistent, highly branched organic chemical</w:t>
      </w:r>
      <w:r w:rsidR="00465BB0">
        <w:rPr>
          <w:rStyle w:val="FootnoteReference"/>
        </w:rPr>
        <w:footnoteReference w:id="36"/>
      </w:r>
      <w:r>
        <w:t xml:space="preserve"> – information on aquatic toxicity for all three trophic levels (fish, invertebrates and algae), from suitable in silico predictions on the chemical or in vivo studies on the chemical or from suitable read-across information conducted following acceptable test guidelines for aquatic toxicity, with the following results for all three trophic levels:</w:t>
      </w:r>
    </w:p>
    <w:p w14:paraId="2FFB8F7B" w14:textId="77777777" w:rsidR="00B94BCA" w:rsidRDefault="00A2187F" w:rsidP="00C144B1">
      <w:pPr>
        <w:pStyle w:val="Bulletlist2"/>
      </w:pPr>
      <w:r>
        <w:t>acute aquatic toxicity &gt; 100 mg/L (LC50 (fish), or EC50 (invertebrates) or ErC50 (algae)), or</w:t>
      </w:r>
    </w:p>
    <w:p w14:paraId="60BC2C16" w14:textId="77777777" w:rsidR="00A2187F" w:rsidRDefault="00A2187F" w:rsidP="00C144B1">
      <w:pPr>
        <w:pStyle w:val="Bulletlist2"/>
      </w:pPr>
      <w:r>
        <w:t>chronic aquatic toxicity NOEC or EC10 &gt; 1 mg/L (for chemicals that are readily biodegradable), or</w:t>
      </w:r>
    </w:p>
    <w:p w14:paraId="2DF42FFE" w14:textId="77777777" w:rsidR="00A2187F" w:rsidRDefault="00A2187F" w:rsidP="000A5B68">
      <w:pPr>
        <w:pStyle w:val="Bulletlist"/>
      </w:pPr>
      <w:r>
        <w:t>test results for all three trophic levels (fish, invertebrates and algae) from in vivo studies on the chemical or from suitable read-across information, conducted following acceptable test guidelines for chronic aquatic toxicity with the following results for all three trophic levels:</w:t>
      </w:r>
    </w:p>
    <w:p w14:paraId="0BE2019D" w14:textId="77777777" w:rsidR="006E216C" w:rsidRDefault="00A2187F" w:rsidP="00C144B1">
      <w:pPr>
        <w:pStyle w:val="Bulletlist2"/>
      </w:pPr>
      <w:r>
        <w:t>NOEC or EC</w:t>
      </w:r>
      <w:r w:rsidRPr="00533697">
        <w:t>10</w:t>
      </w:r>
      <w:r>
        <w:t xml:space="preserve"> &gt; 1 mg/L (for chemicals that are readily biodegradable).</w:t>
      </w:r>
    </w:p>
    <w:p w14:paraId="78648B72" w14:textId="77777777" w:rsidR="00833484" w:rsidRDefault="00833484" w:rsidP="00833484">
      <w:pPr>
        <w:pStyle w:val="Heading1"/>
      </w:pPr>
      <w:bookmarkStart w:id="68" w:name="_Toc238816841"/>
      <w:r>
        <w:t>Definitions of terms in Schedule 2 to the IC General Rules</w:t>
      </w:r>
      <w:bookmarkEnd w:id="68"/>
    </w:p>
    <w:p w14:paraId="44468315" w14:textId="77777777" w:rsidR="00833484" w:rsidRDefault="00833484" w:rsidP="00FA2455">
      <w:pPr>
        <w:pStyle w:val="Heading2"/>
        <w:spacing w:before="100" w:after="100"/>
      </w:pPr>
      <w:bookmarkStart w:id="69" w:name="_Toc238816842"/>
      <w:r>
        <w:t xml:space="preserve">7.1 </w:t>
      </w:r>
      <w:r w:rsidR="00FA2455">
        <w:tab/>
      </w:r>
      <w:r>
        <w:t>Clause 1 of Part 1, Schedule 2 to the IC General Rules</w:t>
      </w:r>
      <w:bookmarkEnd w:id="69"/>
    </w:p>
    <w:p w14:paraId="601FA168" w14:textId="77777777" w:rsidR="00833484" w:rsidRDefault="00833484" w:rsidP="00833484">
      <w:pPr>
        <w:pStyle w:val="Heading3"/>
      </w:pPr>
      <w:r>
        <w:t xml:space="preserve">7.1.1 </w:t>
      </w:r>
      <w:r w:rsidR="00FA2455">
        <w:tab/>
      </w:r>
      <w:r>
        <w:t>Polymer is stable</w:t>
      </w:r>
    </w:p>
    <w:p w14:paraId="387FF863" w14:textId="77777777" w:rsidR="00833484" w:rsidRDefault="00833484" w:rsidP="00833484">
      <w:r>
        <w:t>For the purposes of paragraph (d) of Clause 1, Part 1, Schedule 2 of the IC General Rules:</w:t>
      </w:r>
    </w:p>
    <w:p w14:paraId="2068AD22" w14:textId="77777777" w:rsidR="00833484" w:rsidRDefault="00833484" w:rsidP="00833484">
      <w:r w:rsidRPr="004A3147">
        <w:rPr>
          <w:b/>
          <w:bCs/>
        </w:rPr>
        <w:t>Polymer is stable</w:t>
      </w:r>
      <w:r>
        <w:t xml:space="preserve"> means that </w:t>
      </w:r>
      <w:proofErr w:type="gramStart"/>
      <w:r>
        <w:t>all of</w:t>
      </w:r>
      <w:proofErr w:type="gramEnd"/>
      <w:r>
        <w:t xml:space="preserve"> the following apply to the industrial chemical:</w:t>
      </w:r>
    </w:p>
    <w:p w14:paraId="6AC6A98C" w14:textId="77777777" w:rsidR="00833484" w:rsidRPr="00CA545B" w:rsidRDefault="00833484" w:rsidP="000A5B68">
      <w:pPr>
        <w:pStyle w:val="Bulletlist"/>
      </w:pPr>
      <w:r w:rsidRPr="00CA545B">
        <w:t>the chemical is a polymer, and</w:t>
      </w:r>
    </w:p>
    <w:p w14:paraId="6263428A" w14:textId="77777777" w:rsidR="00833484" w:rsidRPr="00CA545B" w:rsidRDefault="00833484" w:rsidP="000A5B68">
      <w:pPr>
        <w:pStyle w:val="Bulletlist"/>
      </w:pPr>
      <w:r w:rsidRPr="00CA545B">
        <w:t>the polymer does not substantially degrade, decompose or depolymerise during use;</w:t>
      </w:r>
      <w:r w:rsidR="004A3147" w:rsidRPr="00CA545B">
        <w:t xml:space="preserve"> </w:t>
      </w:r>
      <w:r w:rsidRPr="00CA545B">
        <w:t>that is, the polymer is not considerably, meaningfully or to a significantly large extent, changed into simpler, smaller molecular weight chemicals as the result of processes including, but not limited to:</w:t>
      </w:r>
    </w:p>
    <w:p w14:paraId="14FC8A84" w14:textId="77777777" w:rsidR="00833484" w:rsidRPr="00EB2422" w:rsidRDefault="00833484" w:rsidP="00C144B1">
      <w:pPr>
        <w:pStyle w:val="Bulletlist2"/>
      </w:pPr>
      <w:r w:rsidRPr="00EB2422">
        <w:t>oxidation</w:t>
      </w:r>
    </w:p>
    <w:p w14:paraId="375AB063" w14:textId="77777777" w:rsidR="00833484" w:rsidRPr="00EB2422" w:rsidRDefault="00833484" w:rsidP="00C144B1">
      <w:pPr>
        <w:pStyle w:val="Bulletlist2"/>
      </w:pPr>
      <w:r w:rsidRPr="00EB2422">
        <w:t>hydrolysis</w:t>
      </w:r>
    </w:p>
    <w:p w14:paraId="2D2D95EA" w14:textId="77777777" w:rsidR="00833484" w:rsidRPr="00EB2422" w:rsidRDefault="00833484" w:rsidP="00C144B1">
      <w:pPr>
        <w:pStyle w:val="Bulletlist2"/>
      </w:pPr>
      <w:r w:rsidRPr="00EB2422">
        <w:t>heat</w:t>
      </w:r>
    </w:p>
    <w:p w14:paraId="48DD0494" w14:textId="77777777" w:rsidR="00833484" w:rsidRPr="00EB2422" w:rsidRDefault="00833484" w:rsidP="00C144B1">
      <w:pPr>
        <w:pStyle w:val="Bulletlist2"/>
      </w:pPr>
      <w:r w:rsidRPr="00EB2422">
        <w:t>sunlight</w:t>
      </w:r>
    </w:p>
    <w:p w14:paraId="6205820C" w14:textId="77777777" w:rsidR="006E216C" w:rsidRPr="00EB2422" w:rsidRDefault="00833484" w:rsidP="00C144B1">
      <w:pPr>
        <w:pStyle w:val="Bulletlist2"/>
      </w:pPr>
      <w:r w:rsidRPr="00EB2422">
        <w:t>attack by solvents</w:t>
      </w:r>
    </w:p>
    <w:p w14:paraId="085AEFDD" w14:textId="77777777" w:rsidR="00E16162" w:rsidRDefault="00CF6E21" w:rsidP="00C144B1">
      <w:pPr>
        <w:pStyle w:val="Bulletlist2"/>
      </w:pPr>
      <w:r w:rsidRPr="00CF6E21">
        <w:t>microbial action</w:t>
      </w:r>
      <w:r>
        <w:t>.</w:t>
      </w:r>
    </w:p>
    <w:p w14:paraId="23B09B2C" w14:textId="77777777" w:rsidR="000F7AF2" w:rsidRDefault="000F7AF2" w:rsidP="000F7AF2">
      <w:pPr>
        <w:pStyle w:val="Heading1"/>
      </w:pPr>
      <w:bookmarkStart w:id="70" w:name="_Toc238816843"/>
      <w:r>
        <w:lastRenderedPageBreak/>
        <w:t>Appendices</w:t>
      </w:r>
      <w:bookmarkEnd w:id="70"/>
    </w:p>
    <w:p w14:paraId="493DAF11" w14:textId="77777777" w:rsidR="000F7AF2" w:rsidRDefault="000F7AF2" w:rsidP="000F7AF2">
      <w:pPr>
        <w:pStyle w:val="Heading2"/>
      </w:pPr>
      <w:bookmarkStart w:id="71" w:name="_Toc238816844"/>
      <w:r>
        <w:t xml:space="preserve">8.1 </w:t>
      </w:r>
      <w:r w:rsidR="00FA2455">
        <w:tab/>
      </w:r>
      <w:r>
        <w:t>List of chemicals with high hazards for categorisation</w:t>
      </w:r>
      <w:bookmarkEnd w:id="71"/>
      <w:r>
        <w:t xml:space="preserve"> </w:t>
      </w:r>
    </w:p>
    <w:p w14:paraId="2F949596" w14:textId="3B592B06" w:rsidR="00C210EC" w:rsidRDefault="000F7AF2" w:rsidP="000F7AF2">
      <w:r>
        <w:t>The list of chemicals with high hazards for categorisation is part of this appendix. It is published as an excel spreadsheet on the AICIS website. It consists of industrial chemicals that are present on the following information sources:</w:t>
      </w:r>
    </w:p>
    <w:p w14:paraId="53E9B174" w14:textId="7A4614AC" w:rsidR="000F7AF2" w:rsidRDefault="000F7AF2" w:rsidP="000A5B68">
      <w:pPr>
        <w:pStyle w:val="Bulletlist"/>
      </w:pPr>
      <w:hyperlink r:id="rId18" w:history="1">
        <w:r w:rsidRPr="006F7ACB">
          <w:rPr>
            <w:rStyle w:val="Hyperlink"/>
          </w:rPr>
          <w:t>Safe Work Australia’s Hazardous Chemical Information System (HCIS)</w:t>
        </w:r>
      </w:hyperlink>
      <w:r>
        <w:t xml:space="preserve"> —</w:t>
      </w:r>
      <w:bookmarkStart w:id="72" w:name="_Hlk179361340"/>
      <w:r w:rsidR="00010FDA">
        <w:t xml:space="preserve"> </w:t>
      </w:r>
      <w:r>
        <w:t>Substances included on the list of chemicals with high hazards for categorisation are those classified for CMR and PBT.</w:t>
      </w:r>
      <w:bookmarkEnd w:id="72"/>
    </w:p>
    <w:p w14:paraId="474997AA" w14:textId="61FDC408" w:rsidR="000F7AF2" w:rsidRDefault="000F7AF2" w:rsidP="000A5B68">
      <w:pPr>
        <w:pStyle w:val="Bulletlist"/>
      </w:pPr>
      <w:r>
        <w:t xml:space="preserve">European Chemicals Agency (ECHA) Harmonised Classification and Labelling of Hazardous Substances </w:t>
      </w:r>
      <w:hyperlink r:id="rId19" w:history="1">
        <w:r w:rsidRPr="00AA0648">
          <w:rPr>
            <w:rStyle w:val="Hyperlink"/>
          </w:rPr>
          <w:t>(Annex VI to the CLP Regulation)</w:t>
        </w:r>
      </w:hyperlink>
      <w:r>
        <w:t xml:space="preserve"> —</w:t>
      </w:r>
      <w:bookmarkStart w:id="73" w:name="_Hlk179361553"/>
      <w:r w:rsidR="008947FA">
        <w:t xml:space="preserve"> </w:t>
      </w:r>
      <w:r>
        <w:t>Substances included on the list of chemicals with high hazards for categorisation are those classified for CMR and PBT.</w:t>
      </w:r>
      <w:bookmarkEnd w:id="73"/>
    </w:p>
    <w:p w14:paraId="6D4C3D81" w14:textId="0EA20729" w:rsidR="000F7AF2" w:rsidRDefault="000F7AF2" w:rsidP="000A5B68">
      <w:pPr>
        <w:pStyle w:val="Bulletlist"/>
      </w:pPr>
      <w:hyperlink r:id="rId20" w:history="1">
        <w:r w:rsidRPr="005B29CA">
          <w:rPr>
            <w:rStyle w:val="Hyperlink"/>
          </w:rPr>
          <w:t>European Union Substances of Very High Concern (EU SVHC)</w:t>
        </w:r>
      </w:hyperlink>
      <w:r>
        <w:t xml:space="preserve"> — </w:t>
      </w:r>
      <w:bookmarkStart w:id="74" w:name="_Hlk179361606"/>
      <w:r>
        <w:t xml:space="preserve">Substances included on the list of chemicals with high hazards for categorisation are those that are identified as CMR, PBT, </w:t>
      </w:r>
      <w:proofErr w:type="spellStart"/>
      <w:r>
        <w:t>vPvB</w:t>
      </w:r>
      <w:proofErr w:type="spellEnd"/>
      <w:r>
        <w:t>, or having endocrine disrupting properties.</w:t>
      </w:r>
      <w:bookmarkEnd w:id="74"/>
    </w:p>
    <w:p w14:paraId="20E07B85" w14:textId="13743908" w:rsidR="000F7AF2" w:rsidRDefault="000F7AF2" w:rsidP="000A5B68">
      <w:pPr>
        <w:pStyle w:val="Bulletlist"/>
      </w:pPr>
      <w:hyperlink r:id="rId21" w:history="1">
        <w:r w:rsidRPr="00E76C24">
          <w:rPr>
            <w:rStyle w:val="Hyperlink"/>
          </w:rPr>
          <w:t>United States National Toxicology Program (US NTP) Report on Carcinogens</w:t>
        </w:r>
      </w:hyperlink>
      <w:r>
        <w:t xml:space="preserve"> — Substances included on the list of chemicals with high hazards for categorisation are those that are known human carcinogens and those that are reasonably anticipated to be human carcinogens.</w:t>
      </w:r>
    </w:p>
    <w:p w14:paraId="5EEF6851" w14:textId="1A00D785" w:rsidR="000F7AF2" w:rsidRDefault="000F7AF2" w:rsidP="000A5B68">
      <w:pPr>
        <w:pStyle w:val="Bulletlist"/>
      </w:pPr>
      <w:hyperlink r:id="rId22" w:history="1">
        <w:r w:rsidRPr="004A7672">
          <w:rPr>
            <w:rStyle w:val="Hyperlink"/>
          </w:rPr>
          <w:t>International Agency for Research on Cancer (IARC) Monographs</w:t>
        </w:r>
      </w:hyperlink>
      <w:r>
        <w:t xml:space="preserve"> — Substances included on the list of chemicals with high hazards for categorisation are carcinogens classified in Groups 1, 2A and 2B.</w:t>
      </w:r>
    </w:p>
    <w:p w14:paraId="2181E4D0" w14:textId="405B08E7" w:rsidR="000F7AF2" w:rsidRDefault="000F7AF2" w:rsidP="000A5B68">
      <w:pPr>
        <w:pStyle w:val="Bulletlist"/>
      </w:pPr>
      <w:hyperlink r:id="rId23" w:history="1">
        <w:r w:rsidRPr="002C0551">
          <w:rPr>
            <w:rStyle w:val="Hyperlink"/>
          </w:rPr>
          <w:t>European Commission Endocrine Disruptors Strategy</w:t>
        </w:r>
      </w:hyperlink>
      <w:r>
        <w:t xml:space="preserve"> — Substances included on the list of chemicals with high hazards for categorisation are those listed in Category 1, identified as having endocrine activity in at least one animal study.</w:t>
      </w:r>
    </w:p>
    <w:p w14:paraId="0F33BCEF" w14:textId="38E9C460" w:rsidR="000F7AF2" w:rsidRDefault="000F7AF2" w:rsidP="000A5B68">
      <w:pPr>
        <w:pStyle w:val="Bulletlist"/>
      </w:pPr>
      <w:hyperlink r:id="rId24" w:history="1">
        <w:r w:rsidRPr="005C0573">
          <w:rPr>
            <w:rStyle w:val="Hyperlink"/>
          </w:rPr>
          <w:t>United Nations Environment Programme scientific knowledge on endocrine disrupting chemicals</w:t>
        </w:r>
      </w:hyperlink>
      <w:r>
        <w:t xml:space="preserve"> — Substances included on the list of chemicals with high hazards for categorisation are those identified as having known or potential endocrine activity.</w:t>
      </w:r>
    </w:p>
    <w:p w14:paraId="4EE3C73C" w14:textId="01BADC91" w:rsidR="000F7AF2" w:rsidRDefault="000F7AF2" w:rsidP="000A5B68">
      <w:pPr>
        <w:pStyle w:val="Bulletlist"/>
      </w:pPr>
      <w:hyperlink r:id="rId25" w:history="1">
        <w:r w:rsidRPr="00142659">
          <w:rPr>
            <w:rStyle w:val="Hyperlink"/>
          </w:rPr>
          <w:t>Chemical Substances Control Law of Japan</w:t>
        </w:r>
      </w:hyperlink>
      <w:r>
        <w:t xml:space="preserve"> (CSCL) Class I Specified Chemical Substances — </w:t>
      </w:r>
      <w:bookmarkStart w:id="75" w:name="_Hlk179361934"/>
      <w:r>
        <w:t>Substances included on the list of chemicals with high hazards for categorisation are those identified as PBT.</w:t>
      </w:r>
      <w:bookmarkEnd w:id="75"/>
    </w:p>
    <w:p w14:paraId="135F1B4C" w14:textId="093EC27F" w:rsidR="000F7AF2" w:rsidRDefault="000F7AF2" w:rsidP="000A5B68">
      <w:pPr>
        <w:pStyle w:val="Bulletlist"/>
      </w:pPr>
      <w:hyperlink r:id="rId26" w:history="1">
        <w:r w:rsidRPr="00134A8F">
          <w:rPr>
            <w:rStyle w:val="Hyperlink"/>
          </w:rPr>
          <w:t>European Chemicals Agency (ECHA) REACH Annex XIV Authorisation</w:t>
        </w:r>
      </w:hyperlink>
      <w:r>
        <w:t xml:space="preserve"> — </w:t>
      </w:r>
      <w:bookmarkStart w:id="76" w:name="_Hlk179361964"/>
      <w:r>
        <w:t xml:space="preserve">Substances included on the list of chemicals with high hazards for categorisation are those identified as CMR, PBT or </w:t>
      </w:r>
      <w:proofErr w:type="spellStart"/>
      <w:r>
        <w:t>vPvB</w:t>
      </w:r>
      <w:proofErr w:type="spellEnd"/>
      <w:r>
        <w:t xml:space="preserve">, or having </w:t>
      </w:r>
      <w:r w:rsidR="002249B7" w:rsidRPr="002249B7">
        <w:t>endocrine-disrupting propertie</w:t>
      </w:r>
      <w:r w:rsidR="002249B7">
        <w:t>s</w:t>
      </w:r>
      <w:r>
        <w:t>.</w:t>
      </w:r>
      <w:bookmarkEnd w:id="76"/>
    </w:p>
    <w:p w14:paraId="42A6E590" w14:textId="04013647" w:rsidR="000F7AF2" w:rsidRDefault="000F7AF2" w:rsidP="000A5B68">
      <w:pPr>
        <w:pStyle w:val="Bulletlist"/>
      </w:pPr>
      <w:hyperlink r:id="rId27" w:history="1">
        <w:r w:rsidRPr="00391830">
          <w:rPr>
            <w:rStyle w:val="Hyperlink"/>
          </w:rPr>
          <w:t>European Commission Endocrine Disruptor List</w:t>
        </w:r>
      </w:hyperlink>
      <w:r>
        <w:t xml:space="preserve"> – Substances included on the list of chemicals with high hazards for categorisation are those on List I, identified as endocrine disruptors at EU level.</w:t>
      </w:r>
    </w:p>
    <w:p w14:paraId="17C18C92" w14:textId="77777777" w:rsidR="00E16162" w:rsidRDefault="000F7AF2" w:rsidP="000A5B68">
      <w:pPr>
        <w:pStyle w:val="Bulletlist"/>
      </w:pPr>
      <w:bookmarkStart w:id="77" w:name="_Hlk178666475"/>
      <w:r>
        <w:t>Chemicals that have been assessed or evaluated under the Industrial Chemicals Act</w:t>
      </w:r>
      <w:r w:rsidR="008F480D">
        <w:t xml:space="preserve"> </w:t>
      </w:r>
      <w:r>
        <w:t>2019 or the Industrial Chemicals (Notification and Assessment) Act 1989</w:t>
      </w:r>
      <w:bookmarkEnd w:id="77"/>
      <w:r>
        <w:t>. Substances included on the list of chemicals with high hazards for categorisation are those identified as having hazard characteristics in human health hazard band C or environment hazard bands D or C. Substances are added at the discretion of the Executive Director of the Australian Industrial Chemicals Introduction Scheme.</w:t>
      </w:r>
    </w:p>
    <w:p w14:paraId="773A8CE9" w14:textId="77777777" w:rsidR="000C6064" w:rsidRDefault="000C6064" w:rsidP="003744A9">
      <w:pPr>
        <w:pStyle w:val="Heading2"/>
      </w:pPr>
      <w:bookmarkStart w:id="78" w:name="_Toc238816845"/>
      <w:r>
        <w:t>8.2</w:t>
      </w:r>
      <w:r w:rsidR="00B97EC9">
        <w:tab/>
      </w:r>
      <w:r>
        <w:t>In silico predictions</w:t>
      </w:r>
      <w:bookmarkEnd w:id="78"/>
    </w:p>
    <w:p w14:paraId="1C3CB89D" w14:textId="64029514" w:rsidR="000C6064" w:rsidRDefault="000C6064" w:rsidP="000C6064">
      <w:r w:rsidRPr="002E3771">
        <w:rPr>
          <w:b/>
          <w:bCs/>
        </w:rPr>
        <w:t>Tables 1 and 2</w:t>
      </w:r>
      <w:r>
        <w:t xml:space="preserve"> </w:t>
      </w:r>
      <w:r w:rsidR="00495FDC">
        <w:t>show</w:t>
      </w:r>
      <w:r>
        <w:t xml:space="preserve"> which human health and environment hazard characteristics have in silico options, and which in silico</w:t>
      </w:r>
      <w:r w:rsidR="002E3771">
        <w:t xml:space="preserve"> </w:t>
      </w:r>
      <w:r>
        <w:t>models are appropriate.</w:t>
      </w:r>
    </w:p>
    <w:p w14:paraId="60831D26" w14:textId="77777777" w:rsidR="00E16162" w:rsidRDefault="000C6064" w:rsidP="008E647B">
      <w:pPr>
        <w:pStyle w:val="Tableheader"/>
      </w:pPr>
      <w:r>
        <w:t xml:space="preserve">Table 1 </w:t>
      </w:r>
      <w:r w:rsidR="005B7E03">
        <w:t>–</w:t>
      </w:r>
      <w:r>
        <w:t xml:space="preserve"> In silico models for human health hazard characteristics</w:t>
      </w:r>
    </w:p>
    <w:tbl>
      <w:tblPr>
        <w:tblStyle w:val="AICISTableBasic"/>
        <w:tblW w:w="5000" w:type="pct"/>
        <w:tblLook w:val="0620" w:firstRow="1" w:lastRow="0" w:firstColumn="0" w:lastColumn="0" w:noHBand="1" w:noVBand="1"/>
      </w:tblPr>
      <w:tblGrid>
        <w:gridCol w:w="1824"/>
        <w:gridCol w:w="1010"/>
        <w:gridCol w:w="1211"/>
        <w:gridCol w:w="1093"/>
        <w:gridCol w:w="1529"/>
        <w:gridCol w:w="1529"/>
        <w:gridCol w:w="1442"/>
      </w:tblGrid>
      <w:tr w:rsidR="00BE3E33" w:rsidRPr="00BB2472" w14:paraId="156EF6B7" w14:textId="77777777" w:rsidTr="00F35F77">
        <w:trPr>
          <w:trHeight w:val="920"/>
          <w:tblHeader/>
        </w:trPr>
        <w:tc>
          <w:tcPr>
            <w:tcW w:w="947" w:type="pct"/>
            <w:hideMark/>
          </w:tcPr>
          <w:p w14:paraId="21022AE6" w14:textId="77777777" w:rsidR="00BE3E33" w:rsidRPr="00BB2472" w:rsidRDefault="00BE3E33" w:rsidP="00541FBF">
            <w:pPr>
              <w:rPr>
                <w:rFonts w:cstheme="minorHAnsi"/>
                <w:b/>
                <w:szCs w:val="20"/>
              </w:rPr>
            </w:pPr>
            <w:r>
              <w:rPr>
                <w:rFonts w:cstheme="minorHAnsi"/>
                <w:b/>
                <w:szCs w:val="20"/>
              </w:rPr>
              <w:lastRenderedPageBreak/>
              <w:t>In silico model</w:t>
            </w:r>
          </w:p>
        </w:tc>
        <w:tc>
          <w:tcPr>
            <w:tcW w:w="524" w:type="pct"/>
            <w:hideMark/>
          </w:tcPr>
          <w:p w14:paraId="6B348933" w14:textId="77777777" w:rsidR="00BE3E33" w:rsidRPr="00BB2472" w:rsidRDefault="00BE3E33" w:rsidP="00541FBF">
            <w:pPr>
              <w:rPr>
                <w:rFonts w:cstheme="minorHAnsi"/>
                <w:b/>
                <w:szCs w:val="20"/>
              </w:rPr>
            </w:pPr>
            <w:r w:rsidRPr="00BB2472">
              <w:rPr>
                <w:rFonts w:cstheme="minorHAnsi"/>
                <w:b/>
                <w:szCs w:val="20"/>
              </w:rPr>
              <w:t>Acute toxicity</w:t>
            </w:r>
          </w:p>
        </w:tc>
        <w:tc>
          <w:tcPr>
            <w:tcW w:w="628" w:type="pct"/>
            <w:hideMark/>
          </w:tcPr>
          <w:p w14:paraId="59806CF3" w14:textId="77777777" w:rsidR="00BE3E33" w:rsidRPr="00BB2472" w:rsidRDefault="00BE3E33" w:rsidP="00541FBF">
            <w:pPr>
              <w:rPr>
                <w:rFonts w:cstheme="minorHAnsi"/>
                <w:b/>
                <w:szCs w:val="20"/>
              </w:rPr>
            </w:pPr>
            <w:r w:rsidRPr="00BB2472">
              <w:rPr>
                <w:rFonts w:cstheme="minorHAnsi"/>
                <w:b/>
                <w:szCs w:val="20"/>
              </w:rPr>
              <w:t>Skin irritation / Skin corrosion</w:t>
            </w:r>
          </w:p>
        </w:tc>
        <w:tc>
          <w:tcPr>
            <w:tcW w:w="567" w:type="pct"/>
            <w:hideMark/>
          </w:tcPr>
          <w:p w14:paraId="2EE09732" w14:textId="77777777" w:rsidR="00BE3E33" w:rsidRPr="00BB2472" w:rsidRDefault="00BE3E33" w:rsidP="00541FBF">
            <w:pPr>
              <w:rPr>
                <w:rFonts w:cstheme="minorHAnsi"/>
                <w:b/>
                <w:szCs w:val="20"/>
              </w:rPr>
            </w:pPr>
            <w:r w:rsidRPr="00BB2472">
              <w:rPr>
                <w:rFonts w:cstheme="minorHAnsi"/>
                <w:b/>
                <w:szCs w:val="20"/>
              </w:rPr>
              <w:t>Eye damage / Eye irritation</w:t>
            </w:r>
          </w:p>
        </w:tc>
        <w:tc>
          <w:tcPr>
            <w:tcW w:w="793" w:type="pct"/>
            <w:hideMark/>
          </w:tcPr>
          <w:p w14:paraId="791528BC" w14:textId="77777777" w:rsidR="00BE3E33" w:rsidRPr="00BB2472" w:rsidRDefault="00BE3E33" w:rsidP="00541FBF">
            <w:pPr>
              <w:rPr>
                <w:rFonts w:cstheme="minorHAnsi"/>
                <w:b/>
                <w:szCs w:val="20"/>
              </w:rPr>
            </w:pPr>
            <w:r w:rsidRPr="00BB2472">
              <w:rPr>
                <w:rFonts w:cstheme="minorHAnsi"/>
                <w:b/>
                <w:szCs w:val="20"/>
              </w:rPr>
              <w:t>Skin sensitisation</w:t>
            </w:r>
          </w:p>
        </w:tc>
        <w:tc>
          <w:tcPr>
            <w:tcW w:w="793" w:type="pct"/>
            <w:hideMark/>
          </w:tcPr>
          <w:p w14:paraId="3BC8B0C1" w14:textId="77777777" w:rsidR="00BE3E33" w:rsidRPr="00BB2472" w:rsidRDefault="00BE3E33" w:rsidP="00541FBF">
            <w:pPr>
              <w:rPr>
                <w:rFonts w:cstheme="minorHAnsi"/>
                <w:b/>
                <w:szCs w:val="20"/>
              </w:rPr>
            </w:pPr>
            <w:r w:rsidRPr="00BB2472">
              <w:rPr>
                <w:rFonts w:cstheme="minorHAnsi"/>
                <w:b/>
                <w:szCs w:val="20"/>
              </w:rPr>
              <w:t>Respiratory sensitisation</w:t>
            </w:r>
          </w:p>
        </w:tc>
        <w:tc>
          <w:tcPr>
            <w:tcW w:w="748" w:type="pct"/>
            <w:hideMark/>
          </w:tcPr>
          <w:p w14:paraId="1D31AAB7" w14:textId="77777777" w:rsidR="00BE3E33" w:rsidRPr="00BB2472" w:rsidRDefault="00BE3E33" w:rsidP="00541FBF">
            <w:pPr>
              <w:rPr>
                <w:rFonts w:cstheme="minorHAnsi"/>
                <w:b/>
                <w:szCs w:val="20"/>
              </w:rPr>
            </w:pPr>
            <w:r w:rsidRPr="00BB2472">
              <w:rPr>
                <w:rFonts w:cstheme="minorHAnsi"/>
                <w:b/>
                <w:szCs w:val="20"/>
              </w:rPr>
              <w:t>Gen</w:t>
            </w:r>
            <w:r>
              <w:rPr>
                <w:rFonts w:cstheme="minorHAnsi"/>
                <w:b/>
                <w:szCs w:val="20"/>
              </w:rPr>
              <w:t xml:space="preserve">etic </w:t>
            </w:r>
            <w:r w:rsidRPr="00BB2472">
              <w:rPr>
                <w:rFonts w:cstheme="minorHAnsi"/>
                <w:b/>
                <w:szCs w:val="20"/>
              </w:rPr>
              <w:t>toxicity</w:t>
            </w:r>
          </w:p>
        </w:tc>
      </w:tr>
      <w:tr w:rsidR="00BE3E33" w:rsidRPr="00BB2472" w14:paraId="0D1F3D82" w14:textId="77777777" w:rsidTr="00F35F77">
        <w:trPr>
          <w:trHeight w:val="920"/>
        </w:trPr>
        <w:tc>
          <w:tcPr>
            <w:tcW w:w="947" w:type="pct"/>
            <w:hideMark/>
          </w:tcPr>
          <w:p w14:paraId="5CFB81DA" w14:textId="3ABDC73A" w:rsidR="00BE3E33" w:rsidRPr="00BB2472" w:rsidRDefault="00BE3E33" w:rsidP="00541FBF">
            <w:pPr>
              <w:rPr>
                <w:rFonts w:cstheme="minorHAnsi"/>
                <w:szCs w:val="20"/>
              </w:rPr>
            </w:pPr>
            <w:hyperlink r:id="rId28" w:history="1">
              <w:r w:rsidRPr="005B788A">
                <w:rPr>
                  <w:rStyle w:val="Hyperlink"/>
                  <w:rFonts w:cstheme="minorHAnsi"/>
                  <w:szCs w:val="20"/>
                  <w:u w:color="A7A7A9" w:themeColor="text2" w:themeTint="99"/>
                </w:rPr>
                <w:t>OECD QSAR Toolbox</w:t>
              </w:r>
            </w:hyperlink>
          </w:p>
        </w:tc>
        <w:tc>
          <w:tcPr>
            <w:tcW w:w="524" w:type="pct"/>
            <w:hideMark/>
          </w:tcPr>
          <w:p w14:paraId="37B16AF4" w14:textId="77777777" w:rsidR="00BE3E33" w:rsidRPr="00BB2472" w:rsidRDefault="00BE3E33" w:rsidP="00541FBF">
            <w:pPr>
              <w:rPr>
                <w:rFonts w:cstheme="minorHAnsi"/>
                <w:szCs w:val="20"/>
              </w:rPr>
            </w:pPr>
            <w:r w:rsidRPr="00BB2472">
              <w:rPr>
                <w:rFonts w:cstheme="minorHAnsi"/>
                <w:szCs w:val="20"/>
              </w:rPr>
              <w:t>Yes</w:t>
            </w:r>
          </w:p>
        </w:tc>
        <w:tc>
          <w:tcPr>
            <w:tcW w:w="628" w:type="pct"/>
            <w:hideMark/>
          </w:tcPr>
          <w:p w14:paraId="2C60D58E" w14:textId="77777777" w:rsidR="00BE3E33" w:rsidRPr="00BB2472" w:rsidRDefault="00BE3E33" w:rsidP="00541FBF">
            <w:pPr>
              <w:rPr>
                <w:rFonts w:cstheme="minorHAnsi"/>
                <w:szCs w:val="20"/>
              </w:rPr>
            </w:pPr>
            <w:r w:rsidRPr="00BB2472">
              <w:rPr>
                <w:rFonts w:cstheme="minorHAnsi"/>
                <w:szCs w:val="20"/>
              </w:rPr>
              <w:t>Yes</w:t>
            </w:r>
          </w:p>
        </w:tc>
        <w:tc>
          <w:tcPr>
            <w:tcW w:w="567" w:type="pct"/>
            <w:hideMark/>
          </w:tcPr>
          <w:p w14:paraId="19ED63EF" w14:textId="77777777" w:rsidR="00BE3E33" w:rsidRPr="00BB2472" w:rsidRDefault="00BE3E33" w:rsidP="00541FBF">
            <w:pPr>
              <w:rPr>
                <w:rFonts w:cstheme="minorHAnsi"/>
                <w:szCs w:val="20"/>
              </w:rPr>
            </w:pPr>
            <w:r w:rsidRPr="00BB2472">
              <w:rPr>
                <w:rFonts w:cstheme="minorHAnsi"/>
                <w:szCs w:val="20"/>
              </w:rPr>
              <w:t>Yes</w:t>
            </w:r>
          </w:p>
        </w:tc>
        <w:tc>
          <w:tcPr>
            <w:tcW w:w="793" w:type="pct"/>
            <w:hideMark/>
          </w:tcPr>
          <w:p w14:paraId="431F75E8" w14:textId="77777777" w:rsidR="00BE3E33" w:rsidRPr="00BB2472" w:rsidRDefault="00BE3E33" w:rsidP="00541FBF">
            <w:pPr>
              <w:rPr>
                <w:rFonts w:cstheme="minorHAnsi"/>
                <w:szCs w:val="20"/>
              </w:rPr>
            </w:pPr>
            <w:r w:rsidRPr="00BB2472">
              <w:rPr>
                <w:rFonts w:cstheme="minorHAnsi"/>
                <w:szCs w:val="20"/>
              </w:rPr>
              <w:t>Yes</w:t>
            </w:r>
          </w:p>
        </w:tc>
        <w:tc>
          <w:tcPr>
            <w:tcW w:w="793" w:type="pct"/>
            <w:hideMark/>
          </w:tcPr>
          <w:p w14:paraId="28FB13F5" w14:textId="77777777" w:rsidR="00BE3E33" w:rsidRPr="00BB2472" w:rsidRDefault="00BE3E33" w:rsidP="00541FBF">
            <w:pPr>
              <w:rPr>
                <w:szCs w:val="20"/>
              </w:rPr>
            </w:pPr>
            <w:r w:rsidRPr="3CC0A409">
              <w:rPr>
                <w:szCs w:val="20"/>
              </w:rPr>
              <w:t>Yes</w:t>
            </w:r>
          </w:p>
        </w:tc>
        <w:tc>
          <w:tcPr>
            <w:tcW w:w="748" w:type="pct"/>
            <w:hideMark/>
          </w:tcPr>
          <w:p w14:paraId="43396D34" w14:textId="77777777" w:rsidR="00BE3E33" w:rsidRPr="00BB2472" w:rsidRDefault="00BE3E33" w:rsidP="00541FBF">
            <w:pPr>
              <w:rPr>
                <w:rFonts w:cstheme="minorHAnsi"/>
                <w:szCs w:val="20"/>
              </w:rPr>
            </w:pPr>
            <w:r w:rsidRPr="00BB2472">
              <w:rPr>
                <w:rFonts w:cstheme="minorHAnsi"/>
                <w:szCs w:val="20"/>
              </w:rPr>
              <w:t>Yes</w:t>
            </w:r>
          </w:p>
        </w:tc>
      </w:tr>
      <w:tr w:rsidR="00BE3E33" w:rsidRPr="00BB2472" w14:paraId="2C21C7B3" w14:textId="77777777" w:rsidTr="00F35F77">
        <w:trPr>
          <w:trHeight w:val="920"/>
        </w:trPr>
        <w:tc>
          <w:tcPr>
            <w:tcW w:w="947" w:type="pct"/>
            <w:hideMark/>
          </w:tcPr>
          <w:p w14:paraId="028760FF" w14:textId="556E7FB7" w:rsidR="00BE3E33" w:rsidRPr="00BB2472" w:rsidRDefault="00BE3E33" w:rsidP="00541FBF">
            <w:pPr>
              <w:rPr>
                <w:rFonts w:cstheme="minorHAnsi"/>
                <w:szCs w:val="20"/>
              </w:rPr>
            </w:pPr>
            <w:hyperlink r:id="rId29" w:history="1">
              <w:r w:rsidRPr="009048EA">
                <w:rPr>
                  <w:rStyle w:val="Hyperlink"/>
                  <w:rFonts w:cstheme="minorHAnsi"/>
                  <w:szCs w:val="20"/>
                  <w:u w:color="A7A7A9" w:themeColor="text2" w:themeTint="99"/>
                </w:rPr>
                <w:t>VEGA QSAR</w:t>
              </w:r>
            </w:hyperlink>
          </w:p>
        </w:tc>
        <w:tc>
          <w:tcPr>
            <w:tcW w:w="524" w:type="pct"/>
            <w:hideMark/>
          </w:tcPr>
          <w:p w14:paraId="1EA0D607" w14:textId="77777777" w:rsidR="00BE3E33" w:rsidRPr="00BB2472" w:rsidRDefault="005B7E03" w:rsidP="00541FBF">
            <w:pPr>
              <w:rPr>
                <w:rFonts w:cstheme="minorHAnsi"/>
                <w:szCs w:val="20"/>
              </w:rPr>
            </w:pPr>
            <w:r>
              <w:rPr>
                <w:rFonts w:cstheme="minorHAnsi"/>
                <w:szCs w:val="20"/>
              </w:rPr>
              <w:t>–</w:t>
            </w:r>
          </w:p>
        </w:tc>
        <w:tc>
          <w:tcPr>
            <w:tcW w:w="628" w:type="pct"/>
            <w:hideMark/>
          </w:tcPr>
          <w:p w14:paraId="1B3F97A6" w14:textId="77777777" w:rsidR="00BE3E33" w:rsidRPr="00BB2472" w:rsidRDefault="005B7E03" w:rsidP="00541FBF">
            <w:pPr>
              <w:rPr>
                <w:rFonts w:cstheme="minorHAnsi"/>
                <w:szCs w:val="20"/>
              </w:rPr>
            </w:pPr>
            <w:r>
              <w:rPr>
                <w:rFonts w:cstheme="minorHAnsi"/>
                <w:szCs w:val="20"/>
              </w:rPr>
              <w:t>–</w:t>
            </w:r>
          </w:p>
        </w:tc>
        <w:tc>
          <w:tcPr>
            <w:tcW w:w="567" w:type="pct"/>
            <w:hideMark/>
          </w:tcPr>
          <w:p w14:paraId="71A98242" w14:textId="77777777" w:rsidR="00BE3E33" w:rsidRPr="00BB2472" w:rsidRDefault="005B7E03" w:rsidP="00541FBF">
            <w:pPr>
              <w:rPr>
                <w:rFonts w:cstheme="minorHAnsi"/>
                <w:szCs w:val="20"/>
              </w:rPr>
            </w:pPr>
            <w:r>
              <w:rPr>
                <w:rFonts w:cstheme="minorHAnsi"/>
                <w:szCs w:val="20"/>
              </w:rPr>
              <w:t>–</w:t>
            </w:r>
          </w:p>
        </w:tc>
        <w:tc>
          <w:tcPr>
            <w:tcW w:w="793" w:type="pct"/>
            <w:hideMark/>
          </w:tcPr>
          <w:p w14:paraId="0EF71EB5" w14:textId="77777777" w:rsidR="00BE3E33" w:rsidRPr="00BB2472" w:rsidRDefault="00BE3E33" w:rsidP="00541FBF">
            <w:pPr>
              <w:rPr>
                <w:rFonts w:cstheme="minorHAnsi"/>
                <w:szCs w:val="20"/>
              </w:rPr>
            </w:pPr>
            <w:r w:rsidRPr="00BB2472">
              <w:rPr>
                <w:rFonts w:cstheme="minorHAnsi"/>
                <w:szCs w:val="20"/>
              </w:rPr>
              <w:t>Yes</w:t>
            </w:r>
          </w:p>
        </w:tc>
        <w:tc>
          <w:tcPr>
            <w:tcW w:w="793" w:type="pct"/>
            <w:hideMark/>
          </w:tcPr>
          <w:p w14:paraId="3961BBA1" w14:textId="77777777" w:rsidR="00BE3E33" w:rsidRPr="00BB2472" w:rsidRDefault="005B7E03" w:rsidP="00541FBF">
            <w:pPr>
              <w:rPr>
                <w:rFonts w:cstheme="minorHAnsi"/>
                <w:szCs w:val="20"/>
              </w:rPr>
            </w:pPr>
            <w:r>
              <w:rPr>
                <w:rFonts w:cstheme="minorHAnsi"/>
                <w:szCs w:val="20"/>
              </w:rPr>
              <w:t>–</w:t>
            </w:r>
          </w:p>
        </w:tc>
        <w:tc>
          <w:tcPr>
            <w:tcW w:w="748" w:type="pct"/>
            <w:hideMark/>
          </w:tcPr>
          <w:p w14:paraId="7567D9F7" w14:textId="77777777" w:rsidR="00BE3E33" w:rsidRPr="00BB2472" w:rsidRDefault="00BE3E33" w:rsidP="00541FBF">
            <w:pPr>
              <w:rPr>
                <w:rFonts w:cstheme="minorHAnsi"/>
                <w:szCs w:val="20"/>
              </w:rPr>
            </w:pPr>
            <w:r w:rsidRPr="00BB2472">
              <w:rPr>
                <w:rFonts w:cstheme="minorHAnsi"/>
                <w:szCs w:val="20"/>
              </w:rPr>
              <w:t>Yes</w:t>
            </w:r>
          </w:p>
        </w:tc>
      </w:tr>
      <w:tr w:rsidR="00BE3E33" w:rsidRPr="00BB2472" w14:paraId="08AEE987" w14:textId="77777777" w:rsidTr="00F35F77">
        <w:trPr>
          <w:trHeight w:val="920"/>
        </w:trPr>
        <w:tc>
          <w:tcPr>
            <w:tcW w:w="947" w:type="pct"/>
            <w:hideMark/>
          </w:tcPr>
          <w:p w14:paraId="26F6F851" w14:textId="5EDF1B37" w:rsidR="00BE3E33" w:rsidRPr="00BB2472" w:rsidRDefault="00BE3E33" w:rsidP="00541FBF">
            <w:pPr>
              <w:rPr>
                <w:rFonts w:cstheme="minorHAnsi"/>
                <w:szCs w:val="20"/>
              </w:rPr>
            </w:pPr>
            <w:hyperlink r:id="rId30" w:history="1">
              <w:r w:rsidRPr="009048EA">
                <w:rPr>
                  <w:rStyle w:val="Hyperlink"/>
                  <w:rFonts w:cstheme="minorHAnsi"/>
                  <w:szCs w:val="20"/>
                  <w:u w:color="A7A7A9" w:themeColor="text2" w:themeTint="99"/>
                </w:rPr>
                <w:t>Danish EPA QSAR Database</w:t>
              </w:r>
            </w:hyperlink>
          </w:p>
        </w:tc>
        <w:tc>
          <w:tcPr>
            <w:tcW w:w="524" w:type="pct"/>
            <w:hideMark/>
          </w:tcPr>
          <w:p w14:paraId="6BA1108B" w14:textId="77777777" w:rsidR="00BE3E33" w:rsidRPr="00BB2472" w:rsidRDefault="00BE3E33" w:rsidP="00541FBF">
            <w:pPr>
              <w:rPr>
                <w:rFonts w:cstheme="minorHAnsi"/>
                <w:szCs w:val="20"/>
              </w:rPr>
            </w:pPr>
            <w:r w:rsidRPr="00BB2472">
              <w:rPr>
                <w:rFonts w:cstheme="minorHAnsi"/>
                <w:szCs w:val="20"/>
              </w:rPr>
              <w:t>Yes</w:t>
            </w:r>
          </w:p>
        </w:tc>
        <w:tc>
          <w:tcPr>
            <w:tcW w:w="628" w:type="pct"/>
            <w:hideMark/>
          </w:tcPr>
          <w:p w14:paraId="1D048B86" w14:textId="77777777" w:rsidR="00BE3E33" w:rsidRPr="00BB2472" w:rsidRDefault="00BE3E33" w:rsidP="00541FBF">
            <w:pPr>
              <w:rPr>
                <w:rFonts w:cstheme="minorHAnsi"/>
                <w:szCs w:val="20"/>
              </w:rPr>
            </w:pPr>
            <w:r w:rsidRPr="00BB2472">
              <w:rPr>
                <w:rFonts w:cstheme="minorHAnsi"/>
                <w:szCs w:val="20"/>
              </w:rPr>
              <w:t>Yes</w:t>
            </w:r>
          </w:p>
        </w:tc>
        <w:tc>
          <w:tcPr>
            <w:tcW w:w="567" w:type="pct"/>
            <w:hideMark/>
          </w:tcPr>
          <w:p w14:paraId="5269643A" w14:textId="77777777" w:rsidR="00BE3E33" w:rsidRPr="00BB2472" w:rsidRDefault="005B7E03" w:rsidP="00541FBF">
            <w:pPr>
              <w:rPr>
                <w:rFonts w:cstheme="minorHAnsi"/>
                <w:szCs w:val="20"/>
              </w:rPr>
            </w:pPr>
            <w:r>
              <w:rPr>
                <w:rFonts w:cstheme="minorHAnsi"/>
                <w:szCs w:val="20"/>
              </w:rPr>
              <w:t>–</w:t>
            </w:r>
          </w:p>
        </w:tc>
        <w:tc>
          <w:tcPr>
            <w:tcW w:w="793" w:type="pct"/>
            <w:hideMark/>
          </w:tcPr>
          <w:p w14:paraId="3036E907" w14:textId="77777777" w:rsidR="00BE3E33" w:rsidRPr="00BB2472" w:rsidRDefault="00BE3E33" w:rsidP="00541FBF">
            <w:pPr>
              <w:rPr>
                <w:rFonts w:cstheme="minorHAnsi"/>
                <w:szCs w:val="20"/>
              </w:rPr>
            </w:pPr>
            <w:r w:rsidRPr="00BB2472">
              <w:rPr>
                <w:rFonts w:cstheme="minorHAnsi"/>
                <w:szCs w:val="20"/>
              </w:rPr>
              <w:t>Yes</w:t>
            </w:r>
          </w:p>
        </w:tc>
        <w:tc>
          <w:tcPr>
            <w:tcW w:w="793" w:type="pct"/>
            <w:hideMark/>
          </w:tcPr>
          <w:p w14:paraId="459670DB" w14:textId="77777777" w:rsidR="00BE3E33" w:rsidRPr="00BB2472" w:rsidRDefault="00BE3E33" w:rsidP="00541FBF">
            <w:pPr>
              <w:rPr>
                <w:rFonts w:cstheme="minorHAnsi"/>
                <w:szCs w:val="20"/>
              </w:rPr>
            </w:pPr>
            <w:r w:rsidRPr="00BB2472">
              <w:rPr>
                <w:rFonts w:cstheme="minorHAnsi"/>
                <w:szCs w:val="20"/>
              </w:rPr>
              <w:t>Yes</w:t>
            </w:r>
          </w:p>
        </w:tc>
        <w:tc>
          <w:tcPr>
            <w:tcW w:w="748" w:type="pct"/>
            <w:hideMark/>
          </w:tcPr>
          <w:p w14:paraId="37746E0E" w14:textId="77777777" w:rsidR="00BE3E33" w:rsidRPr="00BB2472" w:rsidRDefault="00BE3E33" w:rsidP="00541FBF">
            <w:pPr>
              <w:rPr>
                <w:rFonts w:cstheme="minorHAnsi"/>
                <w:szCs w:val="20"/>
              </w:rPr>
            </w:pPr>
            <w:r w:rsidRPr="00BB2472">
              <w:rPr>
                <w:rFonts w:cstheme="minorHAnsi"/>
                <w:szCs w:val="20"/>
              </w:rPr>
              <w:t>Yes</w:t>
            </w:r>
          </w:p>
        </w:tc>
      </w:tr>
      <w:tr w:rsidR="00BE3E33" w:rsidRPr="00BB2472" w14:paraId="68DF67DB" w14:textId="77777777" w:rsidTr="00F35F77">
        <w:trPr>
          <w:trHeight w:val="920"/>
        </w:trPr>
        <w:tc>
          <w:tcPr>
            <w:tcW w:w="947" w:type="pct"/>
            <w:hideMark/>
          </w:tcPr>
          <w:p w14:paraId="39419CBC" w14:textId="6CA59499" w:rsidR="00BE3E33" w:rsidRPr="00BB2472" w:rsidRDefault="00BE3E33" w:rsidP="00541FBF">
            <w:pPr>
              <w:rPr>
                <w:rFonts w:cstheme="minorHAnsi"/>
                <w:szCs w:val="20"/>
              </w:rPr>
            </w:pPr>
            <w:hyperlink r:id="rId31" w:history="1">
              <w:r w:rsidRPr="00042A1C">
                <w:rPr>
                  <w:rStyle w:val="Hyperlink"/>
                  <w:rFonts w:cstheme="minorHAnsi"/>
                  <w:szCs w:val="20"/>
                  <w:u w:color="A7A7A9" w:themeColor="text2" w:themeTint="99"/>
                </w:rPr>
                <w:t>T.E.S.T.</w:t>
              </w:r>
            </w:hyperlink>
          </w:p>
        </w:tc>
        <w:tc>
          <w:tcPr>
            <w:tcW w:w="524" w:type="pct"/>
            <w:hideMark/>
          </w:tcPr>
          <w:p w14:paraId="2526B715" w14:textId="77777777" w:rsidR="00BE3E33" w:rsidRPr="00BB2472" w:rsidRDefault="00BE3E33" w:rsidP="00541FBF">
            <w:pPr>
              <w:rPr>
                <w:rFonts w:cstheme="minorHAnsi"/>
                <w:szCs w:val="20"/>
              </w:rPr>
            </w:pPr>
            <w:r w:rsidRPr="00BB2472">
              <w:rPr>
                <w:rFonts w:cstheme="minorHAnsi"/>
                <w:szCs w:val="20"/>
              </w:rPr>
              <w:t>Yes</w:t>
            </w:r>
          </w:p>
        </w:tc>
        <w:tc>
          <w:tcPr>
            <w:tcW w:w="628" w:type="pct"/>
            <w:hideMark/>
          </w:tcPr>
          <w:p w14:paraId="594A71DA" w14:textId="77777777" w:rsidR="00BE3E33" w:rsidRPr="00BB2472" w:rsidRDefault="005B7E03" w:rsidP="00541FBF">
            <w:pPr>
              <w:rPr>
                <w:rFonts w:cstheme="minorHAnsi"/>
                <w:szCs w:val="20"/>
              </w:rPr>
            </w:pPr>
            <w:r>
              <w:rPr>
                <w:rFonts w:cstheme="minorHAnsi"/>
                <w:szCs w:val="20"/>
              </w:rPr>
              <w:t>–</w:t>
            </w:r>
          </w:p>
        </w:tc>
        <w:tc>
          <w:tcPr>
            <w:tcW w:w="567" w:type="pct"/>
            <w:hideMark/>
          </w:tcPr>
          <w:p w14:paraId="17FE8E24" w14:textId="77777777" w:rsidR="00BE3E33" w:rsidRPr="00BB2472" w:rsidRDefault="005B7E03" w:rsidP="00541FBF">
            <w:pPr>
              <w:rPr>
                <w:rFonts w:cstheme="minorHAnsi"/>
                <w:szCs w:val="20"/>
              </w:rPr>
            </w:pPr>
            <w:r>
              <w:rPr>
                <w:rFonts w:cstheme="minorHAnsi"/>
                <w:szCs w:val="20"/>
              </w:rPr>
              <w:t>–</w:t>
            </w:r>
          </w:p>
        </w:tc>
        <w:tc>
          <w:tcPr>
            <w:tcW w:w="793" w:type="pct"/>
            <w:hideMark/>
          </w:tcPr>
          <w:p w14:paraId="1B9FBBAB" w14:textId="77777777" w:rsidR="00BE3E33" w:rsidRPr="00BB2472" w:rsidRDefault="005B7E03" w:rsidP="00541FBF">
            <w:pPr>
              <w:rPr>
                <w:rFonts w:cstheme="minorHAnsi"/>
                <w:szCs w:val="20"/>
              </w:rPr>
            </w:pPr>
            <w:r>
              <w:rPr>
                <w:rFonts w:cstheme="minorHAnsi"/>
                <w:szCs w:val="20"/>
              </w:rPr>
              <w:t>–</w:t>
            </w:r>
          </w:p>
        </w:tc>
        <w:tc>
          <w:tcPr>
            <w:tcW w:w="793" w:type="pct"/>
            <w:hideMark/>
          </w:tcPr>
          <w:p w14:paraId="59EF58A0" w14:textId="77777777" w:rsidR="00BE3E33" w:rsidRPr="00BB2472" w:rsidRDefault="005B7E03" w:rsidP="00541FBF">
            <w:pPr>
              <w:rPr>
                <w:szCs w:val="20"/>
              </w:rPr>
            </w:pPr>
            <w:r>
              <w:rPr>
                <w:szCs w:val="20"/>
              </w:rPr>
              <w:t>–</w:t>
            </w:r>
          </w:p>
        </w:tc>
        <w:tc>
          <w:tcPr>
            <w:tcW w:w="748" w:type="pct"/>
            <w:hideMark/>
          </w:tcPr>
          <w:p w14:paraId="4E27D33B" w14:textId="77777777" w:rsidR="00BE3E33" w:rsidRPr="00BB2472" w:rsidRDefault="00BE3E33" w:rsidP="00541FBF">
            <w:pPr>
              <w:rPr>
                <w:rFonts w:cstheme="minorHAnsi"/>
                <w:szCs w:val="20"/>
              </w:rPr>
            </w:pPr>
            <w:r w:rsidRPr="00BB2472">
              <w:rPr>
                <w:rFonts w:cstheme="minorHAnsi"/>
                <w:szCs w:val="20"/>
              </w:rPr>
              <w:t>Yes</w:t>
            </w:r>
          </w:p>
        </w:tc>
      </w:tr>
      <w:tr w:rsidR="00BE3E33" w:rsidRPr="00BB2472" w14:paraId="4ACD0E65" w14:textId="77777777" w:rsidTr="00F35F77">
        <w:trPr>
          <w:trHeight w:val="920"/>
        </w:trPr>
        <w:tc>
          <w:tcPr>
            <w:tcW w:w="947" w:type="pct"/>
            <w:hideMark/>
          </w:tcPr>
          <w:p w14:paraId="5DA02C33" w14:textId="400AF30D" w:rsidR="00BE3E33" w:rsidRPr="00BB2472" w:rsidRDefault="00BE3E33" w:rsidP="00541FBF">
            <w:pPr>
              <w:rPr>
                <w:rFonts w:cstheme="minorHAnsi"/>
                <w:szCs w:val="20"/>
              </w:rPr>
            </w:pPr>
            <w:hyperlink r:id="rId32" w:history="1">
              <w:proofErr w:type="spellStart"/>
              <w:r w:rsidRPr="00042A1C">
                <w:rPr>
                  <w:rStyle w:val="Hyperlink"/>
                  <w:rFonts w:cstheme="minorHAnsi"/>
                  <w:szCs w:val="20"/>
                  <w:u w:color="A7A7A9" w:themeColor="text2" w:themeTint="99"/>
                </w:rPr>
                <w:t>ToxTree</w:t>
              </w:r>
              <w:proofErr w:type="spellEnd"/>
            </w:hyperlink>
          </w:p>
        </w:tc>
        <w:tc>
          <w:tcPr>
            <w:tcW w:w="524" w:type="pct"/>
            <w:hideMark/>
          </w:tcPr>
          <w:p w14:paraId="64CC9317" w14:textId="77777777" w:rsidR="00BE3E33" w:rsidRPr="00BB2472" w:rsidRDefault="005B7E03" w:rsidP="00541FBF">
            <w:pPr>
              <w:rPr>
                <w:rFonts w:cstheme="minorHAnsi"/>
                <w:szCs w:val="20"/>
              </w:rPr>
            </w:pPr>
            <w:r>
              <w:rPr>
                <w:rFonts w:cstheme="minorHAnsi"/>
                <w:szCs w:val="20"/>
              </w:rPr>
              <w:t>–</w:t>
            </w:r>
          </w:p>
        </w:tc>
        <w:tc>
          <w:tcPr>
            <w:tcW w:w="628" w:type="pct"/>
            <w:hideMark/>
          </w:tcPr>
          <w:p w14:paraId="1733CF25" w14:textId="77777777" w:rsidR="00BE3E33" w:rsidRPr="00BB2472" w:rsidRDefault="00BE3E33" w:rsidP="00541FBF">
            <w:pPr>
              <w:rPr>
                <w:rFonts w:cstheme="minorHAnsi"/>
                <w:szCs w:val="20"/>
              </w:rPr>
            </w:pPr>
            <w:r>
              <w:rPr>
                <w:rFonts w:cstheme="minorHAnsi"/>
                <w:szCs w:val="20"/>
              </w:rPr>
              <w:t xml:space="preserve">Yes </w:t>
            </w:r>
          </w:p>
        </w:tc>
        <w:tc>
          <w:tcPr>
            <w:tcW w:w="567" w:type="pct"/>
            <w:hideMark/>
          </w:tcPr>
          <w:p w14:paraId="399E8699" w14:textId="77777777" w:rsidR="00BE3E33" w:rsidRPr="00BB2472" w:rsidRDefault="00BE3E33" w:rsidP="00541FBF">
            <w:pPr>
              <w:rPr>
                <w:rFonts w:cstheme="minorHAnsi"/>
                <w:szCs w:val="20"/>
              </w:rPr>
            </w:pPr>
            <w:r w:rsidRPr="00BB2472">
              <w:rPr>
                <w:rFonts w:cstheme="minorHAnsi"/>
                <w:szCs w:val="20"/>
              </w:rPr>
              <w:t>Yes</w:t>
            </w:r>
          </w:p>
        </w:tc>
        <w:tc>
          <w:tcPr>
            <w:tcW w:w="793" w:type="pct"/>
            <w:hideMark/>
          </w:tcPr>
          <w:p w14:paraId="119E725A" w14:textId="77777777" w:rsidR="00BE3E33" w:rsidRPr="00BB2472" w:rsidRDefault="00BE3E33" w:rsidP="00541FBF">
            <w:pPr>
              <w:rPr>
                <w:rFonts w:cstheme="minorHAnsi"/>
                <w:szCs w:val="20"/>
              </w:rPr>
            </w:pPr>
            <w:r w:rsidRPr="00BB2472">
              <w:rPr>
                <w:rFonts w:cstheme="minorHAnsi"/>
                <w:szCs w:val="20"/>
              </w:rPr>
              <w:t>Yes</w:t>
            </w:r>
          </w:p>
        </w:tc>
        <w:tc>
          <w:tcPr>
            <w:tcW w:w="793" w:type="pct"/>
            <w:hideMark/>
          </w:tcPr>
          <w:p w14:paraId="0695A736" w14:textId="77777777" w:rsidR="00BE3E33" w:rsidRPr="00AF062D" w:rsidRDefault="00BE3E33" w:rsidP="00541FBF">
            <w:pPr>
              <w:rPr>
                <w:szCs w:val="20"/>
              </w:rPr>
            </w:pPr>
            <w:r w:rsidRPr="2195FF8C">
              <w:rPr>
                <w:szCs w:val="20"/>
              </w:rPr>
              <w:t>Yes (as protein binding alerts)</w:t>
            </w:r>
          </w:p>
        </w:tc>
        <w:tc>
          <w:tcPr>
            <w:tcW w:w="748" w:type="pct"/>
            <w:hideMark/>
          </w:tcPr>
          <w:p w14:paraId="363C8528" w14:textId="77777777" w:rsidR="00BE3E33" w:rsidRPr="00BB2472" w:rsidRDefault="00BE3E33" w:rsidP="00541FBF">
            <w:pPr>
              <w:rPr>
                <w:rFonts w:cstheme="minorHAnsi"/>
                <w:szCs w:val="20"/>
              </w:rPr>
            </w:pPr>
            <w:r w:rsidRPr="00BB2472">
              <w:rPr>
                <w:rFonts w:cstheme="minorHAnsi"/>
                <w:szCs w:val="20"/>
              </w:rPr>
              <w:t>Yes</w:t>
            </w:r>
          </w:p>
        </w:tc>
      </w:tr>
      <w:tr w:rsidR="00BE3E33" w:rsidRPr="00BB2472" w14:paraId="37AA1A28" w14:textId="77777777" w:rsidTr="00F35F77">
        <w:trPr>
          <w:trHeight w:val="920"/>
        </w:trPr>
        <w:tc>
          <w:tcPr>
            <w:tcW w:w="947" w:type="pct"/>
            <w:hideMark/>
          </w:tcPr>
          <w:p w14:paraId="37AE21BE" w14:textId="498012E0" w:rsidR="00BE3E33" w:rsidRPr="00BB2472" w:rsidRDefault="00BE3E33" w:rsidP="00541FBF">
            <w:pPr>
              <w:rPr>
                <w:rFonts w:cstheme="minorHAnsi"/>
                <w:szCs w:val="20"/>
              </w:rPr>
            </w:pPr>
            <w:hyperlink r:id="rId33" w:history="1">
              <w:r w:rsidRPr="00042A1C">
                <w:rPr>
                  <w:rStyle w:val="Hyperlink"/>
                  <w:rFonts w:cstheme="minorHAnsi"/>
                  <w:szCs w:val="20"/>
                  <w:u w:color="A7A7A9" w:themeColor="text2" w:themeTint="99"/>
                </w:rPr>
                <w:t>Derek Nexus</w:t>
              </w:r>
            </w:hyperlink>
          </w:p>
        </w:tc>
        <w:tc>
          <w:tcPr>
            <w:tcW w:w="524" w:type="pct"/>
            <w:hideMark/>
          </w:tcPr>
          <w:p w14:paraId="2E5142D4" w14:textId="77777777" w:rsidR="00BE3E33" w:rsidRPr="00BB2472" w:rsidRDefault="005B7E03" w:rsidP="00541FBF">
            <w:pPr>
              <w:rPr>
                <w:szCs w:val="20"/>
              </w:rPr>
            </w:pPr>
            <w:r>
              <w:rPr>
                <w:szCs w:val="20"/>
              </w:rPr>
              <w:t>–</w:t>
            </w:r>
          </w:p>
        </w:tc>
        <w:tc>
          <w:tcPr>
            <w:tcW w:w="628" w:type="pct"/>
            <w:hideMark/>
          </w:tcPr>
          <w:p w14:paraId="7E7D7975" w14:textId="77777777" w:rsidR="00BE3E33" w:rsidRPr="00BB2472" w:rsidRDefault="00BE3E33" w:rsidP="00541FBF">
            <w:pPr>
              <w:rPr>
                <w:szCs w:val="20"/>
              </w:rPr>
            </w:pPr>
            <w:r w:rsidRPr="34FB6227">
              <w:rPr>
                <w:szCs w:val="20"/>
              </w:rPr>
              <w:t>Yes</w:t>
            </w:r>
          </w:p>
        </w:tc>
        <w:tc>
          <w:tcPr>
            <w:tcW w:w="567" w:type="pct"/>
            <w:hideMark/>
          </w:tcPr>
          <w:p w14:paraId="2EA9716B" w14:textId="77777777" w:rsidR="00BE3E33" w:rsidRPr="00BB2472" w:rsidRDefault="00BE3E33" w:rsidP="00541FBF">
            <w:pPr>
              <w:rPr>
                <w:szCs w:val="20"/>
              </w:rPr>
            </w:pPr>
            <w:r w:rsidRPr="34FB6227">
              <w:rPr>
                <w:szCs w:val="20"/>
              </w:rPr>
              <w:t>Yes</w:t>
            </w:r>
          </w:p>
        </w:tc>
        <w:tc>
          <w:tcPr>
            <w:tcW w:w="793" w:type="pct"/>
            <w:hideMark/>
          </w:tcPr>
          <w:p w14:paraId="3570EFB6" w14:textId="77777777" w:rsidR="00BE3E33" w:rsidRPr="00BB2472" w:rsidRDefault="00BE3E33" w:rsidP="00541FBF">
            <w:pPr>
              <w:rPr>
                <w:rFonts w:cstheme="minorHAnsi"/>
                <w:szCs w:val="20"/>
              </w:rPr>
            </w:pPr>
            <w:r w:rsidRPr="00BB2472">
              <w:rPr>
                <w:rFonts w:cstheme="minorHAnsi"/>
                <w:szCs w:val="20"/>
              </w:rPr>
              <w:t>Yes</w:t>
            </w:r>
          </w:p>
        </w:tc>
        <w:tc>
          <w:tcPr>
            <w:tcW w:w="793" w:type="pct"/>
            <w:hideMark/>
          </w:tcPr>
          <w:p w14:paraId="48A8EACA" w14:textId="77777777" w:rsidR="00BE3E33" w:rsidRPr="00AF062D" w:rsidRDefault="00BE3E33" w:rsidP="00541FBF">
            <w:pPr>
              <w:rPr>
                <w:szCs w:val="20"/>
                <w:highlight w:val="yellow"/>
              </w:rPr>
            </w:pPr>
            <w:r w:rsidRPr="34FB6227">
              <w:rPr>
                <w:szCs w:val="20"/>
              </w:rPr>
              <w:t>Yes</w:t>
            </w:r>
          </w:p>
        </w:tc>
        <w:tc>
          <w:tcPr>
            <w:tcW w:w="748" w:type="pct"/>
            <w:hideMark/>
          </w:tcPr>
          <w:p w14:paraId="134420C6" w14:textId="77777777" w:rsidR="00BE3E33" w:rsidRPr="00BB2472" w:rsidRDefault="00BE3E33" w:rsidP="00541FBF">
            <w:pPr>
              <w:rPr>
                <w:rFonts w:cstheme="minorHAnsi"/>
                <w:szCs w:val="20"/>
              </w:rPr>
            </w:pPr>
            <w:r w:rsidRPr="00BB2472">
              <w:rPr>
                <w:rFonts w:cstheme="minorHAnsi"/>
                <w:szCs w:val="20"/>
              </w:rPr>
              <w:t>Yes</w:t>
            </w:r>
          </w:p>
        </w:tc>
      </w:tr>
      <w:tr w:rsidR="00BE3E33" w:rsidRPr="00BB2472" w14:paraId="3C289ABB" w14:textId="77777777" w:rsidTr="00F35F77">
        <w:trPr>
          <w:trHeight w:val="920"/>
        </w:trPr>
        <w:tc>
          <w:tcPr>
            <w:tcW w:w="947" w:type="pct"/>
            <w:hideMark/>
          </w:tcPr>
          <w:p w14:paraId="13BA3C49" w14:textId="125831E0" w:rsidR="00BE3E33" w:rsidRPr="00BB2472" w:rsidRDefault="00BE3E33" w:rsidP="00541FBF">
            <w:pPr>
              <w:rPr>
                <w:rFonts w:cstheme="minorHAnsi"/>
                <w:szCs w:val="20"/>
              </w:rPr>
            </w:pPr>
            <w:hyperlink r:id="rId34" w:history="1">
              <w:r w:rsidRPr="00042A1C">
                <w:rPr>
                  <w:rStyle w:val="Hyperlink"/>
                  <w:rFonts w:cstheme="minorHAnsi"/>
                  <w:szCs w:val="20"/>
                  <w:u w:color="A7A7A9" w:themeColor="text2" w:themeTint="99"/>
                </w:rPr>
                <w:t>Sarah Nexus</w:t>
              </w:r>
            </w:hyperlink>
          </w:p>
        </w:tc>
        <w:tc>
          <w:tcPr>
            <w:tcW w:w="524" w:type="pct"/>
            <w:hideMark/>
          </w:tcPr>
          <w:p w14:paraId="6AA7887F" w14:textId="77777777" w:rsidR="00BE3E33" w:rsidRPr="00BB2472" w:rsidRDefault="005B7E03" w:rsidP="00541FBF">
            <w:pPr>
              <w:rPr>
                <w:rFonts w:cstheme="minorHAnsi"/>
                <w:szCs w:val="20"/>
              </w:rPr>
            </w:pPr>
            <w:r>
              <w:rPr>
                <w:rFonts w:cstheme="minorHAnsi"/>
                <w:szCs w:val="20"/>
              </w:rPr>
              <w:t>–</w:t>
            </w:r>
          </w:p>
        </w:tc>
        <w:tc>
          <w:tcPr>
            <w:tcW w:w="628" w:type="pct"/>
            <w:hideMark/>
          </w:tcPr>
          <w:p w14:paraId="382C5105" w14:textId="77777777" w:rsidR="00BE3E33" w:rsidRPr="00BB2472" w:rsidRDefault="005B7E03" w:rsidP="00541FBF">
            <w:pPr>
              <w:rPr>
                <w:rFonts w:cstheme="minorHAnsi"/>
                <w:szCs w:val="20"/>
              </w:rPr>
            </w:pPr>
            <w:r>
              <w:rPr>
                <w:rFonts w:cstheme="minorHAnsi"/>
                <w:szCs w:val="20"/>
              </w:rPr>
              <w:t>–</w:t>
            </w:r>
          </w:p>
        </w:tc>
        <w:tc>
          <w:tcPr>
            <w:tcW w:w="567" w:type="pct"/>
            <w:hideMark/>
          </w:tcPr>
          <w:p w14:paraId="172D0157" w14:textId="77777777" w:rsidR="00BE3E33" w:rsidRPr="00BB2472" w:rsidRDefault="005B7E03" w:rsidP="00541FBF">
            <w:pPr>
              <w:rPr>
                <w:rFonts w:cstheme="minorHAnsi"/>
                <w:szCs w:val="20"/>
              </w:rPr>
            </w:pPr>
            <w:r>
              <w:rPr>
                <w:rFonts w:cstheme="minorHAnsi"/>
                <w:szCs w:val="20"/>
              </w:rPr>
              <w:t>–</w:t>
            </w:r>
          </w:p>
        </w:tc>
        <w:tc>
          <w:tcPr>
            <w:tcW w:w="793" w:type="pct"/>
            <w:hideMark/>
          </w:tcPr>
          <w:p w14:paraId="349915E3" w14:textId="77777777" w:rsidR="00BE3E33" w:rsidRPr="00BB2472" w:rsidRDefault="005B7E03" w:rsidP="00541FBF">
            <w:pPr>
              <w:rPr>
                <w:rFonts w:cstheme="minorHAnsi"/>
                <w:szCs w:val="20"/>
              </w:rPr>
            </w:pPr>
            <w:r>
              <w:rPr>
                <w:rFonts w:cstheme="minorHAnsi"/>
                <w:szCs w:val="20"/>
              </w:rPr>
              <w:t>–</w:t>
            </w:r>
          </w:p>
        </w:tc>
        <w:tc>
          <w:tcPr>
            <w:tcW w:w="793" w:type="pct"/>
            <w:hideMark/>
          </w:tcPr>
          <w:p w14:paraId="6FE9708A" w14:textId="77777777" w:rsidR="00BE3E33" w:rsidRPr="00BB2472" w:rsidRDefault="005B7E03" w:rsidP="00541FBF">
            <w:pPr>
              <w:rPr>
                <w:rFonts w:cstheme="minorHAnsi"/>
                <w:szCs w:val="20"/>
              </w:rPr>
            </w:pPr>
            <w:r>
              <w:rPr>
                <w:rFonts w:cstheme="minorHAnsi"/>
                <w:szCs w:val="20"/>
              </w:rPr>
              <w:t>–</w:t>
            </w:r>
          </w:p>
        </w:tc>
        <w:tc>
          <w:tcPr>
            <w:tcW w:w="748" w:type="pct"/>
            <w:hideMark/>
          </w:tcPr>
          <w:p w14:paraId="698F5E7C" w14:textId="77777777" w:rsidR="00BE3E33" w:rsidRPr="00BB2472" w:rsidRDefault="00BE3E33" w:rsidP="00541FBF">
            <w:pPr>
              <w:rPr>
                <w:rFonts w:cstheme="minorHAnsi"/>
                <w:szCs w:val="20"/>
              </w:rPr>
            </w:pPr>
            <w:r w:rsidRPr="00BB2472">
              <w:rPr>
                <w:rFonts w:cstheme="minorHAnsi"/>
                <w:szCs w:val="20"/>
              </w:rPr>
              <w:t>Yes</w:t>
            </w:r>
          </w:p>
        </w:tc>
      </w:tr>
      <w:tr w:rsidR="00BE3E33" w:rsidRPr="00BB2472" w14:paraId="6415A036" w14:textId="77777777" w:rsidTr="00F35F77">
        <w:trPr>
          <w:trHeight w:val="920"/>
        </w:trPr>
        <w:tc>
          <w:tcPr>
            <w:tcW w:w="947" w:type="pct"/>
            <w:hideMark/>
          </w:tcPr>
          <w:p w14:paraId="7CC4D00C" w14:textId="6DEC8DEE" w:rsidR="00BE3E33" w:rsidRPr="00BB2472" w:rsidRDefault="00BE3E33" w:rsidP="00541FBF">
            <w:pPr>
              <w:rPr>
                <w:rFonts w:cstheme="minorHAnsi"/>
                <w:szCs w:val="20"/>
              </w:rPr>
            </w:pPr>
            <w:hyperlink r:id="rId35" w:history="1">
              <w:r w:rsidRPr="00042A1C">
                <w:rPr>
                  <w:rStyle w:val="Hyperlink"/>
                  <w:rFonts w:cstheme="minorHAnsi"/>
                  <w:szCs w:val="20"/>
                  <w:u w:color="A7A7A9" w:themeColor="text2" w:themeTint="99"/>
                </w:rPr>
                <w:t>OASIS-TIMES</w:t>
              </w:r>
            </w:hyperlink>
          </w:p>
        </w:tc>
        <w:tc>
          <w:tcPr>
            <w:tcW w:w="524" w:type="pct"/>
            <w:hideMark/>
          </w:tcPr>
          <w:p w14:paraId="256E4D94" w14:textId="77777777" w:rsidR="00BE3E33" w:rsidRPr="00BB2472" w:rsidRDefault="00BE3E33" w:rsidP="00541FBF">
            <w:pPr>
              <w:rPr>
                <w:rFonts w:cstheme="minorHAnsi"/>
                <w:szCs w:val="20"/>
              </w:rPr>
            </w:pPr>
            <w:r w:rsidRPr="00BB2472">
              <w:rPr>
                <w:rFonts w:cstheme="minorHAnsi"/>
                <w:szCs w:val="20"/>
              </w:rPr>
              <w:t>Yes</w:t>
            </w:r>
          </w:p>
        </w:tc>
        <w:tc>
          <w:tcPr>
            <w:tcW w:w="628" w:type="pct"/>
            <w:hideMark/>
          </w:tcPr>
          <w:p w14:paraId="13A2EBED" w14:textId="77777777" w:rsidR="00BE3E33" w:rsidRPr="00BB2472" w:rsidRDefault="00BE3E33" w:rsidP="00541FBF">
            <w:pPr>
              <w:rPr>
                <w:szCs w:val="20"/>
              </w:rPr>
            </w:pPr>
            <w:r w:rsidRPr="2195FF8C">
              <w:rPr>
                <w:szCs w:val="20"/>
              </w:rPr>
              <w:t>Yes</w:t>
            </w:r>
          </w:p>
        </w:tc>
        <w:tc>
          <w:tcPr>
            <w:tcW w:w="567" w:type="pct"/>
            <w:hideMark/>
          </w:tcPr>
          <w:p w14:paraId="6C41AFAC" w14:textId="77777777" w:rsidR="00BE3E33" w:rsidRPr="00BB2472" w:rsidRDefault="00BE3E33" w:rsidP="00541FBF">
            <w:pPr>
              <w:rPr>
                <w:rFonts w:cstheme="minorHAnsi"/>
                <w:szCs w:val="20"/>
              </w:rPr>
            </w:pPr>
            <w:r w:rsidRPr="00BB2472">
              <w:rPr>
                <w:rFonts w:cstheme="minorHAnsi"/>
                <w:szCs w:val="20"/>
              </w:rPr>
              <w:t>Yes</w:t>
            </w:r>
          </w:p>
        </w:tc>
        <w:tc>
          <w:tcPr>
            <w:tcW w:w="793" w:type="pct"/>
            <w:hideMark/>
          </w:tcPr>
          <w:p w14:paraId="2EFD4BC0" w14:textId="77777777" w:rsidR="00BE3E33" w:rsidRPr="00BB2472" w:rsidRDefault="00BE3E33" w:rsidP="00541FBF">
            <w:pPr>
              <w:rPr>
                <w:rFonts w:cstheme="minorHAnsi"/>
                <w:szCs w:val="20"/>
              </w:rPr>
            </w:pPr>
            <w:r w:rsidRPr="00BB2472">
              <w:rPr>
                <w:rFonts w:cstheme="minorHAnsi"/>
                <w:szCs w:val="20"/>
              </w:rPr>
              <w:t>Yes</w:t>
            </w:r>
          </w:p>
        </w:tc>
        <w:tc>
          <w:tcPr>
            <w:tcW w:w="793" w:type="pct"/>
            <w:hideMark/>
          </w:tcPr>
          <w:p w14:paraId="464FDEBD" w14:textId="77777777" w:rsidR="00BE3E33" w:rsidRPr="00BB2472" w:rsidRDefault="005B7E03" w:rsidP="00541FBF">
            <w:pPr>
              <w:rPr>
                <w:rFonts w:cstheme="minorHAnsi"/>
                <w:szCs w:val="20"/>
              </w:rPr>
            </w:pPr>
            <w:r>
              <w:rPr>
                <w:rFonts w:cstheme="minorHAnsi"/>
                <w:szCs w:val="20"/>
              </w:rPr>
              <w:t>–</w:t>
            </w:r>
          </w:p>
        </w:tc>
        <w:tc>
          <w:tcPr>
            <w:tcW w:w="748" w:type="pct"/>
            <w:hideMark/>
          </w:tcPr>
          <w:p w14:paraId="0120D846" w14:textId="77777777" w:rsidR="00BE3E33" w:rsidRPr="00BB2472" w:rsidRDefault="00BE3E33" w:rsidP="00541FBF">
            <w:pPr>
              <w:rPr>
                <w:rFonts w:cstheme="minorHAnsi"/>
                <w:szCs w:val="20"/>
              </w:rPr>
            </w:pPr>
            <w:r w:rsidRPr="00BB2472">
              <w:rPr>
                <w:rFonts w:cstheme="minorHAnsi"/>
                <w:szCs w:val="20"/>
              </w:rPr>
              <w:t>Yes</w:t>
            </w:r>
          </w:p>
        </w:tc>
      </w:tr>
      <w:tr w:rsidR="00BE3E33" w:rsidRPr="00BB2472" w14:paraId="02C54CCA" w14:textId="77777777" w:rsidTr="00F35F77">
        <w:trPr>
          <w:trHeight w:val="920"/>
        </w:trPr>
        <w:tc>
          <w:tcPr>
            <w:tcW w:w="947" w:type="pct"/>
            <w:hideMark/>
          </w:tcPr>
          <w:p w14:paraId="2CB02CF5" w14:textId="59A790BB" w:rsidR="00BE3E33" w:rsidRPr="00BB2472" w:rsidRDefault="00BE3E33" w:rsidP="00541FBF">
            <w:pPr>
              <w:rPr>
                <w:rFonts w:cstheme="minorHAnsi"/>
                <w:szCs w:val="20"/>
              </w:rPr>
            </w:pPr>
            <w:hyperlink r:id="rId36" w:history="1">
              <w:proofErr w:type="spellStart"/>
              <w:r w:rsidRPr="00042A1C">
                <w:rPr>
                  <w:rStyle w:val="Hyperlink"/>
                  <w:rFonts w:cstheme="minorHAnsi"/>
                  <w:szCs w:val="20"/>
                  <w:u w:color="A7A7A9" w:themeColor="text2" w:themeTint="99"/>
                </w:rPr>
                <w:t>Chemtunes</w:t>
              </w:r>
              <w:proofErr w:type="spellEnd"/>
            </w:hyperlink>
          </w:p>
        </w:tc>
        <w:tc>
          <w:tcPr>
            <w:tcW w:w="524" w:type="pct"/>
            <w:hideMark/>
          </w:tcPr>
          <w:p w14:paraId="7DB9832C" w14:textId="77777777" w:rsidR="00BE3E33" w:rsidRPr="00BB2472" w:rsidRDefault="00BE3E33" w:rsidP="00541FBF">
            <w:pPr>
              <w:rPr>
                <w:szCs w:val="20"/>
              </w:rPr>
            </w:pPr>
            <w:r w:rsidRPr="0CFA3D42">
              <w:rPr>
                <w:szCs w:val="20"/>
              </w:rPr>
              <w:t>Yes</w:t>
            </w:r>
          </w:p>
        </w:tc>
        <w:tc>
          <w:tcPr>
            <w:tcW w:w="628" w:type="pct"/>
            <w:hideMark/>
          </w:tcPr>
          <w:p w14:paraId="50EA3CD3" w14:textId="77777777" w:rsidR="00BE3E33" w:rsidRPr="00BB2472" w:rsidRDefault="005B7E03" w:rsidP="00541FBF">
            <w:pPr>
              <w:rPr>
                <w:rFonts w:cstheme="minorHAnsi"/>
                <w:szCs w:val="20"/>
              </w:rPr>
            </w:pPr>
            <w:r>
              <w:rPr>
                <w:rFonts w:cstheme="minorHAnsi"/>
                <w:szCs w:val="20"/>
              </w:rPr>
              <w:t>–</w:t>
            </w:r>
          </w:p>
        </w:tc>
        <w:tc>
          <w:tcPr>
            <w:tcW w:w="567" w:type="pct"/>
            <w:hideMark/>
          </w:tcPr>
          <w:p w14:paraId="452C3EA6" w14:textId="77777777" w:rsidR="00BE3E33" w:rsidRPr="00BB2472" w:rsidRDefault="005B7E03" w:rsidP="00541FBF">
            <w:pPr>
              <w:rPr>
                <w:rFonts w:cstheme="minorHAnsi"/>
                <w:szCs w:val="20"/>
              </w:rPr>
            </w:pPr>
            <w:r>
              <w:rPr>
                <w:rFonts w:cstheme="minorHAnsi"/>
                <w:szCs w:val="20"/>
              </w:rPr>
              <w:t>–</w:t>
            </w:r>
          </w:p>
        </w:tc>
        <w:tc>
          <w:tcPr>
            <w:tcW w:w="793" w:type="pct"/>
            <w:hideMark/>
          </w:tcPr>
          <w:p w14:paraId="4D6C3188" w14:textId="77777777" w:rsidR="00BE3E33" w:rsidRPr="00BB2472" w:rsidRDefault="00BE3E33" w:rsidP="00541FBF">
            <w:pPr>
              <w:rPr>
                <w:rFonts w:cstheme="minorHAnsi"/>
                <w:szCs w:val="20"/>
              </w:rPr>
            </w:pPr>
            <w:r w:rsidRPr="00BB2472">
              <w:rPr>
                <w:rFonts w:cstheme="minorHAnsi"/>
                <w:szCs w:val="20"/>
              </w:rPr>
              <w:t>Yes</w:t>
            </w:r>
          </w:p>
        </w:tc>
        <w:tc>
          <w:tcPr>
            <w:tcW w:w="793" w:type="pct"/>
            <w:hideMark/>
          </w:tcPr>
          <w:p w14:paraId="4AB51655" w14:textId="77777777" w:rsidR="00BE3E33" w:rsidRPr="00BB2472" w:rsidRDefault="005B7E03" w:rsidP="00541FBF">
            <w:pPr>
              <w:rPr>
                <w:rFonts w:cstheme="minorHAnsi"/>
                <w:szCs w:val="20"/>
              </w:rPr>
            </w:pPr>
            <w:r>
              <w:rPr>
                <w:rFonts w:cstheme="minorHAnsi"/>
                <w:szCs w:val="20"/>
              </w:rPr>
              <w:t>–</w:t>
            </w:r>
          </w:p>
        </w:tc>
        <w:tc>
          <w:tcPr>
            <w:tcW w:w="748" w:type="pct"/>
            <w:hideMark/>
          </w:tcPr>
          <w:p w14:paraId="2026923F" w14:textId="77777777" w:rsidR="00BE3E33" w:rsidRPr="00BB2472" w:rsidRDefault="00BE3E33" w:rsidP="00541FBF">
            <w:pPr>
              <w:rPr>
                <w:rFonts w:cstheme="minorHAnsi"/>
                <w:szCs w:val="20"/>
              </w:rPr>
            </w:pPr>
            <w:r>
              <w:rPr>
                <w:rFonts w:cstheme="minorHAnsi"/>
                <w:szCs w:val="20"/>
              </w:rPr>
              <w:t>Yes</w:t>
            </w:r>
          </w:p>
        </w:tc>
      </w:tr>
      <w:tr w:rsidR="00BE3E33" w:rsidRPr="00BB2472" w14:paraId="50C05CDF" w14:textId="77777777" w:rsidTr="00F35F77">
        <w:trPr>
          <w:trHeight w:val="920"/>
        </w:trPr>
        <w:tc>
          <w:tcPr>
            <w:tcW w:w="947" w:type="pct"/>
            <w:hideMark/>
          </w:tcPr>
          <w:p w14:paraId="661F82F3" w14:textId="13E97183" w:rsidR="00BE3E33" w:rsidRPr="00BB2472" w:rsidRDefault="00BE3E33" w:rsidP="00541FBF">
            <w:pPr>
              <w:rPr>
                <w:rFonts w:cstheme="minorHAnsi"/>
                <w:szCs w:val="20"/>
              </w:rPr>
            </w:pPr>
            <w:hyperlink r:id="rId37" w:history="1">
              <w:r w:rsidRPr="00042A1C">
                <w:rPr>
                  <w:rStyle w:val="Hyperlink"/>
                  <w:rFonts w:cstheme="minorHAnsi"/>
                  <w:szCs w:val="20"/>
                  <w:u w:color="A7A7A9" w:themeColor="text2" w:themeTint="99"/>
                </w:rPr>
                <w:t>Case ULTRA</w:t>
              </w:r>
            </w:hyperlink>
          </w:p>
        </w:tc>
        <w:tc>
          <w:tcPr>
            <w:tcW w:w="524" w:type="pct"/>
            <w:hideMark/>
          </w:tcPr>
          <w:p w14:paraId="61EF8C81" w14:textId="77777777" w:rsidR="00BE3E33" w:rsidRPr="00BB2472" w:rsidRDefault="00BE3E33" w:rsidP="00541FBF">
            <w:pPr>
              <w:rPr>
                <w:rFonts w:cstheme="minorHAnsi"/>
                <w:szCs w:val="20"/>
              </w:rPr>
            </w:pPr>
            <w:r w:rsidRPr="00BB2472">
              <w:rPr>
                <w:rFonts w:cstheme="minorHAnsi"/>
                <w:szCs w:val="20"/>
              </w:rPr>
              <w:t>Yes</w:t>
            </w:r>
          </w:p>
        </w:tc>
        <w:tc>
          <w:tcPr>
            <w:tcW w:w="628" w:type="pct"/>
            <w:hideMark/>
          </w:tcPr>
          <w:p w14:paraId="3DEE14BE" w14:textId="77777777" w:rsidR="00BE3E33" w:rsidRPr="00BB2472" w:rsidRDefault="00BE3E33" w:rsidP="00541FBF">
            <w:pPr>
              <w:rPr>
                <w:rFonts w:cstheme="minorHAnsi"/>
                <w:szCs w:val="20"/>
              </w:rPr>
            </w:pPr>
            <w:r w:rsidRPr="00BB2472">
              <w:rPr>
                <w:rFonts w:cstheme="minorHAnsi"/>
                <w:szCs w:val="20"/>
              </w:rPr>
              <w:t>Yes</w:t>
            </w:r>
          </w:p>
        </w:tc>
        <w:tc>
          <w:tcPr>
            <w:tcW w:w="567" w:type="pct"/>
            <w:hideMark/>
          </w:tcPr>
          <w:p w14:paraId="719E9BBB" w14:textId="77777777" w:rsidR="00BE3E33" w:rsidRPr="00BB2472" w:rsidRDefault="00BE3E33" w:rsidP="00541FBF">
            <w:pPr>
              <w:rPr>
                <w:rFonts w:cstheme="minorHAnsi"/>
                <w:szCs w:val="20"/>
              </w:rPr>
            </w:pPr>
            <w:r w:rsidRPr="00BB2472">
              <w:rPr>
                <w:rFonts w:cstheme="minorHAnsi"/>
                <w:szCs w:val="20"/>
              </w:rPr>
              <w:t>Yes</w:t>
            </w:r>
          </w:p>
        </w:tc>
        <w:tc>
          <w:tcPr>
            <w:tcW w:w="793" w:type="pct"/>
            <w:hideMark/>
          </w:tcPr>
          <w:p w14:paraId="6CC9458C" w14:textId="77777777" w:rsidR="00BE3E33" w:rsidRPr="00BB2472" w:rsidRDefault="00BE3E33" w:rsidP="00541FBF">
            <w:pPr>
              <w:rPr>
                <w:szCs w:val="20"/>
              </w:rPr>
            </w:pPr>
            <w:r w:rsidRPr="0CFA3D42">
              <w:rPr>
                <w:szCs w:val="20"/>
              </w:rPr>
              <w:t>Yes</w:t>
            </w:r>
          </w:p>
        </w:tc>
        <w:tc>
          <w:tcPr>
            <w:tcW w:w="793" w:type="pct"/>
            <w:hideMark/>
          </w:tcPr>
          <w:p w14:paraId="007E0C5E" w14:textId="77777777" w:rsidR="00BE3E33" w:rsidRPr="00BB2472" w:rsidRDefault="005B7E03" w:rsidP="00541FBF">
            <w:pPr>
              <w:rPr>
                <w:rFonts w:cstheme="minorHAnsi"/>
                <w:szCs w:val="20"/>
              </w:rPr>
            </w:pPr>
            <w:r>
              <w:rPr>
                <w:rFonts w:cstheme="minorHAnsi"/>
                <w:szCs w:val="20"/>
              </w:rPr>
              <w:t>–</w:t>
            </w:r>
          </w:p>
        </w:tc>
        <w:tc>
          <w:tcPr>
            <w:tcW w:w="748" w:type="pct"/>
            <w:hideMark/>
          </w:tcPr>
          <w:p w14:paraId="7EAD130A" w14:textId="77777777" w:rsidR="00BE3E33" w:rsidRPr="00BB2472" w:rsidRDefault="00BE3E33" w:rsidP="00541FBF">
            <w:pPr>
              <w:rPr>
                <w:rFonts w:cstheme="minorHAnsi"/>
                <w:szCs w:val="20"/>
              </w:rPr>
            </w:pPr>
            <w:r w:rsidRPr="00BB2472">
              <w:rPr>
                <w:rFonts w:cstheme="minorHAnsi"/>
                <w:szCs w:val="20"/>
              </w:rPr>
              <w:t>Yes</w:t>
            </w:r>
          </w:p>
        </w:tc>
      </w:tr>
      <w:tr w:rsidR="00BE3E33" w:rsidRPr="00BB2472" w14:paraId="482D29F2" w14:textId="77777777" w:rsidTr="00F35F77">
        <w:trPr>
          <w:trHeight w:val="920"/>
        </w:trPr>
        <w:tc>
          <w:tcPr>
            <w:tcW w:w="947" w:type="pct"/>
            <w:hideMark/>
          </w:tcPr>
          <w:p w14:paraId="7EB7AE26" w14:textId="0AA4A90D" w:rsidR="00BE3E33" w:rsidRPr="00BB2472" w:rsidRDefault="00BE3E33" w:rsidP="00541FBF">
            <w:pPr>
              <w:rPr>
                <w:rFonts w:cstheme="minorHAnsi"/>
                <w:szCs w:val="20"/>
              </w:rPr>
            </w:pPr>
            <w:hyperlink r:id="rId38" w:history="1">
              <w:r w:rsidRPr="00042A1C">
                <w:rPr>
                  <w:rStyle w:val="Hyperlink"/>
                  <w:rFonts w:cstheme="minorHAnsi"/>
                  <w:szCs w:val="20"/>
                  <w:u w:color="A7A7A9" w:themeColor="text2" w:themeTint="99"/>
                </w:rPr>
                <w:t>ADMET Predictor</w:t>
              </w:r>
            </w:hyperlink>
          </w:p>
        </w:tc>
        <w:tc>
          <w:tcPr>
            <w:tcW w:w="524" w:type="pct"/>
            <w:hideMark/>
          </w:tcPr>
          <w:p w14:paraId="67A0F185" w14:textId="77777777" w:rsidR="00BE3E33" w:rsidRPr="00BB2472" w:rsidRDefault="005B7E03" w:rsidP="00541FBF">
            <w:pPr>
              <w:rPr>
                <w:szCs w:val="20"/>
              </w:rPr>
            </w:pPr>
            <w:r>
              <w:rPr>
                <w:szCs w:val="20"/>
              </w:rPr>
              <w:t>–</w:t>
            </w:r>
          </w:p>
        </w:tc>
        <w:tc>
          <w:tcPr>
            <w:tcW w:w="628" w:type="pct"/>
            <w:hideMark/>
          </w:tcPr>
          <w:p w14:paraId="245E7620" w14:textId="77777777" w:rsidR="00BE3E33" w:rsidRPr="00BB2472" w:rsidRDefault="005B7E03" w:rsidP="00541FBF">
            <w:pPr>
              <w:rPr>
                <w:rFonts w:cstheme="minorHAnsi"/>
                <w:szCs w:val="20"/>
              </w:rPr>
            </w:pPr>
            <w:r>
              <w:rPr>
                <w:rFonts w:cstheme="minorHAnsi"/>
                <w:szCs w:val="20"/>
              </w:rPr>
              <w:t>–</w:t>
            </w:r>
          </w:p>
        </w:tc>
        <w:tc>
          <w:tcPr>
            <w:tcW w:w="567" w:type="pct"/>
            <w:hideMark/>
          </w:tcPr>
          <w:p w14:paraId="56E6784C" w14:textId="77777777" w:rsidR="00BE3E33" w:rsidRPr="00BB2472" w:rsidRDefault="005B7E03" w:rsidP="00541FBF">
            <w:pPr>
              <w:rPr>
                <w:rFonts w:cstheme="minorHAnsi"/>
                <w:szCs w:val="20"/>
              </w:rPr>
            </w:pPr>
            <w:r>
              <w:rPr>
                <w:rFonts w:cstheme="minorHAnsi"/>
                <w:szCs w:val="20"/>
              </w:rPr>
              <w:t>–</w:t>
            </w:r>
          </w:p>
        </w:tc>
        <w:tc>
          <w:tcPr>
            <w:tcW w:w="793" w:type="pct"/>
            <w:hideMark/>
          </w:tcPr>
          <w:p w14:paraId="62A1F12C" w14:textId="77777777" w:rsidR="00BE3E33" w:rsidRPr="00BB2472" w:rsidRDefault="00BE3E33" w:rsidP="00541FBF">
            <w:pPr>
              <w:rPr>
                <w:rFonts w:cstheme="minorHAnsi"/>
                <w:szCs w:val="20"/>
              </w:rPr>
            </w:pPr>
            <w:r w:rsidRPr="00BB2472">
              <w:rPr>
                <w:rFonts w:cstheme="minorHAnsi"/>
                <w:szCs w:val="20"/>
              </w:rPr>
              <w:t>Yes</w:t>
            </w:r>
          </w:p>
        </w:tc>
        <w:tc>
          <w:tcPr>
            <w:tcW w:w="793" w:type="pct"/>
            <w:hideMark/>
          </w:tcPr>
          <w:p w14:paraId="79ADFE98" w14:textId="77777777" w:rsidR="00BE3E33" w:rsidRPr="00BB2472" w:rsidRDefault="00BE3E33" w:rsidP="00541FBF">
            <w:pPr>
              <w:rPr>
                <w:szCs w:val="20"/>
              </w:rPr>
            </w:pPr>
            <w:r w:rsidRPr="4F0806AE">
              <w:rPr>
                <w:szCs w:val="20"/>
              </w:rPr>
              <w:t>Yes</w:t>
            </w:r>
          </w:p>
        </w:tc>
        <w:tc>
          <w:tcPr>
            <w:tcW w:w="748" w:type="pct"/>
            <w:hideMark/>
          </w:tcPr>
          <w:p w14:paraId="230D16B7" w14:textId="77777777" w:rsidR="00BE3E33" w:rsidRPr="00BB2472" w:rsidRDefault="00BE3E33" w:rsidP="00541FBF">
            <w:pPr>
              <w:rPr>
                <w:rFonts w:cstheme="minorHAnsi"/>
                <w:szCs w:val="20"/>
              </w:rPr>
            </w:pPr>
            <w:r w:rsidRPr="00BB2472">
              <w:rPr>
                <w:rFonts w:cstheme="minorHAnsi"/>
                <w:szCs w:val="20"/>
              </w:rPr>
              <w:t>Yes</w:t>
            </w:r>
          </w:p>
        </w:tc>
      </w:tr>
      <w:bookmarkStart w:id="79" w:name="_Hlk153344872"/>
      <w:tr w:rsidR="00BE3E33" w:rsidRPr="00BB2472" w14:paraId="32EDF329" w14:textId="77777777" w:rsidTr="00F35F77">
        <w:trPr>
          <w:trHeight w:val="920"/>
        </w:trPr>
        <w:tc>
          <w:tcPr>
            <w:tcW w:w="947" w:type="pct"/>
            <w:hideMark/>
          </w:tcPr>
          <w:p w14:paraId="07AEFCFD" w14:textId="20B0A2D6" w:rsidR="00BE3E33" w:rsidRPr="00BB2472" w:rsidRDefault="00BE3E33" w:rsidP="00541FBF">
            <w:pPr>
              <w:rPr>
                <w:rFonts w:cstheme="minorHAnsi"/>
                <w:szCs w:val="20"/>
              </w:rPr>
            </w:pPr>
            <w:r>
              <w:rPr>
                <w:rFonts w:cstheme="minorBidi"/>
                <w:sz w:val="22"/>
                <w:szCs w:val="22"/>
              </w:rPr>
              <w:fldChar w:fldCharType="begin"/>
            </w:r>
            <w:r w:rsidR="00A64021">
              <w:rPr>
                <w:rFonts w:cstheme="minorBidi"/>
                <w:sz w:val="22"/>
                <w:szCs w:val="22"/>
              </w:rPr>
              <w:instrText>HYPERLINK "https://www.3ds.com/products/biovia/discovery-studio"</w:instrText>
            </w:r>
            <w:r>
              <w:rPr>
                <w:rFonts w:cstheme="minorBidi"/>
                <w:sz w:val="22"/>
                <w:szCs w:val="22"/>
              </w:rPr>
            </w:r>
            <w:r>
              <w:rPr>
                <w:rFonts w:cstheme="minorBidi"/>
                <w:sz w:val="22"/>
                <w:szCs w:val="22"/>
              </w:rPr>
              <w:fldChar w:fldCharType="separate"/>
            </w:r>
            <w:proofErr w:type="spellStart"/>
            <w:r w:rsidRPr="00D44A38">
              <w:rPr>
                <w:rStyle w:val="Hyperlink"/>
                <w:rFonts w:cstheme="minorHAnsi"/>
                <w:szCs w:val="20"/>
                <w:u w:color="A7A7A9" w:themeColor="text2" w:themeTint="99"/>
              </w:rPr>
              <w:t>Biovia</w:t>
            </w:r>
            <w:proofErr w:type="spellEnd"/>
            <w:r w:rsidRPr="00D44A38">
              <w:rPr>
                <w:rStyle w:val="Hyperlink"/>
                <w:rFonts w:cstheme="minorHAnsi"/>
                <w:szCs w:val="20"/>
                <w:u w:color="A7A7A9" w:themeColor="text2" w:themeTint="99"/>
              </w:rPr>
              <w:t xml:space="preserve"> Discovery Studio (TOPKAT)</w:t>
            </w:r>
            <w:r>
              <w:rPr>
                <w:rStyle w:val="Hyperlink"/>
                <w:rFonts w:cstheme="minorHAnsi"/>
                <w:szCs w:val="20"/>
                <w:u w:color="A7A7A9" w:themeColor="text2" w:themeTint="99"/>
              </w:rPr>
              <w:fldChar w:fldCharType="end"/>
            </w:r>
            <w:bookmarkEnd w:id="79"/>
          </w:p>
        </w:tc>
        <w:tc>
          <w:tcPr>
            <w:tcW w:w="524" w:type="pct"/>
            <w:hideMark/>
          </w:tcPr>
          <w:p w14:paraId="5F2C21BE" w14:textId="77777777" w:rsidR="00BE3E33" w:rsidRPr="00BB2472" w:rsidRDefault="00BE3E33" w:rsidP="00541FBF">
            <w:pPr>
              <w:rPr>
                <w:rFonts w:cstheme="minorHAnsi"/>
                <w:szCs w:val="20"/>
              </w:rPr>
            </w:pPr>
            <w:r w:rsidRPr="00BB2472">
              <w:rPr>
                <w:rFonts w:cstheme="minorHAnsi"/>
                <w:szCs w:val="20"/>
              </w:rPr>
              <w:t>Yes</w:t>
            </w:r>
          </w:p>
        </w:tc>
        <w:tc>
          <w:tcPr>
            <w:tcW w:w="628" w:type="pct"/>
            <w:hideMark/>
          </w:tcPr>
          <w:p w14:paraId="3B1759D4" w14:textId="77777777" w:rsidR="00BE3E33" w:rsidRPr="00BB2472" w:rsidRDefault="00BE3E33" w:rsidP="00541FBF">
            <w:pPr>
              <w:rPr>
                <w:rFonts w:cstheme="minorHAnsi"/>
                <w:szCs w:val="20"/>
              </w:rPr>
            </w:pPr>
            <w:r w:rsidRPr="00BB2472">
              <w:rPr>
                <w:rFonts w:cstheme="minorHAnsi"/>
                <w:szCs w:val="20"/>
              </w:rPr>
              <w:t>Yes</w:t>
            </w:r>
          </w:p>
        </w:tc>
        <w:tc>
          <w:tcPr>
            <w:tcW w:w="567" w:type="pct"/>
            <w:hideMark/>
          </w:tcPr>
          <w:p w14:paraId="09DDF1C3" w14:textId="77777777" w:rsidR="00BE3E33" w:rsidRPr="00BB2472" w:rsidRDefault="00BE3E33" w:rsidP="00541FBF">
            <w:pPr>
              <w:rPr>
                <w:rFonts w:cstheme="minorHAnsi"/>
                <w:szCs w:val="20"/>
              </w:rPr>
            </w:pPr>
            <w:r w:rsidRPr="00BB2472">
              <w:rPr>
                <w:rFonts w:cstheme="minorHAnsi"/>
                <w:szCs w:val="20"/>
              </w:rPr>
              <w:t>Yes</w:t>
            </w:r>
          </w:p>
        </w:tc>
        <w:tc>
          <w:tcPr>
            <w:tcW w:w="793" w:type="pct"/>
            <w:hideMark/>
          </w:tcPr>
          <w:p w14:paraId="22906DDB" w14:textId="77777777" w:rsidR="00BE3E33" w:rsidRPr="00BB2472" w:rsidRDefault="00BE3E33" w:rsidP="00541FBF">
            <w:pPr>
              <w:rPr>
                <w:rFonts w:cstheme="minorHAnsi"/>
                <w:szCs w:val="20"/>
              </w:rPr>
            </w:pPr>
            <w:r w:rsidRPr="00BB2472">
              <w:rPr>
                <w:rFonts w:cstheme="minorHAnsi"/>
                <w:szCs w:val="20"/>
              </w:rPr>
              <w:t>Yes</w:t>
            </w:r>
          </w:p>
        </w:tc>
        <w:tc>
          <w:tcPr>
            <w:tcW w:w="793" w:type="pct"/>
            <w:hideMark/>
          </w:tcPr>
          <w:p w14:paraId="19D31DE3" w14:textId="77777777" w:rsidR="00BE3E33" w:rsidRPr="00BB2472" w:rsidRDefault="005B7E03" w:rsidP="00541FBF">
            <w:pPr>
              <w:rPr>
                <w:rFonts w:cstheme="minorHAnsi"/>
                <w:szCs w:val="20"/>
              </w:rPr>
            </w:pPr>
            <w:r>
              <w:rPr>
                <w:rFonts w:cstheme="minorHAnsi"/>
                <w:szCs w:val="20"/>
              </w:rPr>
              <w:t>–</w:t>
            </w:r>
          </w:p>
        </w:tc>
        <w:tc>
          <w:tcPr>
            <w:tcW w:w="748" w:type="pct"/>
            <w:hideMark/>
          </w:tcPr>
          <w:p w14:paraId="532E5133" w14:textId="77777777" w:rsidR="00BE3E33" w:rsidRPr="00BB2472" w:rsidRDefault="00BE3E33" w:rsidP="00541FBF">
            <w:pPr>
              <w:rPr>
                <w:rFonts w:cstheme="minorHAnsi"/>
                <w:szCs w:val="20"/>
              </w:rPr>
            </w:pPr>
            <w:r w:rsidRPr="00BB2472">
              <w:rPr>
                <w:rFonts w:cstheme="minorHAnsi"/>
                <w:szCs w:val="20"/>
              </w:rPr>
              <w:t>Yes</w:t>
            </w:r>
          </w:p>
        </w:tc>
      </w:tr>
      <w:tr w:rsidR="00BE3E33" w:rsidRPr="00BB2472" w14:paraId="181A782B" w14:textId="77777777" w:rsidTr="00F35F77">
        <w:trPr>
          <w:trHeight w:val="920"/>
        </w:trPr>
        <w:tc>
          <w:tcPr>
            <w:tcW w:w="947" w:type="pct"/>
            <w:hideMark/>
          </w:tcPr>
          <w:p w14:paraId="6D96395E" w14:textId="1418C864" w:rsidR="00BE3E33" w:rsidRPr="00BB2472" w:rsidRDefault="00BE3E33" w:rsidP="00541FBF">
            <w:pPr>
              <w:rPr>
                <w:rFonts w:cstheme="minorHAnsi"/>
                <w:szCs w:val="20"/>
              </w:rPr>
            </w:pPr>
            <w:hyperlink r:id="rId39" w:history="1">
              <w:r w:rsidRPr="00042A1C">
                <w:rPr>
                  <w:rStyle w:val="Hyperlink"/>
                  <w:rFonts w:cstheme="minorHAnsi"/>
                  <w:szCs w:val="20"/>
                  <w:u w:color="A7A7A9" w:themeColor="text2" w:themeTint="99"/>
                </w:rPr>
                <w:t xml:space="preserve">ACD </w:t>
              </w:r>
              <w:proofErr w:type="spellStart"/>
              <w:r w:rsidRPr="00042A1C">
                <w:rPr>
                  <w:rStyle w:val="Hyperlink"/>
                  <w:rFonts w:cstheme="minorHAnsi"/>
                  <w:szCs w:val="20"/>
                  <w:u w:color="A7A7A9" w:themeColor="text2" w:themeTint="99"/>
                </w:rPr>
                <w:t>Percepta</w:t>
              </w:r>
              <w:proofErr w:type="spellEnd"/>
            </w:hyperlink>
          </w:p>
        </w:tc>
        <w:tc>
          <w:tcPr>
            <w:tcW w:w="524" w:type="pct"/>
            <w:hideMark/>
          </w:tcPr>
          <w:p w14:paraId="3723C44F" w14:textId="77777777" w:rsidR="00BE3E33" w:rsidRPr="00BB2472" w:rsidRDefault="00BE3E33" w:rsidP="00541FBF">
            <w:pPr>
              <w:rPr>
                <w:rFonts w:cstheme="minorHAnsi"/>
                <w:szCs w:val="20"/>
              </w:rPr>
            </w:pPr>
            <w:r w:rsidRPr="00BB2472">
              <w:rPr>
                <w:rFonts w:cstheme="minorHAnsi"/>
                <w:szCs w:val="20"/>
              </w:rPr>
              <w:t>Yes</w:t>
            </w:r>
          </w:p>
        </w:tc>
        <w:tc>
          <w:tcPr>
            <w:tcW w:w="628" w:type="pct"/>
            <w:hideMark/>
          </w:tcPr>
          <w:p w14:paraId="722ED999" w14:textId="77777777" w:rsidR="00BE3E33" w:rsidRPr="00BB2472" w:rsidRDefault="00BE3E33" w:rsidP="00541FBF">
            <w:pPr>
              <w:rPr>
                <w:rFonts w:cstheme="minorHAnsi"/>
                <w:szCs w:val="20"/>
              </w:rPr>
            </w:pPr>
            <w:r w:rsidRPr="00BB2472">
              <w:rPr>
                <w:rFonts w:cstheme="minorHAnsi"/>
                <w:szCs w:val="20"/>
              </w:rPr>
              <w:t>Yes</w:t>
            </w:r>
          </w:p>
        </w:tc>
        <w:tc>
          <w:tcPr>
            <w:tcW w:w="567" w:type="pct"/>
            <w:hideMark/>
          </w:tcPr>
          <w:p w14:paraId="0A5EA6B1" w14:textId="77777777" w:rsidR="00BE3E33" w:rsidRPr="00BB2472" w:rsidRDefault="00BE3E33" w:rsidP="00541FBF">
            <w:pPr>
              <w:rPr>
                <w:rFonts w:cstheme="minorHAnsi"/>
                <w:szCs w:val="20"/>
              </w:rPr>
            </w:pPr>
            <w:r w:rsidRPr="00BB2472">
              <w:rPr>
                <w:rFonts w:cstheme="minorHAnsi"/>
                <w:szCs w:val="20"/>
              </w:rPr>
              <w:t>Yes</w:t>
            </w:r>
          </w:p>
        </w:tc>
        <w:tc>
          <w:tcPr>
            <w:tcW w:w="793" w:type="pct"/>
            <w:hideMark/>
          </w:tcPr>
          <w:p w14:paraId="6C2D7B30" w14:textId="77777777" w:rsidR="00BE3E33" w:rsidRPr="00BB2472" w:rsidRDefault="005B7E03" w:rsidP="00541FBF">
            <w:pPr>
              <w:rPr>
                <w:szCs w:val="20"/>
              </w:rPr>
            </w:pPr>
            <w:r>
              <w:rPr>
                <w:szCs w:val="20"/>
              </w:rPr>
              <w:t>–</w:t>
            </w:r>
          </w:p>
        </w:tc>
        <w:tc>
          <w:tcPr>
            <w:tcW w:w="793" w:type="pct"/>
            <w:hideMark/>
          </w:tcPr>
          <w:p w14:paraId="27DBC4B2" w14:textId="77777777" w:rsidR="00BE3E33" w:rsidRPr="00BB2472" w:rsidRDefault="005B7E03" w:rsidP="00541FBF">
            <w:pPr>
              <w:rPr>
                <w:rFonts w:cstheme="minorHAnsi"/>
                <w:szCs w:val="20"/>
              </w:rPr>
            </w:pPr>
            <w:r>
              <w:rPr>
                <w:rFonts w:cstheme="minorHAnsi"/>
                <w:szCs w:val="20"/>
              </w:rPr>
              <w:t>–</w:t>
            </w:r>
          </w:p>
        </w:tc>
        <w:tc>
          <w:tcPr>
            <w:tcW w:w="748" w:type="pct"/>
            <w:hideMark/>
          </w:tcPr>
          <w:p w14:paraId="351595A4" w14:textId="77777777" w:rsidR="00BE3E33" w:rsidRPr="00BB2472" w:rsidRDefault="00BE3E33" w:rsidP="00541FBF">
            <w:pPr>
              <w:rPr>
                <w:rFonts w:cstheme="minorHAnsi"/>
                <w:szCs w:val="20"/>
              </w:rPr>
            </w:pPr>
            <w:r w:rsidRPr="00BB2472">
              <w:rPr>
                <w:rFonts w:cstheme="minorHAnsi"/>
                <w:szCs w:val="20"/>
              </w:rPr>
              <w:t>Yes</w:t>
            </w:r>
          </w:p>
        </w:tc>
      </w:tr>
      <w:tr w:rsidR="00BE3E33" w:rsidRPr="00BB2472" w14:paraId="335503C3" w14:textId="77777777" w:rsidTr="00F35F77">
        <w:trPr>
          <w:trHeight w:val="920"/>
        </w:trPr>
        <w:tc>
          <w:tcPr>
            <w:tcW w:w="947" w:type="pct"/>
            <w:hideMark/>
          </w:tcPr>
          <w:p w14:paraId="4A80B6F4" w14:textId="5EC0E3EF" w:rsidR="00BE3E33" w:rsidRPr="00BB2472" w:rsidRDefault="00BE3E33" w:rsidP="00541FBF">
            <w:pPr>
              <w:rPr>
                <w:rFonts w:cstheme="minorHAnsi"/>
                <w:szCs w:val="20"/>
              </w:rPr>
            </w:pPr>
            <w:hyperlink r:id="rId40" w:history="1">
              <w:r w:rsidRPr="00D44A38">
                <w:rPr>
                  <w:rStyle w:val="Hyperlink"/>
                  <w:rFonts w:cstheme="minorHAnsi"/>
                  <w:szCs w:val="20"/>
                  <w:u w:color="A7A7A9" w:themeColor="text2" w:themeTint="99"/>
                </w:rPr>
                <w:t>Hazard Expert</w:t>
              </w:r>
            </w:hyperlink>
          </w:p>
        </w:tc>
        <w:tc>
          <w:tcPr>
            <w:tcW w:w="524" w:type="pct"/>
            <w:hideMark/>
          </w:tcPr>
          <w:p w14:paraId="46F7845C" w14:textId="77777777" w:rsidR="00BE3E33" w:rsidRPr="00BB2472" w:rsidRDefault="005B7E03" w:rsidP="00541FBF">
            <w:pPr>
              <w:rPr>
                <w:rFonts w:cstheme="minorHAnsi"/>
                <w:szCs w:val="20"/>
              </w:rPr>
            </w:pPr>
            <w:r>
              <w:rPr>
                <w:rFonts w:cstheme="minorHAnsi"/>
                <w:szCs w:val="20"/>
              </w:rPr>
              <w:t>–</w:t>
            </w:r>
          </w:p>
        </w:tc>
        <w:tc>
          <w:tcPr>
            <w:tcW w:w="628" w:type="pct"/>
            <w:hideMark/>
          </w:tcPr>
          <w:p w14:paraId="209D8F78" w14:textId="77777777" w:rsidR="00BE3E33" w:rsidRPr="00BB2472" w:rsidRDefault="005B7E03" w:rsidP="00541FBF">
            <w:pPr>
              <w:rPr>
                <w:rFonts w:cstheme="minorHAnsi"/>
                <w:szCs w:val="20"/>
              </w:rPr>
            </w:pPr>
            <w:r>
              <w:rPr>
                <w:rFonts w:cstheme="minorHAnsi"/>
                <w:szCs w:val="20"/>
              </w:rPr>
              <w:t>–</w:t>
            </w:r>
          </w:p>
        </w:tc>
        <w:tc>
          <w:tcPr>
            <w:tcW w:w="567" w:type="pct"/>
            <w:hideMark/>
          </w:tcPr>
          <w:p w14:paraId="5795C476" w14:textId="77777777" w:rsidR="00BE3E33" w:rsidRPr="00BB2472" w:rsidRDefault="005B7E03" w:rsidP="00541FBF">
            <w:pPr>
              <w:rPr>
                <w:rFonts w:cstheme="minorHAnsi"/>
                <w:szCs w:val="20"/>
              </w:rPr>
            </w:pPr>
            <w:r>
              <w:rPr>
                <w:rFonts w:cstheme="minorHAnsi"/>
                <w:szCs w:val="20"/>
              </w:rPr>
              <w:t>–</w:t>
            </w:r>
          </w:p>
        </w:tc>
        <w:tc>
          <w:tcPr>
            <w:tcW w:w="793" w:type="pct"/>
            <w:hideMark/>
          </w:tcPr>
          <w:p w14:paraId="279EC2DA" w14:textId="77777777" w:rsidR="00BE3E33" w:rsidRPr="00BB2472" w:rsidRDefault="005B7E03" w:rsidP="00541FBF">
            <w:pPr>
              <w:rPr>
                <w:rFonts w:cstheme="minorHAnsi"/>
                <w:szCs w:val="20"/>
              </w:rPr>
            </w:pPr>
            <w:r>
              <w:rPr>
                <w:rFonts w:cstheme="minorHAnsi"/>
                <w:szCs w:val="20"/>
              </w:rPr>
              <w:t>–</w:t>
            </w:r>
          </w:p>
        </w:tc>
        <w:tc>
          <w:tcPr>
            <w:tcW w:w="793" w:type="pct"/>
            <w:hideMark/>
          </w:tcPr>
          <w:p w14:paraId="10A5F2D3" w14:textId="77777777" w:rsidR="00BE3E33" w:rsidRPr="00BB2472" w:rsidRDefault="005B7E03" w:rsidP="00541FBF">
            <w:pPr>
              <w:rPr>
                <w:rFonts w:cstheme="minorHAnsi"/>
                <w:szCs w:val="20"/>
              </w:rPr>
            </w:pPr>
            <w:r>
              <w:rPr>
                <w:rFonts w:cstheme="minorHAnsi"/>
                <w:szCs w:val="20"/>
              </w:rPr>
              <w:t>–</w:t>
            </w:r>
          </w:p>
        </w:tc>
        <w:tc>
          <w:tcPr>
            <w:tcW w:w="748" w:type="pct"/>
            <w:hideMark/>
          </w:tcPr>
          <w:p w14:paraId="49614305" w14:textId="77777777" w:rsidR="00BE3E33" w:rsidRPr="00BB2472" w:rsidRDefault="00BE3E33" w:rsidP="00541FBF">
            <w:pPr>
              <w:rPr>
                <w:rFonts w:cstheme="minorHAnsi"/>
                <w:szCs w:val="20"/>
              </w:rPr>
            </w:pPr>
            <w:r w:rsidRPr="00BB2472">
              <w:rPr>
                <w:rFonts w:cstheme="minorHAnsi"/>
                <w:szCs w:val="20"/>
              </w:rPr>
              <w:t>Yes</w:t>
            </w:r>
          </w:p>
        </w:tc>
      </w:tr>
      <w:tr w:rsidR="00BE3E33" w:rsidRPr="00BB2472" w14:paraId="16BB2E6C" w14:textId="77777777" w:rsidTr="00F35F77">
        <w:trPr>
          <w:trHeight w:val="920"/>
        </w:trPr>
        <w:tc>
          <w:tcPr>
            <w:tcW w:w="947" w:type="pct"/>
          </w:tcPr>
          <w:p w14:paraId="5F7E2DB9" w14:textId="5FC5C0AB" w:rsidR="00BE3E33" w:rsidRPr="00BB2472" w:rsidRDefault="00BE3E33" w:rsidP="00541FBF">
            <w:pPr>
              <w:rPr>
                <w:rFonts w:cstheme="minorHAnsi"/>
                <w:szCs w:val="20"/>
                <w:u w:color="A7A7A9" w:themeColor="text2" w:themeTint="99"/>
              </w:rPr>
            </w:pPr>
            <w:hyperlink r:id="rId41" w:history="1">
              <w:r w:rsidRPr="005B788A">
                <w:rPr>
                  <w:rStyle w:val="Hyperlink"/>
                  <w:rFonts w:cstheme="minorHAnsi"/>
                  <w:szCs w:val="20"/>
                  <w:u w:color="A7A7A9" w:themeColor="text2" w:themeTint="99"/>
                </w:rPr>
                <w:t>Cheminformatics Tool Kit</w:t>
              </w:r>
            </w:hyperlink>
          </w:p>
        </w:tc>
        <w:tc>
          <w:tcPr>
            <w:tcW w:w="524" w:type="pct"/>
          </w:tcPr>
          <w:p w14:paraId="06AD02E7" w14:textId="77777777" w:rsidR="00BE3E33" w:rsidRPr="00BB2472" w:rsidRDefault="00BE3E33" w:rsidP="00541FBF">
            <w:pPr>
              <w:rPr>
                <w:rFonts w:cstheme="minorHAnsi"/>
                <w:szCs w:val="20"/>
              </w:rPr>
            </w:pPr>
            <w:r>
              <w:rPr>
                <w:rFonts w:cstheme="minorHAnsi"/>
                <w:szCs w:val="20"/>
              </w:rPr>
              <w:t xml:space="preserve">Yes </w:t>
            </w:r>
          </w:p>
        </w:tc>
        <w:tc>
          <w:tcPr>
            <w:tcW w:w="628" w:type="pct"/>
          </w:tcPr>
          <w:p w14:paraId="36551296" w14:textId="77777777" w:rsidR="00BE3E33" w:rsidRPr="00BB2472" w:rsidRDefault="00BE3E33" w:rsidP="00541FBF">
            <w:pPr>
              <w:rPr>
                <w:rFonts w:cstheme="minorHAnsi"/>
                <w:szCs w:val="20"/>
              </w:rPr>
            </w:pPr>
            <w:r>
              <w:rPr>
                <w:rFonts w:cstheme="minorHAnsi"/>
                <w:szCs w:val="20"/>
              </w:rPr>
              <w:t xml:space="preserve">Yes </w:t>
            </w:r>
          </w:p>
        </w:tc>
        <w:tc>
          <w:tcPr>
            <w:tcW w:w="567" w:type="pct"/>
          </w:tcPr>
          <w:p w14:paraId="78B6E6F2" w14:textId="77777777" w:rsidR="00BE3E33" w:rsidRPr="00BB2472" w:rsidRDefault="00BE3E33" w:rsidP="00541FBF">
            <w:pPr>
              <w:rPr>
                <w:rFonts w:cstheme="minorHAnsi"/>
                <w:szCs w:val="20"/>
              </w:rPr>
            </w:pPr>
            <w:r>
              <w:rPr>
                <w:rFonts w:cstheme="minorHAnsi"/>
                <w:szCs w:val="20"/>
              </w:rPr>
              <w:t xml:space="preserve">Yes </w:t>
            </w:r>
          </w:p>
        </w:tc>
        <w:tc>
          <w:tcPr>
            <w:tcW w:w="793" w:type="pct"/>
          </w:tcPr>
          <w:p w14:paraId="1BC6C5AE" w14:textId="77777777" w:rsidR="00BE3E33" w:rsidRPr="00BB2472" w:rsidRDefault="00BE3E33" w:rsidP="00541FBF">
            <w:pPr>
              <w:rPr>
                <w:rFonts w:cstheme="minorHAnsi"/>
                <w:szCs w:val="20"/>
              </w:rPr>
            </w:pPr>
            <w:r>
              <w:rPr>
                <w:rFonts w:cstheme="minorHAnsi"/>
                <w:szCs w:val="20"/>
              </w:rPr>
              <w:t xml:space="preserve">Yes </w:t>
            </w:r>
          </w:p>
        </w:tc>
        <w:tc>
          <w:tcPr>
            <w:tcW w:w="793" w:type="pct"/>
          </w:tcPr>
          <w:p w14:paraId="339A701D" w14:textId="77777777" w:rsidR="00BE3E33" w:rsidRPr="00BB2472" w:rsidRDefault="005B7E03" w:rsidP="00541FBF">
            <w:pPr>
              <w:rPr>
                <w:rFonts w:cstheme="minorHAnsi"/>
                <w:szCs w:val="20"/>
              </w:rPr>
            </w:pPr>
            <w:r>
              <w:rPr>
                <w:rFonts w:cstheme="minorHAnsi"/>
                <w:szCs w:val="20"/>
              </w:rPr>
              <w:t>–</w:t>
            </w:r>
          </w:p>
        </w:tc>
        <w:tc>
          <w:tcPr>
            <w:tcW w:w="748" w:type="pct"/>
          </w:tcPr>
          <w:p w14:paraId="46CBE273" w14:textId="77777777" w:rsidR="00BE3E33" w:rsidRPr="00BB2472" w:rsidRDefault="00BE3E33" w:rsidP="00541FBF">
            <w:pPr>
              <w:rPr>
                <w:rFonts w:cstheme="minorHAnsi"/>
                <w:szCs w:val="20"/>
              </w:rPr>
            </w:pPr>
            <w:r>
              <w:rPr>
                <w:rFonts w:cstheme="minorHAnsi"/>
                <w:szCs w:val="20"/>
              </w:rPr>
              <w:t xml:space="preserve">Yes </w:t>
            </w:r>
          </w:p>
        </w:tc>
      </w:tr>
      <w:bookmarkStart w:id="80" w:name="_Hlk153344888"/>
      <w:tr w:rsidR="00BE3E33" w:rsidRPr="00BB2472" w14:paraId="575CFA4E" w14:textId="77777777" w:rsidTr="00F35F77">
        <w:trPr>
          <w:trHeight w:val="920"/>
        </w:trPr>
        <w:tc>
          <w:tcPr>
            <w:tcW w:w="947" w:type="pct"/>
          </w:tcPr>
          <w:p w14:paraId="25F09424" w14:textId="22448017" w:rsidR="00BE3E33" w:rsidRDefault="00BE3E33" w:rsidP="00541FBF">
            <w:pPr>
              <w:rPr>
                <w:rFonts w:cstheme="minorHAnsi"/>
                <w:szCs w:val="20"/>
                <w:u w:color="A7A7A9" w:themeColor="text2" w:themeTint="99"/>
              </w:rPr>
            </w:pPr>
            <w:r>
              <w:rPr>
                <w:rFonts w:cstheme="minorBidi"/>
                <w:sz w:val="22"/>
                <w:szCs w:val="22"/>
              </w:rPr>
              <w:fldChar w:fldCharType="begin"/>
            </w:r>
            <w:r>
              <w:instrText>HYPERLINK "https://www.vegahub.eu/portfolio-item/toxread/"</w:instrText>
            </w:r>
            <w:r>
              <w:rPr>
                <w:rFonts w:cstheme="minorBidi"/>
                <w:sz w:val="22"/>
                <w:szCs w:val="22"/>
              </w:rPr>
            </w:r>
            <w:r>
              <w:rPr>
                <w:rFonts w:cstheme="minorBidi"/>
                <w:sz w:val="22"/>
                <w:szCs w:val="22"/>
              </w:rPr>
              <w:fldChar w:fldCharType="separate"/>
            </w:r>
            <w:proofErr w:type="spellStart"/>
            <w:r w:rsidRPr="009048EA">
              <w:rPr>
                <w:rStyle w:val="Hyperlink"/>
                <w:rFonts w:cstheme="minorHAnsi"/>
                <w:szCs w:val="20"/>
                <w:u w:color="A7A7A9" w:themeColor="text2" w:themeTint="99"/>
              </w:rPr>
              <w:t>Toxread</w:t>
            </w:r>
            <w:proofErr w:type="spellEnd"/>
            <w:r>
              <w:rPr>
                <w:rStyle w:val="Hyperlink"/>
                <w:rFonts w:cstheme="minorHAnsi"/>
                <w:szCs w:val="20"/>
                <w:u w:color="A7A7A9" w:themeColor="text2" w:themeTint="99"/>
              </w:rPr>
              <w:fldChar w:fldCharType="end"/>
            </w:r>
            <w:bookmarkEnd w:id="80"/>
          </w:p>
        </w:tc>
        <w:tc>
          <w:tcPr>
            <w:tcW w:w="524" w:type="pct"/>
          </w:tcPr>
          <w:p w14:paraId="196FF7AE" w14:textId="77777777" w:rsidR="00BE3E33" w:rsidRPr="00BB2472" w:rsidRDefault="005B7E03" w:rsidP="00541FBF">
            <w:pPr>
              <w:rPr>
                <w:rFonts w:cstheme="minorHAnsi"/>
                <w:szCs w:val="20"/>
              </w:rPr>
            </w:pPr>
            <w:r>
              <w:rPr>
                <w:rFonts w:cstheme="minorHAnsi"/>
                <w:szCs w:val="20"/>
              </w:rPr>
              <w:t>–</w:t>
            </w:r>
          </w:p>
        </w:tc>
        <w:tc>
          <w:tcPr>
            <w:tcW w:w="628" w:type="pct"/>
          </w:tcPr>
          <w:p w14:paraId="777D9670" w14:textId="77777777" w:rsidR="00BE3E33" w:rsidRPr="00BB2472" w:rsidRDefault="005B7E03" w:rsidP="00541FBF">
            <w:pPr>
              <w:rPr>
                <w:rFonts w:cstheme="minorHAnsi"/>
                <w:szCs w:val="20"/>
              </w:rPr>
            </w:pPr>
            <w:r>
              <w:rPr>
                <w:rFonts w:cstheme="minorHAnsi"/>
                <w:szCs w:val="20"/>
              </w:rPr>
              <w:t>–</w:t>
            </w:r>
            <w:r w:rsidR="00BE3E33">
              <w:rPr>
                <w:rFonts w:cstheme="minorHAnsi"/>
                <w:szCs w:val="20"/>
              </w:rPr>
              <w:t xml:space="preserve"> </w:t>
            </w:r>
          </w:p>
        </w:tc>
        <w:tc>
          <w:tcPr>
            <w:tcW w:w="567" w:type="pct"/>
          </w:tcPr>
          <w:p w14:paraId="28014ACA" w14:textId="77777777" w:rsidR="00BE3E33" w:rsidRPr="00BB2472" w:rsidRDefault="005B7E03" w:rsidP="00541FBF">
            <w:pPr>
              <w:rPr>
                <w:rFonts w:cstheme="minorHAnsi"/>
                <w:szCs w:val="20"/>
              </w:rPr>
            </w:pPr>
            <w:r>
              <w:rPr>
                <w:rFonts w:cstheme="minorHAnsi"/>
                <w:szCs w:val="20"/>
              </w:rPr>
              <w:t>–</w:t>
            </w:r>
          </w:p>
        </w:tc>
        <w:tc>
          <w:tcPr>
            <w:tcW w:w="793" w:type="pct"/>
          </w:tcPr>
          <w:p w14:paraId="549EE3D9" w14:textId="77777777" w:rsidR="00BE3E33" w:rsidRPr="00BB2472" w:rsidRDefault="005B7E03" w:rsidP="00541FBF">
            <w:pPr>
              <w:rPr>
                <w:rFonts w:cstheme="minorHAnsi"/>
                <w:szCs w:val="20"/>
              </w:rPr>
            </w:pPr>
            <w:r>
              <w:rPr>
                <w:rFonts w:cstheme="minorHAnsi"/>
                <w:szCs w:val="20"/>
              </w:rPr>
              <w:t>–</w:t>
            </w:r>
          </w:p>
        </w:tc>
        <w:tc>
          <w:tcPr>
            <w:tcW w:w="793" w:type="pct"/>
          </w:tcPr>
          <w:p w14:paraId="6E97EC12" w14:textId="77777777" w:rsidR="00BE3E33" w:rsidRPr="00BB2472" w:rsidRDefault="005B7E03" w:rsidP="00541FBF">
            <w:pPr>
              <w:rPr>
                <w:rFonts w:cstheme="minorHAnsi"/>
                <w:szCs w:val="20"/>
              </w:rPr>
            </w:pPr>
            <w:r>
              <w:rPr>
                <w:rFonts w:cstheme="minorHAnsi"/>
                <w:szCs w:val="20"/>
              </w:rPr>
              <w:t>–</w:t>
            </w:r>
          </w:p>
        </w:tc>
        <w:tc>
          <w:tcPr>
            <w:tcW w:w="748" w:type="pct"/>
          </w:tcPr>
          <w:p w14:paraId="5548727D" w14:textId="77777777" w:rsidR="00BE3E33" w:rsidRDefault="00BE3E33" w:rsidP="00541FBF">
            <w:pPr>
              <w:rPr>
                <w:rFonts w:cstheme="minorHAnsi"/>
                <w:szCs w:val="20"/>
              </w:rPr>
            </w:pPr>
            <w:r>
              <w:rPr>
                <w:rFonts w:cstheme="minorHAnsi"/>
                <w:szCs w:val="20"/>
              </w:rPr>
              <w:t xml:space="preserve">Yes </w:t>
            </w:r>
          </w:p>
        </w:tc>
      </w:tr>
      <w:tr w:rsidR="00BE3E33" w:rsidRPr="00BB2472" w14:paraId="0C320D05" w14:textId="77777777" w:rsidTr="00F35F77">
        <w:trPr>
          <w:trHeight w:val="920"/>
        </w:trPr>
        <w:tc>
          <w:tcPr>
            <w:tcW w:w="947" w:type="pct"/>
          </w:tcPr>
          <w:p w14:paraId="24FB5476" w14:textId="5088A5C6" w:rsidR="00BE3E33" w:rsidRDefault="00BE3E33" w:rsidP="00541FBF">
            <w:pPr>
              <w:rPr>
                <w:rFonts w:cstheme="minorHAnsi"/>
                <w:szCs w:val="20"/>
                <w:u w:color="A7A7A9" w:themeColor="text2" w:themeTint="99"/>
              </w:rPr>
            </w:pPr>
            <w:hyperlink r:id="rId42" w:history="1">
              <w:proofErr w:type="spellStart"/>
              <w:r w:rsidRPr="00FA0B58">
                <w:rPr>
                  <w:rStyle w:val="Hyperlink"/>
                  <w:rFonts w:cstheme="minorHAnsi"/>
                  <w:szCs w:val="20"/>
                  <w:u w:color="A7A7A9" w:themeColor="text2" w:themeTint="99"/>
                </w:rPr>
                <w:t>PaDEL-DDPredictor</w:t>
              </w:r>
              <w:proofErr w:type="spellEnd"/>
            </w:hyperlink>
          </w:p>
        </w:tc>
        <w:tc>
          <w:tcPr>
            <w:tcW w:w="524" w:type="pct"/>
          </w:tcPr>
          <w:p w14:paraId="58E3E957" w14:textId="77777777" w:rsidR="00BE3E33" w:rsidRDefault="005B7E03" w:rsidP="00541FBF">
            <w:pPr>
              <w:rPr>
                <w:szCs w:val="20"/>
              </w:rPr>
            </w:pPr>
            <w:r>
              <w:rPr>
                <w:szCs w:val="20"/>
              </w:rPr>
              <w:t>–</w:t>
            </w:r>
          </w:p>
        </w:tc>
        <w:tc>
          <w:tcPr>
            <w:tcW w:w="628" w:type="pct"/>
          </w:tcPr>
          <w:p w14:paraId="3A7B8A78" w14:textId="77777777" w:rsidR="00BE3E33" w:rsidRDefault="00BE3E33" w:rsidP="00541FBF">
            <w:pPr>
              <w:rPr>
                <w:szCs w:val="20"/>
              </w:rPr>
            </w:pPr>
            <w:r w:rsidRPr="5973F0D6">
              <w:rPr>
                <w:szCs w:val="20"/>
              </w:rPr>
              <w:t>Yes</w:t>
            </w:r>
          </w:p>
        </w:tc>
        <w:tc>
          <w:tcPr>
            <w:tcW w:w="567" w:type="pct"/>
          </w:tcPr>
          <w:p w14:paraId="307BEB98" w14:textId="77777777" w:rsidR="00BE3E33" w:rsidRPr="004056E9" w:rsidRDefault="00BE3E33" w:rsidP="00541FBF">
            <w:pPr>
              <w:rPr>
                <w:szCs w:val="20"/>
              </w:rPr>
            </w:pPr>
            <w:r w:rsidRPr="5973F0D6">
              <w:rPr>
                <w:szCs w:val="20"/>
              </w:rPr>
              <w:t>Yes</w:t>
            </w:r>
          </w:p>
        </w:tc>
        <w:tc>
          <w:tcPr>
            <w:tcW w:w="793" w:type="pct"/>
          </w:tcPr>
          <w:p w14:paraId="1D0A036F" w14:textId="77777777" w:rsidR="00BE3E33" w:rsidRPr="00BB2472" w:rsidRDefault="005B7E03" w:rsidP="00541FBF">
            <w:pPr>
              <w:rPr>
                <w:szCs w:val="20"/>
              </w:rPr>
            </w:pPr>
            <w:r>
              <w:rPr>
                <w:szCs w:val="20"/>
              </w:rPr>
              <w:t>–</w:t>
            </w:r>
          </w:p>
        </w:tc>
        <w:tc>
          <w:tcPr>
            <w:tcW w:w="793" w:type="pct"/>
          </w:tcPr>
          <w:p w14:paraId="24326B4E" w14:textId="77777777" w:rsidR="00BE3E33" w:rsidRPr="00BB2472" w:rsidRDefault="005B7E03" w:rsidP="00541FBF">
            <w:pPr>
              <w:rPr>
                <w:rFonts w:cstheme="minorHAnsi"/>
                <w:szCs w:val="20"/>
              </w:rPr>
            </w:pPr>
            <w:r>
              <w:rPr>
                <w:rFonts w:cstheme="minorHAnsi"/>
                <w:szCs w:val="20"/>
              </w:rPr>
              <w:t>–</w:t>
            </w:r>
          </w:p>
        </w:tc>
        <w:tc>
          <w:tcPr>
            <w:tcW w:w="748" w:type="pct"/>
          </w:tcPr>
          <w:p w14:paraId="3D4B48BB" w14:textId="77777777" w:rsidR="00BE3E33" w:rsidRDefault="005B7E03" w:rsidP="00541FBF">
            <w:pPr>
              <w:rPr>
                <w:szCs w:val="20"/>
              </w:rPr>
            </w:pPr>
            <w:r>
              <w:rPr>
                <w:szCs w:val="20"/>
              </w:rPr>
              <w:t>–</w:t>
            </w:r>
          </w:p>
        </w:tc>
      </w:tr>
      <w:tr w:rsidR="00BE3E33" w:rsidRPr="00BB2472" w14:paraId="5DFA3A97" w14:textId="77777777" w:rsidTr="00F35F77">
        <w:trPr>
          <w:trHeight w:val="920"/>
        </w:trPr>
        <w:tc>
          <w:tcPr>
            <w:tcW w:w="947" w:type="pct"/>
          </w:tcPr>
          <w:p w14:paraId="772A3F8C" w14:textId="52830633" w:rsidR="00BE3E33" w:rsidRDefault="00495FDC" w:rsidP="00541FBF">
            <w:pPr>
              <w:rPr>
                <w:rFonts w:cstheme="minorHAnsi"/>
                <w:szCs w:val="20"/>
                <w:u w:color="A7A7A9" w:themeColor="text2" w:themeTint="99"/>
              </w:rPr>
            </w:pPr>
            <w:hyperlink r:id="rId43" w:history="1">
              <w:r w:rsidRPr="005D5C46">
                <w:rPr>
                  <w:rStyle w:val="Hyperlink"/>
                  <w:rFonts w:cstheme="minorHAnsi"/>
                  <w:szCs w:val="20"/>
                </w:rPr>
                <w:t>Tox21</w:t>
              </w:r>
            </w:hyperlink>
          </w:p>
        </w:tc>
        <w:tc>
          <w:tcPr>
            <w:tcW w:w="524" w:type="pct"/>
          </w:tcPr>
          <w:p w14:paraId="2AD4C9AF" w14:textId="77777777" w:rsidR="00BE3E33" w:rsidRDefault="005B7E03" w:rsidP="00541FBF">
            <w:pPr>
              <w:rPr>
                <w:szCs w:val="20"/>
              </w:rPr>
            </w:pPr>
            <w:r>
              <w:rPr>
                <w:szCs w:val="20"/>
              </w:rPr>
              <w:t>–</w:t>
            </w:r>
          </w:p>
        </w:tc>
        <w:tc>
          <w:tcPr>
            <w:tcW w:w="628" w:type="pct"/>
          </w:tcPr>
          <w:p w14:paraId="404A00BC" w14:textId="77777777" w:rsidR="00BE3E33" w:rsidRDefault="005B7E03" w:rsidP="00541FBF">
            <w:pPr>
              <w:rPr>
                <w:szCs w:val="20"/>
              </w:rPr>
            </w:pPr>
            <w:r>
              <w:rPr>
                <w:szCs w:val="20"/>
              </w:rPr>
              <w:t>–</w:t>
            </w:r>
          </w:p>
        </w:tc>
        <w:tc>
          <w:tcPr>
            <w:tcW w:w="567" w:type="pct"/>
          </w:tcPr>
          <w:p w14:paraId="720B150B" w14:textId="77777777" w:rsidR="00BE3E33" w:rsidRPr="004056E9" w:rsidRDefault="005B7E03" w:rsidP="00541FBF">
            <w:pPr>
              <w:rPr>
                <w:szCs w:val="20"/>
              </w:rPr>
            </w:pPr>
            <w:r>
              <w:rPr>
                <w:szCs w:val="20"/>
              </w:rPr>
              <w:t>–</w:t>
            </w:r>
          </w:p>
        </w:tc>
        <w:tc>
          <w:tcPr>
            <w:tcW w:w="793" w:type="pct"/>
          </w:tcPr>
          <w:p w14:paraId="2E3344A7" w14:textId="77777777" w:rsidR="00BE3E33" w:rsidRPr="00BB2472" w:rsidRDefault="00BE3E33" w:rsidP="00541FBF">
            <w:pPr>
              <w:rPr>
                <w:szCs w:val="20"/>
              </w:rPr>
            </w:pPr>
            <w:r w:rsidRPr="382B7606">
              <w:rPr>
                <w:szCs w:val="20"/>
              </w:rPr>
              <w:t xml:space="preserve">Yes </w:t>
            </w:r>
          </w:p>
        </w:tc>
        <w:tc>
          <w:tcPr>
            <w:tcW w:w="793" w:type="pct"/>
          </w:tcPr>
          <w:p w14:paraId="7FDD85AB" w14:textId="77777777" w:rsidR="00BE3E33" w:rsidRDefault="005B7E03" w:rsidP="00541FBF">
            <w:pPr>
              <w:rPr>
                <w:szCs w:val="20"/>
              </w:rPr>
            </w:pPr>
            <w:r>
              <w:rPr>
                <w:szCs w:val="20"/>
              </w:rPr>
              <w:t>–</w:t>
            </w:r>
          </w:p>
        </w:tc>
        <w:tc>
          <w:tcPr>
            <w:tcW w:w="748" w:type="pct"/>
          </w:tcPr>
          <w:p w14:paraId="705DEA81" w14:textId="77777777" w:rsidR="00BE3E33" w:rsidRDefault="005B7E03" w:rsidP="00541FBF">
            <w:pPr>
              <w:rPr>
                <w:szCs w:val="20"/>
              </w:rPr>
            </w:pPr>
            <w:r>
              <w:rPr>
                <w:szCs w:val="20"/>
              </w:rPr>
              <w:t>–</w:t>
            </w:r>
          </w:p>
        </w:tc>
      </w:tr>
      <w:tr w:rsidR="00BE3E33" w:rsidRPr="00BB2472" w14:paraId="37056FDD" w14:textId="77777777" w:rsidTr="00F35F77">
        <w:trPr>
          <w:trHeight w:val="920"/>
        </w:trPr>
        <w:tc>
          <w:tcPr>
            <w:tcW w:w="947" w:type="pct"/>
          </w:tcPr>
          <w:p w14:paraId="63A6AA11" w14:textId="2D1EA136" w:rsidR="00BE3E33" w:rsidRDefault="00BE3E33" w:rsidP="00541FBF">
            <w:hyperlink r:id="rId44" w:history="1">
              <w:proofErr w:type="spellStart"/>
              <w:r w:rsidRPr="006B4552">
                <w:rPr>
                  <w:rStyle w:val="Hyperlink"/>
                  <w:szCs w:val="20"/>
                </w:rPr>
                <w:t>iSafeRat</w:t>
              </w:r>
              <w:proofErr w:type="spellEnd"/>
              <w:r w:rsidRPr="006B4552">
                <w:rPr>
                  <w:rStyle w:val="Hyperlink"/>
                  <w:rFonts w:cs="Segoe UI"/>
                  <w:szCs w:val="20"/>
                </w:rPr>
                <w:t>® Desktop</w:t>
              </w:r>
            </w:hyperlink>
          </w:p>
        </w:tc>
        <w:tc>
          <w:tcPr>
            <w:tcW w:w="524" w:type="pct"/>
          </w:tcPr>
          <w:p w14:paraId="0BD727A5" w14:textId="77777777" w:rsidR="00BE3E33" w:rsidRPr="382B7606" w:rsidRDefault="005B7E03" w:rsidP="00541FBF">
            <w:pPr>
              <w:rPr>
                <w:szCs w:val="20"/>
              </w:rPr>
            </w:pPr>
            <w:r>
              <w:rPr>
                <w:szCs w:val="20"/>
              </w:rPr>
              <w:t>–</w:t>
            </w:r>
          </w:p>
        </w:tc>
        <w:tc>
          <w:tcPr>
            <w:tcW w:w="628" w:type="pct"/>
          </w:tcPr>
          <w:p w14:paraId="581893C5" w14:textId="77777777" w:rsidR="00BE3E33" w:rsidRPr="382B7606" w:rsidRDefault="005B7E03" w:rsidP="00541FBF">
            <w:pPr>
              <w:rPr>
                <w:szCs w:val="20"/>
              </w:rPr>
            </w:pPr>
            <w:r>
              <w:rPr>
                <w:szCs w:val="20"/>
              </w:rPr>
              <w:t>–</w:t>
            </w:r>
          </w:p>
        </w:tc>
        <w:tc>
          <w:tcPr>
            <w:tcW w:w="567" w:type="pct"/>
          </w:tcPr>
          <w:p w14:paraId="41E9DA90" w14:textId="77777777" w:rsidR="00BE3E33" w:rsidRPr="382B7606" w:rsidRDefault="00BE3E33" w:rsidP="00541FBF">
            <w:pPr>
              <w:rPr>
                <w:szCs w:val="20"/>
              </w:rPr>
            </w:pPr>
            <w:r>
              <w:rPr>
                <w:szCs w:val="20"/>
              </w:rPr>
              <w:t>Yes</w:t>
            </w:r>
          </w:p>
        </w:tc>
        <w:tc>
          <w:tcPr>
            <w:tcW w:w="793" w:type="pct"/>
          </w:tcPr>
          <w:p w14:paraId="437292AA" w14:textId="77777777" w:rsidR="00BE3E33" w:rsidRPr="382B7606" w:rsidRDefault="005B7E03" w:rsidP="00541FBF">
            <w:pPr>
              <w:rPr>
                <w:szCs w:val="20"/>
              </w:rPr>
            </w:pPr>
            <w:r>
              <w:rPr>
                <w:szCs w:val="20"/>
              </w:rPr>
              <w:t>–</w:t>
            </w:r>
          </w:p>
        </w:tc>
        <w:tc>
          <w:tcPr>
            <w:tcW w:w="793" w:type="pct"/>
          </w:tcPr>
          <w:p w14:paraId="1D71611F" w14:textId="77777777" w:rsidR="00BE3E33" w:rsidRPr="382B7606" w:rsidRDefault="005B7E03" w:rsidP="00541FBF">
            <w:pPr>
              <w:rPr>
                <w:szCs w:val="20"/>
              </w:rPr>
            </w:pPr>
            <w:r>
              <w:rPr>
                <w:szCs w:val="20"/>
              </w:rPr>
              <w:t>–</w:t>
            </w:r>
          </w:p>
        </w:tc>
        <w:tc>
          <w:tcPr>
            <w:tcW w:w="748" w:type="pct"/>
          </w:tcPr>
          <w:p w14:paraId="21A7A22D" w14:textId="77777777" w:rsidR="00BE3E33" w:rsidRPr="382B7606" w:rsidRDefault="005B7E03" w:rsidP="00541FBF">
            <w:pPr>
              <w:rPr>
                <w:szCs w:val="20"/>
              </w:rPr>
            </w:pPr>
            <w:r>
              <w:rPr>
                <w:szCs w:val="20"/>
              </w:rPr>
              <w:t>–</w:t>
            </w:r>
          </w:p>
        </w:tc>
      </w:tr>
    </w:tbl>
    <w:p w14:paraId="66A1511E" w14:textId="77777777" w:rsidR="006A1501" w:rsidRDefault="00CE206E" w:rsidP="00CE206E">
      <w:pPr>
        <w:pStyle w:val="Tableheader"/>
      </w:pPr>
      <w:r w:rsidRPr="00CE206E">
        <w:t xml:space="preserve">Table 2 </w:t>
      </w:r>
      <w:r w:rsidR="005B7E03">
        <w:t>–</w:t>
      </w:r>
      <w:r w:rsidRPr="00CE206E">
        <w:t xml:space="preserve"> In silico models for environment hazard characteristics</w:t>
      </w:r>
    </w:p>
    <w:tbl>
      <w:tblPr>
        <w:tblStyle w:val="AICISTableBasic"/>
        <w:tblW w:w="9639" w:type="dxa"/>
        <w:tblLook w:val="04A0" w:firstRow="1" w:lastRow="0" w:firstColumn="1" w:lastColumn="0" w:noHBand="0" w:noVBand="1"/>
      </w:tblPr>
      <w:tblGrid>
        <w:gridCol w:w="1548"/>
        <w:gridCol w:w="1845"/>
        <w:gridCol w:w="1980"/>
        <w:gridCol w:w="2124"/>
        <w:gridCol w:w="2142"/>
      </w:tblGrid>
      <w:tr w:rsidR="006A1501" w:rsidRPr="00E749E0" w14:paraId="3CB96ABA" w14:textId="77777777" w:rsidTr="00F35F77">
        <w:trPr>
          <w:trHeight w:val="690"/>
        </w:trPr>
        <w:tc>
          <w:tcPr>
            <w:tcW w:w="803" w:type="pct"/>
            <w:hideMark/>
          </w:tcPr>
          <w:p w14:paraId="55B1D1F3" w14:textId="77777777" w:rsidR="006A1501" w:rsidRPr="00BB2472" w:rsidRDefault="006A1501" w:rsidP="003632AA">
            <w:pPr>
              <w:rPr>
                <w:b/>
                <w:szCs w:val="20"/>
              </w:rPr>
            </w:pPr>
            <w:r>
              <w:rPr>
                <w:b/>
                <w:szCs w:val="20"/>
              </w:rPr>
              <w:t>In silico model</w:t>
            </w:r>
          </w:p>
        </w:tc>
        <w:tc>
          <w:tcPr>
            <w:tcW w:w="957" w:type="pct"/>
            <w:hideMark/>
          </w:tcPr>
          <w:p w14:paraId="21D04041" w14:textId="77777777" w:rsidR="006A1501" w:rsidRPr="00BB2472" w:rsidRDefault="006A1501" w:rsidP="003632AA">
            <w:pPr>
              <w:rPr>
                <w:b/>
                <w:szCs w:val="20"/>
              </w:rPr>
            </w:pPr>
            <w:r w:rsidRPr="00BB2472">
              <w:rPr>
                <w:b/>
                <w:szCs w:val="20"/>
              </w:rPr>
              <w:t>Acute aquatic toxicity</w:t>
            </w:r>
          </w:p>
        </w:tc>
        <w:tc>
          <w:tcPr>
            <w:tcW w:w="1027" w:type="pct"/>
            <w:hideMark/>
          </w:tcPr>
          <w:p w14:paraId="4D3DC372" w14:textId="77777777" w:rsidR="006A1501" w:rsidRPr="00BB2472" w:rsidRDefault="006A1501" w:rsidP="003632AA">
            <w:pPr>
              <w:rPr>
                <w:b/>
                <w:szCs w:val="20"/>
              </w:rPr>
            </w:pPr>
            <w:r w:rsidRPr="00BB2472">
              <w:rPr>
                <w:b/>
                <w:szCs w:val="20"/>
              </w:rPr>
              <w:t>Chronic aquatic toxicity</w:t>
            </w:r>
          </w:p>
        </w:tc>
        <w:tc>
          <w:tcPr>
            <w:tcW w:w="1102" w:type="pct"/>
            <w:hideMark/>
          </w:tcPr>
          <w:p w14:paraId="557FD157" w14:textId="77777777" w:rsidR="006A1501" w:rsidRPr="00BB2472" w:rsidRDefault="006A1501" w:rsidP="003632AA">
            <w:pPr>
              <w:rPr>
                <w:b/>
                <w:szCs w:val="20"/>
              </w:rPr>
            </w:pPr>
            <w:r w:rsidRPr="00BB2472">
              <w:rPr>
                <w:b/>
                <w:szCs w:val="20"/>
              </w:rPr>
              <w:t>Persistence (as a function of half-life)</w:t>
            </w:r>
          </w:p>
        </w:tc>
        <w:tc>
          <w:tcPr>
            <w:tcW w:w="1111" w:type="pct"/>
            <w:hideMark/>
          </w:tcPr>
          <w:p w14:paraId="238EEA26" w14:textId="77777777" w:rsidR="006A1501" w:rsidRPr="00BB2472" w:rsidRDefault="006A1501" w:rsidP="003632AA">
            <w:pPr>
              <w:rPr>
                <w:b/>
                <w:szCs w:val="20"/>
              </w:rPr>
            </w:pPr>
            <w:r w:rsidRPr="00BB2472">
              <w:rPr>
                <w:b/>
                <w:szCs w:val="20"/>
              </w:rPr>
              <w:t>Bioaccumulation (as a function of Log Kow)</w:t>
            </w:r>
          </w:p>
        </w:tc>
      </w:tr>
      <w:tr w:rsidR="006A1501" w:rsidRPr="00E749E0" w14:paraId="63FE0540" w14:textId="77777777" w:rsidTr="00F35F77">
        <w:trPr>
          <w:trHeight w:val="690"/>
        </w:trPr>
        <w:tc>
          <w:tcPr>
            <w:tcW w:w="803" w:type="pct"/>
            <w:hideMark/>
          </w:tcPr>
          <w:p w14:paraId="304040E1" w14:textId="35E1DA48" w:rsidR="006A1501" w:rsidRPr="00BB2472" w:rsidRDefault="006A1501" w:rsidP="003632AA">
            <w:pPr>
              <w:rPr>
                <w:szCs w:val="20"/>
              </w:rPr>
            </w:pPr>
            <w:hyperlink r:id="rId45" w:history="1">
              <w:r w:rsidRPr="00FA0B58">
                <w:rPr>
                  <w:rStyle w:val="Hyperlink"/>
                  <w:szCs w:val="20"/>
                  <w:u w:color="A7A7A9" w:themeColor="text2" w:themeTint="99"/>
                </w:rPr>
                <w:t>ECOSAR</w:t>
              </w:r>
            </w:hyperlink>
          </w:p>
        </w:tc>
        <w:tc>
          <w:tcPr>
            <w:tcW w:w="957" w:type="pct"/>
            <w:hideMark/>
          </w:tcPr>
          <w:p w14:paraId="2C05D361" w14:textId="77777777" w:rsidR="006A1501" w:rsidRPr="00BB2472" w:rsidRDefault="006A1501" w:rsidP="003632AA">
            <w:pPr>
              <w:rPr>
                <w:szCs w:val="20"/>
              </w:rPr>
            </w:pPr>
            <w:r w:rsidRPr="00BB2472">
              <w:rPr>
                <w:szCs w:val="20"/>
              </w:rPr>
              <w:t>Yes</w:t>
            </w:r>
          </w:p>
        </w:tc>
        <w:tc>
          <w:tcPr>
            <w:tcW w:w="1027" w:type="pct"/>
            <w:hideMark/>
          </w:tcPr>
          <w:p w14:paraId="768AE955" w14:textId="77777777" w:rsidR="006A1501" w:rsidRPr="00BB2472" w:rsidRDefault="005B7E03" w:rsidP="003632AA">
            <w:pPr>
              <w:rPr>
                <w:szCs w:val="20"/>
              </w:rPr>
            </w:pPr>
            <w:r>
              <w:rPr>
                <w:szCs w:val="20"/>
              </w:rPr>
              <w:t>–</w:t>
            </w:r>
          </w:p>
        </w:tc>
        <w:tc>
          <w:tcPr>
            <w:tcW w:w="1102" w:type="pct"/>
            <w:hideMark/>
          </w:tcPr>
          <w:p w14:paraId="4A264B74" w14:textId="77777777" w:rsidR="006A1501" w:rsidRPr="00BB2472" w:rsidRDefault="005B7E03" w:rsidP="003632AA">
            <w:pPr>
              <w:rPr>
                <w:szCs w:val="20"/>
              </w:rPr>
            </w:pPr>
            <w:r>
              <w:rPr>
                <w:szCs w:val="20"/>
              </w:rPr>
              <w:t>–</w:t>
            </w:r>
          </w:p>
        </w:tc>
        <w:tc>
          <w:tcPr>
            <w:tcW w:w="1111" w:type="pct"/>
            <w:hideMark/>
          </w:tcPr>
          <w:p w14:paraId="3A29786F" w14:textId="77777777" w:rsidR="006A1501" w:rsidRPr="00BB2472" w:rsidRDefault="005B7E03" w:rsidP="003632AA">
            <w:pPr>
              <w:rPr>
                <w:szCs w:val="20"/>
              </w:rPr>
            </w:pPr>
            <w:r>
              <w:rPr>
                <w:szCs w:val="20"/>
              </w:rPr>
              <w:t>–</w:t>
            </w:r>
          </w:p>
        </w:tc>
      </w:tr>
      <w:tr w:rsidR="006A1501" w:rsidRPr="00E749E0" w14:paraId="24B5C19D" w14:textId="77777777" w:rsidTr="00F35F77">
        <w:trPr>
          <w:trHeight w:val="690"/>
        </w:trPr>
        <w:tc>
          <w:tcPr>
            <w:tcW w:w="803" w:type="pct"/>
            <w:hideMark/>
          </w:tcPr>
          <w:p w14:paraId="231C5AAB" w14:textId="24CD559B" w:rsidR="006A1501" w:rsidRPr="00BB2472" w:rsidRDefault="006A1501" w:rsidP="003632AA">
            <w:pPr>
              <w:rPr>
                <w:szCs w:val="20"/>
              </w:rPr>
            </w:pPr>
            <w:hyperlink r:id="rId46" w:history="1">
              <w:r w:rsidRPr="00FA0B58">
                <w:rPr>
                  <w:rStyle w:val="Hyperlink"/>
                  <w:szCs w:val="20"/>
                  <w:u w:color="A7A7A9" w:themeColor="text2" w:themeTint="99"/>
                </w:rPr>
                <w:t>EPI Suite</w:t>
              </w:r>
            </w:hyperlink>
          </w:p>
        </w:tc>
        <w:tc>
          <w:tcPr>
            <w:tcW w:w="957" w:type="pct"/>
            <w:hideMark/>
          </w:tcPr>
          <w:p w14:paraId="11CF139D" w14:textId="77777777" w:rsidR="006A1501" w:rsidRPr="00BB2472" w:rsidRDefault="005B7E03" w:rsidP="003632AA">
            <w:pPr>
              <w:rPr>
                <w:szCs w:val="20"/>
              </w:rPr>
            </w:pPr>
            <w:r>
              <w:rPr>
                <w:szCs w:val="20"/>
              </w:rPr>
              <w:t>–</w:t>
            </w:r>
          </w:p>
        </w:tc>
        <w:tc>
          <w:tcPr>
            <w:tcW w:w="1027" w:type="pct"/>
            <w:hideMark/>
          </w:tcPr>
          <w:p w14:paraId="50301812" w14:textId="77777777" w:rsidR="006A1501" w:rsidRPr="00BB2472" w:rsidRDefault="005B7E03" w:rsidP="003632AA">
            <w:pPr>
              <w:rPr>
                <w:szCs w:val="20"/>
              </w:rPr>
            </w:pPr>
            <w:r>
              <w:rPr>
                <w:szCs w:val="20"/>
              </w:rPr>
              <w:t>–</w:t>
            </w:r>
          </w:p>
        </w:tc>
        <w:tc>
          <w:tcPr>
            <w:tcW w:w="1102" w:type="pct"/>
            <w:hideMark/>
          </w:tcPr>
          <w:p w14:paraId="6018408E" w14:textId="77777777" w:rsidR="006A1501" w:rsidRPr="00BB2472" w:rsidRDefault="006A1501" w:rsidP="003632AA">
            <w:pPr>
              <w:rPr>
                <w:szCs w:val="20"/>
              </w:rPr>
            </w:pPr>
            <w:r w:rsidRPr="00BB2472">
              <w:rPr>
                <w:szCs w:val="20"/>
              </w:rPr>
              <w:t>Yes</w:t>
            </w:r>
          </w:p>
        </w:tc>
        <w:tc>
          <w:tcPr>
            <w:tcW w:w="1111" w:type="pct"/>
            <w:hideMark/>
          </w:tcPr>
          <w:p w14:paraId="1D717582" w14:textId="77777777" w:rsidR="006A1501" w:rsidRPr="00BB2472" w:rsidRDefault="005B7E03" w:rsidP="003632AA">
            <w:pPr>
              <w:rPr>
                <w:szCs w:val="20"/>
              </w:rPr>
            </w:pPr>
            <w:r>
              <w:rPr>
                <w:szCs w:val="20"/>
              </w:rPr>
              <w:t>–</w:t>
            </w:r>
          </w:p>
        </w:tc>
      </w:tr>
      <w:tr w:rsidR="006A1501" w:rsidRPr="00E749E0" w14:paraId="0136D5BE" w14:textId="77777777" w:rsidTr="00F35F77">
        <w:trPr>
          <w:trHeight w:val="690"/>
        </w:trPr>
        <w:tc>
          <w:tcPr>
            <w:tcW w:w="803" w:type="pct"/>
            <w:hideMark/>
          </w:tcPr>
          <w:p w14:paraId="6BD15F27" w14:textId="37896239" w:rsidR="006A1501" w:rsidRPr="00BB2472" w:rsidRDefault="006A1501" w:rsidP="003632AA">
            <w:pPr>
              <w:rPr>
                <w:szCs w:val="20"/>
              </w:rPr>
            </w:pPr>
            <w:hyperlink r:id="rId47" w:history="1">
              <w:r w:rsidRPr="00FA0B58">
                <w:rPr>
                  <w:rStyle w:val="Hyperlink"/>
                  <w:szCs w:val="20"/>
                  <w:u w:color="A7A7A9" w:themeColor="text2" w:themeTint="99"/>
                </w:rPr>
                <w:t>KOWWIN</w:t>
              </w:r>
            </w:hyperlink>
          </w:p>
        </w:tc>
        <w:tc>
          <w:tcPr>
            <w:tcW w:w="957" w:type="pct"/>
            <w:hideMark/>
          </w:tcPr>
          <w:p w14:paraId="5A3C4112" w14:textId="77777777" w:rsidR="006A1501" w:rsidRPr="00BB2472" w:rsidRDefault="005B7E03" w:rsidP="003632AA">
            <w:pPr>
              <w:rPr>
                <w:szCs w:val="20"/>
              </w:rPr>
            </w:pPr>
            <w:r>
              <w:rPr>
                <w:szCs w:val="20"/>
              </w:rPr>
              <w:t>–</w:t>
            </w:r>
          </w:p>
        </w:tc>
        <w:tc>
          <w:tcPr>
            <w:tcW w:w="1027" w:type="pct"/>
            <w:hideMark/>
          </w:tcPr>
          <w:p w14:paraId="54992A93" w14:textId="77777777" w:rsidR="006A1501" w:rsidRPr="00BB2472" w:rsidRDefault="005B7E03" w:rsidP="003632AA">
            <w:pPr>
              <w:rPr>
                <w:szCs w:val="20"/>
              </w:rPr>
            </w:pPr>
            <w:r>
              <w:rPr>
                <w:szCs w:val="20"/>
              </w:rPr>
              <w:t>–</w:t>
            </w:r>
          </w:p>
        </w:tc>
        <w:tc>
          <w:tcPr>
            <w:tcW w:w="1102" w:type="pct"/>
            <w:hideMark/>
          </w:tcPr>
          <w:p w14:paraId="13033DD8" w14:textId="77777777" w:rsidR="006A1501" w:rsidRPr="00BB2472" w:rsidRDefault="005B7E03" w:rsidP="003632AA">
            <w:pPr>
              <w:rPr>
                <w:szCs w:val="20"/>
              </w:rPr>
            </w:pPr>
            <w:r>
              <w:rPr>
                <w:szCs w:val="20"/>
              </w:rPr>
              <w:t>–</w:t>
            </w:r>
          </w:p>
        </w:tc>
        <w:tc>
          <w:tcPr>
            <w:tcW w:w="1111" w:type="pct"/>
            <w:hideMark/>
          </w:tcPr>
          <w:p w14:paraId="7E684548" w14:textId="77777777" w:rsidR="006A1501" w:rsidRPr="00BB2472" w:rsidRDefault="006A1501" w:rsidP="003632AA">
            <w:pPr>
              <w:rPr>
                <w:szCs w:val="20"/>
              </w:rPr>
            </w:pPr>
            <w:r w:rsidRPr="00BB2472">
              <w:rPr>
                <w:szCs w:val="20"/>
              </w:rPr>
              <w:t>Yes</w:t>
            </w:r>
          </w:p>
        </w:tc>
      </w:tr>
      <w:tr w:rsidR="006A1501" w:rsidRPr="00E749E0" w14:paraId="73CC9E9A" w14:textId="77777777" w:rsidTr="00F35F77">
        <w:trPr>
          <w:trHeight w:val="690"/>
        </w:trPr>
        <w:tc>
          <w:tcPr>
            <w:tcW w:w="803" w:type="pct"/>
          </w:tcPr>
          <w:p w14:paraId="2FB293CB" w14:textId="4336A6B5" w:rsidR="006A1501" w:rsidRPr="00B8656C" w:rsidRDefault="006A1501" w:rsidP="003632AA">
            <w:pPr>
              <w:rPr>
                <w:szCs w:val="20"/>
              </w:rPr>
            </w:pPr>
            <w:hyperlink r:id="rId48" w:history="1">
              <w:r w:rsidRPr="002173F7">
                <w:rPr>
                  <w:rStyle w:val="Hyperlink"/>
                  <w:szCs w:val="20"/>
                </w:rPr>
                <w:t>OASIS-CATALOGIC</w:t>
              </w:r>
            </w:hyperlink>
          </w:p>
        </w:tc>
        <w:tc>
          <w:tcPr>
            <w:tcW w:w="957" w:type="pct"/>
          </w:tcPr>
          <w:p w14:paraId="70DCAE4F" w14:textId="77777777" w:rsidR="006A1501" w:rsidRPr="00BB2472" w:rsidRDefault="006A1501" w:rsidP="003632AA">
            <w:pPr>
              <w:rPr>
                <w:szCs w:val="20"/>
              </w:rPr>
            </w:pPr>
            <w:r>
              <w:rPr>
                <w:szCs w:val="20"/>
              </w:rPr>
              <w:t>Yes</w:t>
            </w:r>
          </w:p>
        </w:tc>
        <w:tc>
          <w:tcPr>
            <w:tcW w:w="1027" w:type="pct"/>
          </w:tcPr>
          <w:p w14:paraId="5D17F0B1" w14:textId="77777777" w:rsidR="006A1501" w:rsidRPr="00BB2472" w:rsidRDefault="006A1501" w:rsidP="003632AA">
            <w:pPr>
              <w:rPr>
                <w:szCs w:val="20"/>
              </w:rPr>
            </w:pPr>
          </w:p>
        </w:tc>
        <w:tc>
          <w:tcPr>
            <w:tcW w:w="1102" w:type="pct"/>
          </w:tcPr>
          <w:p w14:paraId="7A798C64" w14:textId="77777777" w:rsidR="006A1501" w:rsidRPr="00BB2472" w:rsidRDefault="006A1501" w:rsidP="003632AA">
            <w:pPr>
              <w:rPr>
                <w:szCs w:val="20"/>
              </w:rPr>
            </w:pPr>
            <w:r>
              <w:rPr>
                <w:szCs w:val="20"/>
              </w:rPr>
              <w:t>Yes</w:t>
            </w:r>
          </w:p>
        </w:tc>
        <w:tc>
          <w:tcPr>
            <w:tcW w:w="1111" w:type="pct"/>
          </w:tcPr>
          <w:p w14:paraId="240BCD38" w14:textId="77777777" w:rsidR="006A1501" w:rsidRPr="00BB2472" w:rsidRDefault="006A1501" w:rsidP="003632AA">
            <w:pPr>
              <w:rPr>
                <w:szCs w:val="20"/>
              </w:rPr>
            </w:pPr>
            <w:r>
              <w:rPr>
                <w:szCs w:val="20"/>
              </w:rPr>
              <w:t>Yes</w:t>
            </w:r>
          </w:p>
        </w:tc>
      </w:tr>
      <w:tr w:rsidR="006A1501" w:rsidRPr="00E749E0" w14:paraId="49C077C8" w14:textId="77777777" w:rsidTr="00F35F77">
        <w:trPr>
          <w:trHeight w:val="690"/>
        </w:trPr>
        <w:tc>
          <w:tcPr>
            <w:tcW w:w="803" w:type="pct"/>
          </w:tcPr>
          <w:p w14:paraId="0BED822B" w14:textId="5E9FB4B4" w:rsidR="006A1501" w:rsidRDefault="006A1501" w:rsidP="003632AA">
            <w:pPr>
              <w:rPr>
                <w:szCs w:val="20"/>
              </w:rPr>
            </w:pPr>
            <w:hyperlink r:id="rId49" w:history="1">
              <w:proofErr w:type="spellStart"/>
              <w:r w:rsidRPr="006B4552">
                <w:rPr>
                  <w:rStyle w:val="Hyperlink"/>
                  <w:szCs w:val="20"/>
                </w:rPr>
                <w:t>iSafeRat</w:t>
              </w:r>
              <w:proofErr w:type="spellEnd"/>
              <w:r w:rsidRPr="006B4552">
                <w:rPr>
                  <w:rStyle w:val="Hyperlink"/>
                  <w:rFonts w:cs="Segoe UI"/>
                  <w:szCs w:val="20"/>
                </w:rPr>
                <w:t>® Desktop</w:t>
              </w:r>
            </w:hyperlink>
          </w:p>
        </w:tc>
        <w:tc>
          <w:tcPr>
            <w:tcW w:w="957" w:type="pct"/>
          </w:tcPr>
          <w:p w14:paraId="31A767CA" w14:textId="77777777" w:rsidR="006A1501" w:rsidRDefault="006A1501" w:rsidP="003632AA">
            <w:pPr>
              <w:rPr>
                <w:szCs w:val="20"/>
              </w:rPr>
            </w:pPr>
            <w:r>
              <w:rPr>
                <w:szCs w:val="20"/>
              </w:rPr>
              <w:t>Yes</w:t>
            </w:r>
          </w:p>
        </w:tc>
        <w:tc>
          <w:tcPr>
            <w:tcW w:w="1027" w:type="pct"/>
          </w:tcPr>
          <w:p w14:paraId="7E4584C0" w14:textId="77777777" w:rsidR="006A1501" w:rsidRDefault="006A1501" w:rsidP="003632AA">
            <w:pPr>
              <w:rPr>
                <w:szCs w:val="20"/>
              </w:rPr>
            </w:pPr>
          </w:p>
        </w:tc>
        <w:tc>
          <w:tcPr>
            <w:tcW w:w="1102" w:type="pct"/>
          </w:tcPr>
          <w:p w14:paraId="4C02A7D2" w14:textId="77777777" w:rsidR="006A1501" w:rsidRDefault="006A1501" w:rsidP="003632AA">
            <w:pPr>
              <w:rPr>
                <w:szCs w:val="20"/>
              </w:rPr>
            </w:pPr>
          </w:p>
        </w:tc>
        <w:tc>
          <w:tcPr>
            <w:tcW w:w="1111" w:type="pct"/>
          </w:tcPr>
          <w:p w14:paraId="1CECF6B0" w14:textId="77777777" w:rsidR="006A1501" w:rsidRDefault="006A1501" w:rsidP="003632AA">
            <w:pPr>
              <w:rPr>
                <w:szCs w:val="20"/>
              </w:rPr>
            </w:pPr>
            <w:r>
              <w:rPr>
                <w:szCs w:val="20"/>
              </w:rPr>
              <w:t>Yes</w:t>
            </w:r>
          </w:p>
        </w:tc>
      </w:tr>
    </w:tbl>
    <w:p w14:paraId="77C0162F" w14:textId="77777777" w:rsidR="00D33555" w:rsidRDefault="00D33555" w:rsidP="00495164">
      <w:pPr>
        <w:pStyle w:val="Heading2"/>
      </w:pPr>
      <w:bookmarkStart w:id="81" w:name="_Toc238816846"/>
      <w:r>
        <w:t xml:space="preserve">8.3 </w:t>
      </w:r>
      <w:r w:rsidR="0004494F">
        <w:tab/>
      </w:r>
      <w:r>
        <w:t>Suitable read</w:t>
      </w:r>
      <w:r w:rsidR="005523C1">
        <w:t>-</w:t>
      </w:r>
      <w:r>
        <w:t>across information</w:t>
      </w:r>
      <w:bookmarkEnd w:id="81"/>
    </w:p>
    <w:p w14:paraId="1F2003CF" w14:textId="77777777" w:rsidR="00D33555" w:rsidRDefault="00D33555" w:rsidP="00D33555">
      <w:r>
        <w:t>For your read</w:t>
      </w:r>
      <w:r w:rsidR="00D94FD0">
        <w:t>-</w:t>
      </w:r>
      <w:r>
        <w:t>across information to be considered suitable, you must consider the suitability of the source chemical/s for each of the hazard characteristics you are trying to predict. To do this you will need to look at the source chemical’s areas of similarity to your chemical, outlined below. If you are using a category approach, then in addition to the following considerations, you may also need to consider that the chemical’s properties may not be very similar. Rather, they may follow a regular trend, which allows you to predict the hazard characteristic for your chemical.</w:t>
      </w:r>
    </w:p>
    <w:p w14:paraId="2A3EE40F" w14:textId="77777777" w:rsidR="00D33555" w:rsidRDefault="00D33555" w:rsidP="000A5B68">
      <w:pPr>
        <w:pStyle w:val="Bulletlist"/>
      </w:pPr>
      <w:r>
        <w:t>Similar structure</w:t>
      </w:r>
    </w:p>
    <w:p w14:paraId="49BFCE58" w14:textId="77777777" w:rsidR="00D33555" w:rsidRDefault="00D33555" w:rsidP="00C144B1">
      <w:pPr>
        <w:pStyle w:val="Bulletlist2"/>
      </w:pPr>
      <w:r>
        <w:t>Does the source chemical/s contain most, if not all, of the same structural features as your (target) chemical?</w:t>
      </w:r>
    </w:p>
    <w:p w14:paraId="5E5BD6F7" w14:textId="77777777" w:rsidR="00D33555" w:rsidRDefault="00D33555" w:rsidP="00C144B1">
      <w:pPr>
        <w:pStyle w:val="Bulletlist2"/>
      </w:pPr>
      <w:r>
        <w:lastRenderedPageBreak/>
        <w:t>Are the relevant substructures for the hazard characteristic for which there is a data gap similar?</w:t>
      </w:r>
    </w:p>
    <w:p w14:paraId="0452A923" w14:textId="77777777" w:rsidR="00D33555" w:rsidRDefault="00D33555" w:rsidP="000A5B68">
      <w:pPr>
        <w:pStyle w:val="Bulletlist"/>
      </w:pPr>
      <w:r>
        <w:t>Similar physical-chemical properties</w:t>
      </w:r>
    </w:p>
    <w:p w14:paraId="722F4A4D" w14:textId="77777777" w:rsidR="00D33555" w:rsidRDefault="00D33555" w:rsidP="00C144B1">
      <w:pPr>
        <w:pStyle w:val="Bulletlist2"/>
      </w:pPr>
      <w:r>
        <w:t>Does the source chemical/s have similar physical-chemical properties to your chemical? This may influence bioavailability and environmental fate.</w:t>
      </w:r>
    </w:p>
    <w:p w14:paraId="1B425AB8" w14:textId="77777777" w:rsidR="00D33555" w:rsidRDefault="00D33555" w:rsidP="000A5B68">
      <w:pPr>
        <w:pStyle w:val="Bulletlist"/>
      </w:pPr>
      <w:r>
        <w:t>Similar metabolism/degradation</w:t>
      </w:r>
    </w:p>
    <w:p w14:paraId="5B9F0A4D" w14:textId="77777777" w:rsidR="00D33555" w:rsidRDefault="00D33555" w:rsidP="00C144B1">
      <w:pPr>
        <w:pStyle w:val="Bulletlist2"/>
      </w:pPr>
      <w:r>
        <w:t>Is metabolism/degradation important for the hazard characteristic you are predicting?</w:t>
      </w:r>
    </w:p>
    <w:p w14:paraId="7F5B146B" w14:textId="77777777" w:rsidR="00D33555" w:rsidRDefault="00D33555" w:rsidP="00C144B1">
      <w:pPr>
        <w:pStyle w:val="Bulletlist2"/>
      </w:pPr>
      <w:r>
        <w:t>If so, does the source chemical/s produce similar breakdown products (metabolites or degradants) to your chemical?</w:t>
      </w:r>
    </w:p>
    <w:p w14:paraId="642B5504" w14:textId="77777777" w:rsidR="00D33555" w:rsidRDefault="00D33555" w:rsidP="000A5B68">
      <w:pPr>
        <w:pStyle w:val="Bulletlist"/>
      </w:pPr>
      <w:r>
        <w:t>Similar mode of action</w:t>
      </w:r>
    </w:p>
    <w:p w14:paraId="6D6955F0" w14:textId="77777777" w:rsidR="00D33555" w:rsidRDefault="00D33555" w:rsidP="00C144B1">
      <w:pPr>
        <w:pStyle w:val="Bulletlist2"/>
      </w:pPr>
      <w:r>
        <w:t>Do you know the relevant mode of action for the hazard characteristic you are predicting?</w:t>
      </w:r>
    </w:p>
    <w:p w14:paraId="7D12D012" w14:textId="77777777" w:rsidR="00D33555" w:rsidRDefault="00D33555" w:rsidP="00C144B1">
      <w:pPr>
        <w:pStyle w:val="Bulletlist2"/>
      </w:pPr>
      <w:r>
        <w:t>If so, does the source chemical/s have a similar mode of action to your chemical?</w:t>
      </w:r>
    </w:p>
    <w:p w14:paraId="55C5345B" w14:textId="77777777" w:rsidR="00D33555" w:rsidRDefault="00D33555" w:rsidP="000A5B68">
      <w:pPr>
        <w:pStyle w:val="Bulletlist"/>
      </w:pPr>
      <w:r>
        <w:t>Similar reactivity/stability</w:t>
      </w:r>
    </w:p>
    <w:p w14:paraId="09765D9B" w14:textId="77777777" w:rsidR="005E1301" w:rsidRDefault="00D33555" w:rsidP="00C144B1">
      <w:pPr>
        <w:pStyle w:val="Bulletlist2"/>
      </w:pPr>
      <w:r>
        <w:t>Does the source chemical/s have similar reactivity/stability to your chemical?</w:t>
      </w:r>
      <w:r w:rsidR="00FA7D39">
        <w:t xml:space="preserve"> </w:t>
      </w:r>
    </w:p>
    <w:p w14:paraId="1CF1AEEB" w14:textId="77777777" w:rsidR="00E251D6" w:rsidRDefault="00D33555" w:rsidP="005E1301">
      <w:r>
        <w:t>Not all of these will be relevant for every read-across justification. Regardless, you will still need to consider them all and document even if an area is not relevant.</w:t>
      </w:r>
      <w:r w:rsidR="00EC09DB">
        <w:t xml:space="preserve"> </w:t>
      </w:r>
      <w:r>
        <w:t xml:space="preserve">UVCB substances (chemical substances of Unknown or Variable Composition, Complex reaction products and </w:t>
      </w:r>
      <w:proofErr w:type="gramStart"/>
      <w:r>
        <w:t>Biological</w:t>
      </w:r>
      <w:proofErr w:type="gramEnd"/>
      <w:r>
        <w:t xml:space="preserve"> materials) may need more justification to account for complexity of the composition and its impacts on the predictions of hazard characteristics</w:t>
      </w:r>
    </w:p>
    <w:p w14:paraId="7ED03C44" w14:textId="77777777" w:rsidR="00E251D6" w:rsidRDefault="004364DB" w:rsidP="004364DB">
      <w:r>
        <w:t xml:space="preserve">UVCB substances (chemical substances of Unknown or Variable Composition, Complex reaction products and </w:t>
      </w:r>
      <w:proofErr w:type="gramStart"/>
      <w:r>
        <w:t>Biological</w:t>
      </w:r>
      <w:proofErr w:type="gramEnd"/>
      <w:r>
        <w:t xml:space="preserve"> materials) may need more justification to account for complexity of the composition and its impacts on the predictions of hazard characteristics.</w:t>
      </w:r>
    </w:p>
    <w:p w14:paraId="15A5072C" w14:textId="77777777" w:rsidR="00224E0E" w:rsidRDefault="00224E0E" w:rsidP="005E1CCD">
      <w:pPr>
        <w:pStyle w:val="Heading2"/>
      </w:pPr>
      <w:bookmarkStart w:id="82" w:name="_Toc238816847"/>
      <w:r>
        <w:t>8.4 Acceptable test guidelines</w:t>
      </w:r>
      <w:bookmarkEnd w:id="82"/>
    </w:p>
    <w:p w14:paraId="7710F03B" w14:textId="77777777" w:rsidR="00224E0E" w:rsidRDefault="00224E0E" w:rsidP="00224E0E">
      <w:r>
        <w:t>The acceptable test guidelines for each hazard characteristic and property are set out in the tables below. They include:</w:t>
      </w:r>
    </w:p>
    <w:p w14:paraId="5FDD120D" w14:textId="77777777" w:rsidR="00224E0E" w:rsidRDefault="00224E0E" w:rsidP="000A5B68">
      <w:pPr>
        <w:pStyle w:val="Bulletlist"/>
      </w:pPr>
      <w:r>
        <w:t>current Organisation for Economic Cooperation and Development (OECD) test guidelines (and their adopted versions if the version shown in the table below is only a draft version)</w:t>
      </w:r>
    </w:p>
    <w:p w14:paraId="3F0A5810" w14:textId="77777777" w:rsidR="00224E0E" w:rsidRDefault="00224E0E" w:rsidP="000A5B68">
      <w:pPr>
        <w:pStyle w:val="Bulletlist"/>
      </w:pPr>
      <w:r>
        <w:t>deleted and superseded OECD test guidelines if the study was done before the guideline was deleted or superseded</w:t>
      </w:r>
    </w:p>
    <w:p w14:paraId="0AE12167" w14:textId="77777777" w:rsidR="00224E0E" w:rsidRDefault="00224E0E" w:rsidP="000A5B68">
      <w:pPr>
        <w:pStyle w:val="Bulletlist"/>
      </w:pPr>
      <w:r>
        <w:t>US EPA OPPT (Office of Prevention, Pesticides and Toxic Substances) test guidelines</w:t>
      </w:r>
    </w:p>
    <w:p w14:paraId="79CB19BF" w14:textId="77777777" w:rsidR="00224E0E" w:rsidRDefault="00224E0E" w:rsidP="000A5B68">
      <w:pPr>
        <w:pStyle w:val="Bulletlist"/>
      </w:pPr>
      <w:r>
        <w:t>US EPA OCSPP (Office of Chemical Safety and Pollution Prevention) Harmonised Test Guidelines</w:t>
      </w:r>
    </w:p>
    <w:p w14:paraId="7FA7B077" w14:textId="77777777" w:rsidR="00224E0E" w:rsidRDefault="00224E0E" w:rsidP="000A5B68">
      <w:pPr>
        <w:pStyle w:val="Bulletlist"/>
      </w:pPr>
      <w:r>
        <w:t>test methods for EU REACH, set out in Council Regulation (EC) No 440/2008 (Test Methods Regulation).</w:t>
      </w:r>
    </w:p>
    <w:p w14:paraId="5F29BDA3" w14:textId="77777777" w:rsidR="006979F6" w:rsidRDefault="006979F6" w:rsidP="006979F6"/>
    <w:p w14:paraId="5F5D1285" w14:textId="77777777" w:rsidR="00E16162" w:rsidRDefault="00224E0E" w:rsidP="005D2874">
      <w:pPr>
        <w:pStyle w:val="Heading3"/>
      </w:pPr>
      <w:r>
        <w:t xml:space="preserve">8.4.1 </w:t>
      </w:r>
      <w:bookmarkStart w:id="83" w:name="_Hlk179275143"/>
      <w:r>
        <w:t>Acceptable test guidelines for human health hazard characteristics</w:t>
      </w:r>
    </w:p>
    <w:tbl>
      <w:tblPr>
        <w:tblStyle w:val="AICISTableBasic"/>
        <w:tblW w:w="9639" w:type="dxa"/>
        <w:tblLook w:val="0620" w:firstRow="1" w:lastRow="0" w:firstColumn="0" w:lastColumn="0" w:noHBand="1" w:noVBand="1"/>
      </w:tblPr>
      <w:tblGrid>
        <w:gridCol w:w="2333"/>
        <w:gridCol w:w="1519"/>
        <w:gridCol w:w="5787"/>
      </w:tblGrid>
      <w:tr w:rsidR="00E52B0F" w14:paraId="218CE9DE" w14:textId="77777777" w:rsidTr="005E1301">
        <w:trPr>
          <w:trHeight w:val="567"/>
          <w:tblHeader/>
        </w:trPr>
        <w:tc>
          <w:tcPr>
            <w:tcW w:w="2333" w:type="dxa"/>
          </w:tcPr>
          <w:bookmarkEnd w:id="83"/>
          <w:p w14:paraId="109C5F45" w14:textId="77777777" w:rsidR="00E52B0F" w:rsidRPr="006F6A3F" w:rsidRDefault="00E52B0F" w:rsidP="003632AA">
            <w:pPr>
              <w:rPr>
                <w:b/>
                <w:lang w:eastAsia="en-AU"/>
              </w:rPr>
            </w:pPr>
            <w:r w:rsidRPr="006F6A3F">
              <w:rPr>
                <w:b/>
                <w:lang w:eastAsia="en-AU"/>
              </w:rPr>
              <w:t xml:space="preserve">Hazard </w:t>
            </w:r>
            <w:r>
              <w:rPr>
                <w:b/>
                <w:lang w:eastAsia="en-AU"/>
              </w:rPr>
              <w:t xml:space="preserve">tested </w:t>
            </w:r>
          </w:p>
        </w:tc>
        <w:tc>
          <w:tcPr>
            <w:tcW w:w="1519" w:type="dxa"/>
          </w:tcPr>
          <w:p w14:paraId="59FFA392" w14:textId="77777777" w:rsidR="00E52B0F" w:rsidRPr="006F6A3F" w:rsidRDefault="00E52B0F" w:rsidP="003632AA">
            <w:pPr>
              <w:rPr>
                <w:b/>
                <w:lang w:eastAsia="en-AU"/>
              </w:rPr>
            </w:pPr>
            <w:r>
              <w:rPr>
                <w:b/>
                <w:lang w:eastAsia="en-AU"/>
              </w:rPr>
              <w:t>OECD t</w:t>
            </w:r>
            <w:r w:rsidRPr="006F6A3F">
              <w:rPr>
                <w:b/>
                <w:lang w:eastAsia="en-AU"/>
              </w:rPr>
              <w:t>est guidelines</w:t>
            </w:r>
          </w:p>
        </w:tc>
        <w:tc>
          <w:tcPr>
            <w:tcW w:w="5787" w:type="dxa"/>
          </w:tcPr>
          <w:p w14:paraId="3F32F926" w14:textId="77777777" w:rsidR="00E52B0F" w:rsidRPr="006F6A3F" w:rsidRDefault="00E52B0F" w:rsidP="003632AA">
            <w:pPr>
              <w:rPr>
                <w:b/>
                <w:lang w:eastAsia="en-AU"/>
              </w:rPr>
            </w:pPr>
            <w:r>
              <w:rPr>
                <w:b/>
                <w:lang w:eastAsia="en-AU"/>
              </w:rPr>
              <w:t>Equivalent test guidelines</w:t>
            </w:r>
          </w:p>
        </w:tc>
      </w:tr>
      <w:tr w:rsidR="00E52B0F" w14:paraId="55154646" w14:textId="77777777" w:rsidTr="005E1301">
        <w:trPr>
          <w:trHeight w:val="473"/>
        </w:trPr>
        <w:tc>
          <w:tcPr>
            <w:tcW w:w="2333" w:type="dxa"/>
          </w:tcPr>
          <w:p w14:paraId="35F4B2EE" w14:textId="77777777" w:rsidR="00E52B0F" w:rsidRDefault="00E52B0F" w:rsidP="003632AA">
            <w:pPr>
              <w:rPr>
                <w:lang w:eastAsia="en-AU"/>
              </w:rPr>
            </w:pPr>
            <w:r>
              <w:rPr>
                <w:lang w:eastAsia="en-AU"/>
              </w:rPr>
              <w:t>Acute dermal toxicity – in vivo</w:t>
            </w:r>
          </w:p>
        </w:tc>
        <w:tc>
          <w:tcPr>
            <w:tcW w:w="1519" w:type="dxa"/>
          </w:tcPr>
          <w:p w14:paraId="078120AB" w14:textId="77777777" w:rsidR="00E52B0F" w:rsidRPr="00777765" w:rsidRDefault="00E52B0F" w:rsidP="003632AA">
            <w:r w:rsidRPr="00777765">
              <w:t>402 or draft 434</w:t>
            </w:r>
          </w:p>
        </w:tc>
        <w:tc>
          <w:tcPr>
            <w:tcW w:w="5787" w:type="dxa"/>
          </w:tcPr>
          <w:p w14:paraId="7FCEE92E" w14:textId="77777777" w:rsidR="00E52B0F" w:rsidRPr="00777765" w:rsidRDefault="00E52B0F" w:rsidP="003632AA">
            <w:pPr>
              <w:spacing w:before="160" w:after="120" w:line="360" w:lineRule="atLeast"/>
            </w:pPr>
            <w:r w:rsidRPr="00777765">
              <w:t>EU Annex V test method B.3</w:t>
            </w:r>
          </w:p>
          <w:p w14:paraId="3FD4783B" w14:textId="77777777" w:rsidR="00E52B0F" w:rsidRPr="00777765" w:rsidRDefault="00E52B0F" w:rsidP="003632AA">
            <w:pPr>
              <w:spacing w:before="160" w:after="120" w:line="360" w:lineRule="atLeast"/>
            </w:pPr>
            <w:r>
              <w:t xml:space="preserve">OCSPP 870.1200, OPPT 798.110, </w:t>
            </w:r>
            <w:r w:rsidRPr="00777765">
              <w:t>OPP 81-2</w:t>
            </w:r>
          </w:p>
        </w:tc>
      </w:tr>
      <w:tr w:rsidR="00E52B0F" w14:paraId="0779BE8E" w14:textId="77777777" w:rsidTr="005E1301">
        <w:trPr>
          <w:trHeight w:val="473"/>
        </w:trPr>
        <w:tc>
          <w:tcPr>
            <w:tcW w:w="2333" w:type="dxa"/>
          </w:tcPr>
          <w:p w14:paraId="2C35D947" w14:textId="77777777" w:rsidR="00E52B0F" w:rsidRDefault="00E52B0F" w:rsidP="003632AA">
            <w:pPr>
              <w:rPr>
                <w:lang w:eastAsia="en-AU"/>
              </w:rPr>
            </w:pPr>
            <w:r>
              <w:rPr>
                <w:lang w:eastAsia="en-AU"/>
              </w:rPr>
              <w:t>Acute inhalation toxicity – in vivo</w:t>
            </w:r>
          </w:p>
        </w:tc>
        <w:tc>
          <w:tcPr>
            <w:tcW w:w="1519" w:type="dxa"/>
          </w:tcPr>
          <w:p w14:paraId="28DD3736" w14:textId="77777777" w:rsidR="00E52B0F" w:rsidRPr="00777765" w:rsidRDefault="00E52B0F" w:rsidP="003632AA">
            <w:r w:rsidRPr="00777765">
              <w:t>403 or 436 or 433</w:t>
            </w:r>
          </w:p>
        </w:tc>
        <w:tc>
          <w:tcPr>
            <w:tcW w:w="5787" w:type="dxa"/>
          </w:tcPr>
          <w:p w14:paraId="499BD1DB" w14:textId="77777777" w:rsidR="00E52B0F" w:rsidRPr="00777765" w:rsidRDefault="00E52B0F" w:rsidP="003632AA">
            <w:pPr>
              <w:spacing w:before="160" w:after="120" w:line="360" w:lineRule="atLeast"/>
            </w:pPr>
            <w:r w:rsidRPr="00777765">
              <w:t>EU Annex V test methods B.2 or B.52</w:t>
            </w:r>
          </w:p>
          <w:p w14:paraId="79CEA415" w14:textId="77777777" w:rsidR="00E52B0F" w:rsidRPr="00777765" w:rsidRDefault="00E52B0F" w:rsidP="003632AA">
            <w:pPr>
              <w:spacing w:before="160" w:after="120" w:line="360" w:lineRule="atLeast"/>
            </w:pPr>
            <w:r w:rsidRPr="00777765">
              <w:t>OCSPP 870.1300, OPPT 798.1150</w:t>
            </w:r>
            <w:r>
              <w:t>,</w:t>
            </w:r>
            <w:r w:rsidRPr="00777765">
              <w:t xml:space="preserve"> OPP 81-3</w:t>
            </w:r>
          </w:p>
        </w:tc>
      </w:tr>
      <w:tr w:rsidR="00E52B0F" w14:paraId="6FB7910A" w14:textId="77777777" w:rsidTr="005E1301">
        <w:trPr>
          <w:trHeight w:val="473"/>
        </w:trPr>
        <w:tc>
          <w:tcPr>
            <w:tcW w:w="2333" w:type="dxa"/>
          </w:tcPr>
          <w:p w14:paraId="64900A0D" w14:textId="77777777" w:rsidR="00E52B0F" w:rsidRDefault="00E52B0F" w:rsidP="003632AA">
            <w:pPr>
              <w:rPr>
                <w:lang w:eastAsia="en-AU"/>
              </w:rPr>
            </w:pPr>
            <w:r>
              <w:rPr>
                <w:lang w:eastAsia="en-AU"/>
              </w:rPr>
              <w:t>Acute oral toxicity – in vivo</w:t>
            </w:r>
          </w:p>
        </w:tc>
        <w:tc>
          <w:tcPr>
            <w:tcW w:w="1519" w:type="dxa"/>
          </w:tcPr>
          <w:p w14:paraId="04DE84F8" w14:textId="77777777" w:rsidR="00E52B0F" w:rsidRDefault="00E52B0F" w:rsidP="003632AA">
            <w:pPr>
              <w:rPr>
                <w:lang w:eastAsia="en-AU"/>
              </w:rPr>
            </w:pPr>
            <w:r w:rsidRPr="00777765">
              <w:t>420, 423, 425 or deleted 401</w:t>
            </w:r>
          </w:p>
        </w:tc>
        <w:tc>
          <w:tcPr>
            <w:tcW w:w="5787" w:type="dxa"/>
          </w:tcPr>
          <w:p w14:paraId="679FD550" w14:textId="77777777" w:rsidR="00E52B0F" w:rsidRPr="00777765" w:rsidRDefault="00E52B0F" w:rsidP="003632AA">
            <w:pPr>
              <w:spacing w:before="160" w:after="120" w:line="360" w:lineRule="atLeast"/>
            </w:pPr>
            <w:r w:rsidRPr="00777765">
              <w:t>EU Annex V test methods B.1, B.1 bis, B.1 tris</w:t>
            </w:r>
          </w:p>
          <w:p w14:paraId="79C7593E" w14:textId="77777777" w:rsidR="00E52B0F" w:rsidRDefault="00E52B0F" w:rsidP="003632AA">
            <w:pPr>
              <w:spacing w:before="160" w:after="120" w:line="360" w:lineRule="atLeast"/>
            </w:pPr>
            <w:r w:rsidRPr="00777765">
              <w:lastRenderedPageBreak/>
              <w:t>O</w:t>
            </w:r>
            <w:r>
              <w:t xml:space="preserve">CSPP 870.1100, OPPT 798.1175, </w:t>
            </w:r>
            <w:r w:rsidRPr="00777765">
              <w:t>OPP 81-1</w:t>
            </w:r>
          </w:p>
        </w:tc>
      </w:tr>
      <w:tr w:rsidR="00E52B0F" w14:paraId="77FEA3DE" w14:textId="77777777" w:rsidTr="005E1301">
        <w:trPr>
          <w:trHeight w:val="473"/>
        </w:trPr>
        <w:tc>
          <w:tcPr>
            <w:tcW w:w="2333" w:type="dxa"/>
          </w:tcPr>
          <w:p w14:paraId="70440DAA" w14:textId="77777777" w:rsidR="00E52B0F" w:rsidRDefault="00E52B0F" w:rsidP="003632AA">
            <w:pPr>
              <w:rPr>
                <w:lang w:eastAsia="en-AU"/>
              </w:rPr>
            </w:pPr>
            <w:r>
              <w:rPr>
                <w:lang w:eastAsia="en-AU"/>
              </w:rPr>
              <w:lastRenderedPageBreak/>
              <w:t>Acute oral toxicity – in vitro</w:t>
            </w:r>
          </w:p>
        </w:tc>
        <w:tc>
          <w:tcPr>
            <w:tcW w:w="1519" w:type="dxa"/>
          </w:tcPr>
          <w:p w14:paraId="7DCD1549" w14:textId="6368A238" w:rsidR="00E52B0F" w:rsidRDefault="00EB5D71" w:rsidP="003632AA">
            <w:pPr>
              <w:rPr>
                <w:lang w:eastAsia="en-AU"/>
              </w:rPr>
            </w:pPr>
            <w:r>
              <w:t>–</w:t>
            </w:r>
          </w:p>
        </w:tc>
        <w:tc>
          <w:tcPr>
            <w:tcW w:w="5787" w:type="dxa"/>
          </w:tcPr>
          <w:p w14:paraId="59324144" w14:textId="32787207" w:rsidR="00E52B0F" w:rsidRPr="00777765" w:rsidRDefault="00EB5D71" w:rsidP="003632AA">
            <w:pPr>
              <w:spacing w:before="160" w:after="120" w:line="360" w:lineRule="atLeast"/>
            </w:pPr>
            <w:r w:rsidRPr="00EB5D71">
              <w:t>OECD Series on Testing and Assessment, No. 129</w:t>
            </w:r>
            <w:r w:rsidRPr="00750530">
              <w:rPr>
                <w:rFonts w:cs="Segoe UI"/>
              </w:rPr>
              <w:t xml:space="preserve">, Guidance Document on </w:t>
            </w:r>
            <w:r w:rsidRPr="00750530">
              <w:rPr>
                <w:rFonts w:cs="Segoe UI"/>
                <w:iCs/>
              </w:rPr>
              <w:t xml:space="preserve">Using Cytotoxicity Tests </w:t>
            </w:r>
            <w:r w:rsidR="00D1247D">
              <w:rPr>
                <w:rFonts w:cs="Segoe UI"/>
                <w:iCs/>
              </w:rPr>
              <w:t>t</w:t>
            </w:r>
            <w:r w:rsidRPr="00750530">
              <w:rPr>
                <w:rFonts w:cs="Segoe UI"/>
                <w:iCs/>
              </w:rPr>
              <w:t>o Estimate</w:t>
            </w:r>
            <w:r>
              <w:rPr>
                <w:rFonts w:cs="Segoe UI"/>
                <w:iCs/>
              </w:rPr>
              <w:t xml:space="preserve"> </w:t>
            </w:r>
            <w:r w:rsidRPr="00750530">
              <w:rPr>
                <w:rFonts w:cs="Segoe UI"/>
                <w:iCs/>
              </w:rPr>
              <w:t xml:space="preserve">Starting Doses </w:t>
            </w:r>
            <w:r w:rsidR="00D1247D">
              <w:rPr>
                <w:rFonts w:cs="Segoe UI"/>
                <w:iCs/>
              </w:rPr>
              <w:t>f</w:t>
            </w:r>
            <w:r w:rsidRPr="00750530">
              <w:rPr>
                <w:rFonts w:cs="Segoe UI"/>
                <w:iCs/>
              </w:rPr>
              <w:t>or Acute Oral System</w:t>
            </w:r>
            <w:r>
              <w:rPr>
                <w:rFonts w:cs="Segoe UI"/>
                <w:iCs/>
              </w:rPr>
              <w:t>ic</w:t>
            </w:r>
            <w:r w:rsidRPr="00750530">
              <w:rPr>
                <w:rFonts w:cs="Segoe UI"/>
                <w:iCs/>
              </w:rPr>
              <w:t xml:space="preserve"> Toxicity Tests</w:t>
            </w:r>
            <w:r w:rsidRPr="00750530">
              <w:rPr>
                <w:rFonts w:cs="Segoe UI"/>
              </w:rPr>
              <w:t xml:space="preserve"> (2010)</w:t>
            </w:r>
          </w:p>
        </w:tc>
      </w:tr>
      <w:tr w:rsidR="00E52B0F" w14:paraId="38A1105E" w14:textId="77777777" w:rsidTr="005E1301">
        <w:trPr>
          <w:trHeight w:val="473"/>
        </w:trPr>
        <w:tc>
          <w:tcPr>
            <w:tcW w:w="2333" w:type="dxa"/>
            <w:vMerge w:val="restart"/>
          </w:tcPr>
          <w:p w14:paraId="7EE17780" w14:textId="77777777" w:rsidR="00E52B0F" w:rsidRDefault="00E52B0F" w:rsidP="003632AA">
            <w:pPr>
              <w:rPr>
                <w:lang w:eastAsia="en-AU"/>
              </w:rPr>
            </w:pPr>
            <w:r>
              <w:rPr>
                <w:lang w:eastAsia="en-AU"/>
              </w:rPr>
              <w:t xml:space="preserve">Carcinogenicity </w:t>
            </w:r>
            <w:r w:rsidR="008C0724">
              <w:t>–</w:t>
            </w:r>
            <w:r>
              <w:rPr>
                <w:lang w:eastAsia="en-AU"/>
              </w:rPr>
              <w:t xml:space="preserve"> in vivo</w:t>
            </w:r>
          </w:p>
        </w:tc>
        <w:tc>
          <w:tcPr>
            <w:tcW w:w="1519" w:type="dxa"/>
          </w:tcPr>
          <w:p w14:paraId="2AB27372" w14:textId="77777777" w:rsidR="00E52B0F" w:rsidRDefault="00E52B0F" w:rsidP="003632AA">
            <w:pPr>
              <w:rPr>
                <w:lang w:eastAsia="en-AU"/>
              </w:rPr>
            </w:pPr>
            <w:r>
              <w:rPr>
                <w:lang w:eastAsia="en-AU"/>
              </w:rPr>
              <w:t>451</w:t>
            </w:r>
          </w:p>
        </w:tc>
        <w:tc>
          <w:tcPr>
            <w:tcW w:w="5787" w:type="dxa"/>
          </w:tcPr>
          <w:p w14:paraId="1B039F54" w14:textId="77777777" w:rsidR="00E52B0F" w:rsidRPr="00777765" w:rsidRDefault="00E52B0F" w:rsidP="003632AA">
            <w:pPr>
              <w:spacing w:before="160" w:after="120" w:line="360" w:lineRule="atLeast"/>
            </w:pPr>
            <w:r w:rsidRPr="00777765">
              <w:t>EU Annex V test method B.32</w:t>
            </w:r>
          </w:p>
          <w:p w14:paraId="750414DB" w14:textId="77777777" w:rsidR="00E52B0F" w:rsidRDefault="00E52B0F" w:rsidP="003632AA">
            <w:pPr>
              <w:spacing w:before="160" w:after="120" w:line="360" w:lineRule="atLeast"/>
            </w:pPr>
            <w:r w:rsidRPr="00777765">
              <w:t>OCSP</w:t>
            </w:r>
            <w:r>
              <w:t xml:space="preserve">P 870.4200, OPPT 798.3300, </w:t>
            </w:r>
            <w:r w:rsidRPr="00777765">
              <w:t>OPP 83-2</w:t>
            </w:r>
          </w:p>
        </w:tc>
      </w:tr>
      <w:tr w:rsidR="00E52B0F" w14:paraId="0DE054A4" w14:textId="77777777" w:rsidTr="005E1301">
        <w:trPr>
          <w:trHeight w:val="472"/>
        </w:trPr>
        <w:tc>
          <w:tcPr>
            <w:tcW w:w="2333" w:type="dxa"/>
            <w:vMerge/>
          </w:tcPr>
          <w:p w14:paraId="15FDB4E7" w14:textId="77777777" w:rsidR="00E52B0F" w:rsidRDefault="00E52B0F" w:rsidP="003632AA">
            <w:pPr>
              <w:rPr>
                <w:lang w:eastAsia="en-AU"/>
              </w:rPr>
            </w:pPr>
          </w:p>
        </w:tc>
        <w:tc>
          <w:tcPr>
            <w:tcW w:w="1519" w:type="dxa"/>
          </w:tcPr>
          <w:p w14:paraId="4111B1B9" w14:textId="77777777" w:rsidR="00E52B0F" w:rsidRDefault="00E52B0F" w:rsidP="003632AA">
            <w:pPr>
              <w:rPr>
                <w:lang w:eastAsia="en-AU"/>
              </w:rPr>
            </w:pPr>
            <w:r>
              <w:rPr>
                <w:lang w:eastAsia="en-AU"/>
              </w:rPr>
              <w:t>453</w:t>
            </w:r>
          </w:p>
        </w:tc>
        <w:tc>
          <w:tcPr>
            <w:tcW w:w="5787" w:type="dxa"/>
          </w:tcPr>
          <w:p w14:paraId="5EDBDBB3" w14:textId="77777777" w:rsidR="00E52B0F" w:rsidRPr="00777765" w:rsidRDefault="00E52B0F" w:rsidP="003632AA">
            <w:pPr>
              <w:spacing w:before="160" w:after="120" w:line="360" w:lineRule="atLeast"/>
            </w:pPr>
            <w:r w:rsidRPr="00777765">
              <w:t>EU Annex V test method B.33</w:t>
            </w:r>
          </w:p>
          <w:p w14:paraId="33884588" w14:textId="77777777" w:rsidR="00E52B0F" w:rsidRDefault="00E52B0F" w:rsidP="003632AA">
            <w:pPr>
              <w:rPr>
                <w:lang w:eastAsia="en-AU"/>
              </w:rPr>
            </w:pPr>
            <w:r w:rsidRPr="00777765">
              <w:t xml:space="preserve">OCSPP 870.4300, </w:t>
            </w:r>
            <w:r>
              <w:t xml:space="preserve">OPPT 798.3320, </w:t>
            </w:r>
            <w:r w:rsidRPr="00777765">
              <w:t>OPP 83-5</w:t>
            </w:r>
          </w:p>
        </w:tc>
      </w:tr>
      <w:tr w:rsidR="00E52B0F" w14:paraId="71C90BE6" w14:textId="77777777" w:rsidTr="005E1301">
        <w:trPr>
          <w:trHeight w:val="1291"/>
        </w:trPr>
        <w:tc>
          <w:tcPr>
            <w:tcW w:w="2333" w:type="dxa"/>
            <w:vMerge w:val="restart"/>
          </w:tcPr>
          <w:p w14:paraId="721BD012" w14:textId="77777777" w:rsidR="00E52B0F" w:rsidRDefault="00E52B0F" w:rsidP="003632AA">
            <w:pPr>
              <w:rPr>
                <w:lang w:eastAsia="en-AU"/>
              </w:rPr>
            </w:pPr>
            <w:r>
              <w:rPr>
                <w:lang w:eastAsia="en-AU"/>
              </w:rPr>
              <w:t xml:space="preserve">Chromosomal abnormalities – in vivo </w:t>
            </w:r>
          </w:p>
          <w:p w14:paraId="300A4118" w14:textId="77777777" w:rsidR="00E52B0F" w:rsidRDefault="00E52B0F" w:rsidP="003632AA">
            <w:pPr>
              <w:rPr>
                <w:lang w:eastAsia="en-AU"/>
              </w:rPr>
            </w:pPr>
          </w:p>
        </w:tc>
        <w:tc>
          <w:tcPr>
            <w:tcW w:w="1519" w:type="dxa"/>
          </w:tcPr>
          <w:p w14:paraId="1470079E" w14:textId="77777777" w:rsidR="00E52B0F" w:rsidRDefault="00E52B0F" w:rsidP="003632AA">
            <w:pPr>
              <w:rPr>
                <w:lang w:eastAsia="en-AU"/>
              </w:rPr>
            </w:pPr>
            <w:r>
              <w:rPr>
                <w:lang w:eastAsia="en-AU"/>
              </w:rPr>
              <w:t>474</w:t>
            </w:r>
          </w:p>
        </w:tc>
        <w:tc>
          <w:tcPr>
            <w:tcW w:w="5787" w:type="dxa"/>
          </w:tcPr>
          <w:p w14:paraId="28E10055" w14:textId="77777777" w:rsidR="00E52B0F" w:rsidRPr="00777765" w:rsidRDefault="00E52B0F" w:rsidP="003632AA">
            <w:pPr>
              <w:spacing w:before="160" w:after="120" w:line="360" w:lineRule="atLeast"/>
            </w:pPr>
            <w:r w:rsidRPr="00777765">
              <w:t>EU Annex V test method B.12</w:t>
            </w:r>
          </w:p>
          <w:p w14:paraId="5AD67EBD" w14:textId="77777777" w:rsidR="00E52B0F" w:rsidRPr="00777765" w:rsidRDefault="00E52B0F" w:rsidP="003632AA">
            <w:pPr>
              <w:spacing w:before="160" w:after="120" w:line="360" w:lineRule="atLeast"/>
            </w:pPr>
            <w:r w:rsidRPr="00777765">
              <w:t>OCSPP 870.5395, OPPT 798.5395</w:t>
            </w:r>
            <w:r>
              <w:t>,</w:t>
            </w:r>
            <w:r w:rsidRPr="00777765">
              <w:t xml:space="preserve"> OPP 84-2</w:t>
            </w:r>
          </w:p>
        </w:tc>
      </w:tr>
      <w:tr w:rsidR="00E52B0F" w14:paraId="7C315EFD" w14:textId="77777777" w:rsidTr="005E1301">
        <w:trPr>
          <w:trHeight w:val="473"/>
        </w:trPr>
        <w:tc>
          <w:tcPr>
            <w:tcW w:w="2333" w:type="dxa"/>
            <w:vMerge/>
          </w:tcPr>
          <w:p w14:paraId="48DA5E55" w14:textId="77777777" w:rsidR="00E52B0F" w:rsidRDefault="00E52B0F" w:rsidP="003632AA">
            <w:pPr>
              <w:rPr>
                <w:lang w:eastAsia="en-AU"/>
              </w:rPr>
            </w:pPr>
          </w:p>
        </w:tc>
        <w:tc>
          <w:tcPr>
            <w:tcW w:w="1519" w:type="dxa"/>
          </w:tcPr>
          <w:p w14:paraId="7C61AC61" w14:textId="77777777" w:rsidR="00E52B0F" w:rsidRDefault="00E52B0F" w:rsidP="003632AA">
            <w:pPr>
              <w:rPr>
                <w:lang w:eastAsia="en-AU"/>
              </w:rPr>
            </w:pPr>
            <w:r>
              <w:rPr>
                <w:lang w:eastAsia="en-AU"/>
              </w:rPr>
              <w:t>475</w:t>
            </w:r>
          </w:p>
        </w:tc>
        <w:tc>
          <w:tcPr>
            <w:tcW w:w="5787" w:type="dxa"/>
          </w:tcPr>
          <w:p w14:paraId="4A1F0CB5" w14:textId="77777777" w:rsidR="00E52B0F" w:rsidRPr="00777765" w:rsidRDefault="00E52B0F" w:rsidP="003632AA">
            <w:pPr>
              <w:spacing w:before="160" w:after="120" w:line="360" w:lineRule="atLeast"/>
            </w:pPr>
            <w:r w:rsidRPr="00777765">
              <w:t>EU Annex V test method B.11</w:t>
            </w:r>
          </w:p>
          <w:p w14:paraId="2437652E" w14:textId="77777777" w:rsidR="00E52B0F" w:rsidRDefault="00E52B0F" w:rsidP="003632AA">
            <w:pPr>
              <w:spacing w:before="160" w:after="120" w:line="360" w:lineRule="atLeast"/>
            </w:pPr>
            <w:r w:rsidRPr="00777765">
              <w:t>OCSPP 870.5385, OPPT 798.5385</w:t>
            </w:r>
            <w:r>
              <w:t>,</w:t>
            </w:r>
            <w:r w:rsidRPr="00777765">
              <w:t xml:space="preserve"> OPP 84-2</w:t>
            </w:r>
          </w:p>
        </w:tc>
      </w:tr>
      <w:tr w:rsidR="00E52B0F" w14:paraId="0D417241" w14:textId="77777777" w:rsidTr="005E1301">
        <w:trPr>
          <w:trHeight w:val="1461"/>
        </w:trPr>
        <w:tc>
          <w:tcPr>
            <w:tcW w:w="2333" w:type="dxa"/>
            <w:vMerge w:val="restart"/>
          </w:tcPr>
          <w:p w14:paraId="0D16027B" w14:textId="77777777" w:rsidR="00E52B0F" w:rsidRDefault="00E52B0F" w:rsidP="003632AA">
            <w:pPr>
              <w:rPr>
                <w:lang w:eastAsia="en-AU"/>
              </w:rPr>
            </w:pPr>
            <w:r>
              <w:rPr>
                <w:lang w:eastAsia="en-AU"/>
              </w:rPr>
              <w:t>Chromosomal abnormalities – in vitro</w:t>
            </w:r>
          </w:p>
          <w:p w14:paraId="2069D1D2" w14:textId="77777777" w:rsidR="00E52B0F" w:rsidRDefault="00E52B0F" w:rsidP="003632AA">
            <w:pPr>
              <w:rPr>
                <w:lang w:eastAsia="en-AU"/>
              </w:rPr>
            </w:pPr>
          </w:p>
        </w:tc>
        <w:tc>
          <w:tcPr>
            <w:tcW w:w="1519" w:type="dxa"/>
          </w:tcPr>
          <w:p w14:paraId="16A3346B" w14:textId="77777777" w:rsidR="00E52B0F" w:rsidRDefault="00E52B0F" w:rsidP="003632AA">
            <w:pPr>
              <w:rPr>
                <w:lang w:eastAsia="en-AU"/>
              </w:rPr>
            </w:pPr>
            <w:r>
              <w:rPr>
                <w:lang w:eastAsia="en-AU"/>
              </w:rPr>
              <w:t>473</w:t>
            </w:r>
          </w:p>
        </w:tc>
        <w:tc>
          <w:tcPr>
            <w:tcW w:w="5787" w:type="dxa"/>
          </w:tcPr>
          <w:p w14:paraId="0E1E9928" w14:textId="77777777" w:rsidR="00E52B0F" w:rsidRPr="00777765" w:rsidRDefault="00E52B0F" w:rsidP="003632AA">
            <w:pPr>
              <w:spacing w:before="160" w:after="120" w:line="360" w:lineRule="atLeast"/>
            </w:pPr>
            <w:r w:rsidRPr="00777765">
              <w:t>EU Annex V test method B.10</w:t>
            </w:r>
          </w:p>
          <w:p w14:paraId="46E6546B" w14:textId="77777777" w:rsidR="00E52B0F" w:rsidRDefault="00E52B0F" w:rsidP="003632AA">
            <w:pPr>
              <w:spacing w:before="160" w:after="120" w:line="360" w:lineRule="atLeast"/>
            </w:pPr>
            <w:r w:rsidRPr="00777765">
              <w:t>O</w:t>
            </w:r>
            <w:r>
              <w:t>CSPP 870.5375, OPPT 798.5375, OPP 84-2</w:t>
            </w:r>
          </w:p>
        </w:tc>
      </w:tr>
      <w:tr w:rsidR="00E52B0F" w14:paraId="018DF21D" w14:textId="77777777" w:rsidTr="005E1301">
        <w:trPr>
          <w:trHeight w:val="473"/>
        </w:trPr>
        <w:tc>
          <w:tcPr>
            <w:tcW w:w="2333" w:type="dxa"/>
            <w:vMerge/>
          </w:tcPr>
          <w:p w14:paraId="22C8D1E0" w14:textId="77777777" w:rsidR="00E52B0F" w:rsidRDefault="00E52B0F" w:rsidP="003632AA">
            <w:pPr>
              <w:rPr>
                <w:lang w:eastAsia="en-AU"/>
              </w:rPr>
            </w:pPr>
          </w:p>
        </w:tc>
        <w:tc>
          <w:tcPr>
            <w:tcW w:w="1519" w:type="dxa"/>
          </w:tcPr>
          <w:p w14:paraId="0D2842F0" w14:textId="77777777" w:rsidR="00E52B0F" w:rsidRDefault="00E52B0F" w:rsidP="003632AA">
            <w:pPr>
              <w:rPr>
                <w:lang w:eastAsia="en-AU"/>
              </w:rPr>
            </w:pPr>
            <w:r>
              <w:rPr>
                <w:lang w:eastAsia="en-AU"/>
              </w:rPr>
              <w:t>487</w:t>
            </w:r>
          </w:p>
        </w:tc>
        <w:tc>
          <w:tcPr>
            <w:tcW w:w="5787" w:type="dxa"/>
          </w:tcPr>
          <w:p w14:paraId="5C9CAC61" w14:textId="77777777" w:rsidR="00E52B0F" w:rsidRDefault="00E52B0F" w:rsidP="003632AA">
            <w:pPr>
              <w:spacing w:before="160" w:after="120" w:line="360" w:lineRule="atLeast"/>
            </w:pPr>
            <w:r w:rsidRPr="00777765">
              <w:t>EU Annex V test method B.49</w:t>
            </w:r>
          </w:p>
        </w:tc>
      </w:tr>
      <w:tr w:rsidR="00E52B0F" w14:paraId="5BB5F5F6" w14:textId="77777777" w:rsidTr="005E1301">
        <w:trPr>
          <w:trHeight w:val="473"/>
        </w:trPr>
        <w:tc>
          <w:tcPr>
            <w:tcW w:w="2333" w:type="dxa"/>
            <w:vMerge/>
          </w:tcPr>
          <w:p w14:paraId="3D8DF317" w14:textId="77777777" w:rsidR="00E52B0F" w:rsidRDefault="00E52B0F" w:rsidP="003632AA">
            <w:pPr>
              <w:rPr>
                <w:lang w:eastAsia="en-AU"/>
              </w:rPr>
            </w:pPr>
          </w:p>
        </w:tc>
        <w:tc>
          <w:tcPr>
            <w:tcW w:w="1519" w:type="dxa"/>
          </w:tcPr>
          <w:p w14:paraId="09B387CF" w14:textId="77777777" w:rsidR="00E52B0F" w:rsidRDefault="00E52B0F" w:rsidP="003632AA">
            <w:pPr>
              <w:rPr>
                <w:lang w:eastAsia="en-AU"/>
              </w:rPr>
            </w:pPr>
            <w:r>
              <w:rPr>
                <w:lang w:eastAsia="en-AU"/>
              </w:rPr>
              <w:t>490</w:t>
            </w:r>
          </w:p>
        </w:tc>
        <w:tc>
          <w:tcPr>
            <w:tcW w:w="5787" w:type="dxa"/>
          </w:tcPr>
          <w:p w14:paraId="476DD5F5" w14:textId="77777777" w:rsidR="00E52B0F" w:rsidRDefault="00B73CD9" w:rsidP="003632AA">
            <w:pPr>
              <w:spacing w:before="160" w:after="120" w:line="360" w:lineRule="atLeast"/>
            </w:pPr>
            <w:r>
              <w:t>–</w:t>
            </w:r>
          </w:p>
        </w:tc>
      </w:tr>
      <w:tr w:rsidR="00E52B0F" w14:paraId="292FD9FB" w14:textId="77777777" w:rsidTr="005E1301">
        <w:trPr>
          <w:trHeight w:val="473"/>
        </w:trPr>
        <w:tc>
          <w:tcPr>
            <w:tcW w:w="2333" w:type="dxa"/>
            <w:vMerge w:val="restart"/>
          </w:tcPr>
          <w:p w14:paraId="6EA9D606" w14:textId="77777777" w:rsidR="00E52B0F" w:rsidRDefault="00E52B0F" w:rsidP="003632AA">
            <w:pPr>
              <w:rPr>
                <w:lang w:eastAsia="en-AU"/>
              </w:rPr>
            </w:pPr>
            <w:r>
              <w:rPr>
                <w:lang w:eastAsia="en-AU"/>
              </w:rPr>
              <w:t>Chronic toxicity – in vivo</w:t>
            </w:r>
          </w:p>
        </w:tc>
        <w:tc>
          <w:tcPr>
            <w:tcW w:w="1519" w:type="dxa"/>
          </w:tcPr>
          <w:p w14:paraId="0484A775" w14:textId="77777777" w:rsidR="00E52B0F" w:rsidRDefault="00E52B0F" w:rsidP="003632AA">
            <w:pPr>
              <w:rPr>
                <w:lang w:eastAsia="en-AU"/>
              </w:rPr>
            </w:pPr>
            <w:r>
              <w:rPr>
                <w:lang w:eastAsia="en-AU"/>
              </w:rPr>
              <w:t>452</w:t>
            </w:r>
          </w:p>
        </w:tc>
        <w:tc>
          <w:tcPr>
            <w:tcW w:w="5787" w:type="dxa"/>
          </w:tcPr>
          <w:p w14:paraId="7018EFF8" w14:textId="77777777" w:rsidR="00E52B0F" w:rsidRPr="00777765" w:rsidRDefault="00E52B0F" w:rsidP="003632AA">
            <w:pPr>
              <w:spacing w:before="160" w:after="120" w:line="360" w:lineRule="atLeast"/>
            </w:pPr>
            <w:r w:rsidRPr="00777765">
              <w:t>EU Annex V test method B.30</w:t>
            </w:r>
          </w:p>
          <w:p w14:paraId="07BAED57" w14:textId="77777777" w:rsidR="00E52B0F" w:rsidRPr="00777765" w:rsidRDefault="00E52B0F" w:rsidP="003632AA">
            <w:pPr>
              <w:spacing w:before="160" w:after="120" w:line="360" w:lineRule="atLeast"/>
            </w:pPr>
            <w:r w:rsidRPr="00777765">
              <w:t>OCSPP 870.4100, OPPT 798.3260</w:t>
            </w:r>
            <w:r>
              <w:t>,</w:t>
            </w:r>
            <w:r w:rsidRPr="00777765">
              <w:t xml:space="preserve"> OPP 83-1</w:t>
            </w:r>
          </w:p>
        </w:tc>
      </w:tr>
      <w:tr w:rsidR="00E52B0F" w14:paraId="2BE82995" w14:textId="77777777" w:rsidTr="005E1301">
        <w:trPr>
          <w:trHeight w:val="472"/>
        </w:trPr>
        <w:tc>
          <w:tcPr>
            <w:tcW w:w="2333" w:type="dxa"/>
            <w:vMerge/>
          </w:tcPr>
          <w:p w14:paraId="2BCA2E94" w14:textId="77777777" w:rsidR="00E52B0F" w:rsidRDefault="00E52B0F" w:rsidP="003632AA">
            <w:pPr>
              <w:rPr>
                <w:lang w:eastAsia="en-AU"/>
              </w:rPr>
            </w:pPr>
          </w:p>
        </w:tc>
        <w:tc>
          <w:tcPr>
            <w:tcW w:w="1519" w:type="dxa"/>
          </w:tcPr>
          <w:p w14:paraId="0669A6AE" w14:textId="77777777" w:rsidR="00E52B0F" w:rsidRDefault="00E52B0F" w:rsidP="003632AA">
            <w:pPr>
              <w:rPr>
                <w:lang w:eastAsia="en-AU"/>
              </w:rPr>
            </w:pPr>
            <w:r>
              <w:rPr>
                <w:lang w:eastAsia="en-AU"/>
              </w:rPr>
              <w:t>453</w:t>
            </w:r>
          </w:p>
        </w:tc>
        <w:tc>
          <w:tcPr>
            <w:tcW w:w="5787" w:type="dxa"/>
          </w:tcPr>
          <w:p w14:paraId="1E2C1C8E" w14:textId="77777777" w:rsidR="00E52B0F" w:rsidRPr="00777765" w:rsidRDefault="00E52B0F" w:rsidP="003632AA">
            <w:pPr>
              <w:spacing w:before="160" w:after="120" w:line="360" w:lineRule="atLeast"/>
            </w:pPr>
            <w:r w:rsidRPr="00777765">
              <w:t>EU Annex V test method B.33</w:t>
            </w:r>
          </w:p>
          <w:p w14:paraId="1D504808" w14:textId="77777777" w:rsidR="00E52B0F" w:rsidRDefault="00E52B0F" w:rsidP="003632AA">
            <w:r w:rsidRPr="00777765">
              <w:t xml:space="preserve">OCSPP 870.4300, </w:t>
            </w:r>
            <w:r>
              <w:t xml:space="preserve">OPPT 798.3320, </w:t>
            </w:r>
            <w:r w:rsidRPr="00777765">
              <w:t>OPP 83-5</w:t>
            </w:r>
          </w:p>
        </w:tc>
      </w:tr>
      <w:tr w:rsidR="00E52B0F" w14:paraId="188287E3" w14:textId="77777777" w:rsidTr="005E1301">
        <w:trPr>
          <w:trHeight w:val="220"/>
        </w:trPr>
        <w:tc>
          <w:tcPr>
            <w:tcW w:w="2333" w:type="dxa"/>
            <w:vMerge w:val="restart"/>
          </w:tcPr>
          <w:p w14:paraId="04900855" w14:textId="77777777" w:rsidR="00E52B0F" w:rsidRDefault="00E52B0F" w:rsidP="003632AA">
            <w:pPr>
              <w:rPr>
                <w:lang w:eastAsia="en-AU"/>
              </w:rPr>
            </w:pPr>
            <w:r>
              <w:rPr>
                <w:lang w:eastAsia="en-AU"/>
              </w:rPr>
              <w:t>Developmental toxicity – in vivo</w:t>
            </w:r>
          </w:p>
          <w:p w14:paraId="249C5822" w14:textId="77777777" w:rsidR="00E52B0F" w:rsidRDefault="00E52B0F" w:rsidP="003632AA">
            <w:pPr>
              <w:rPr>
                <w:lang w:eastAsia="en-AU"/>
              </w:rPr>
            </w:pPr>
          </w:p>
        </w:tc>
        <w:tc>
          <w:tcPr>
            <w:tcW w:w="1519" w:type="dxa"/>
          </w:tcPr>
          <w:p w14:paraId="1CEDCD1F" w14:textId="77777777" w:rsidR="00E52B0F" w:rsidRDefault="00E52B0F" w:rsidP="003632AA">
            <w:pPr>
              <w:rPr>
                <w:lang w:eastAsia="en-AU"/>
              </w:rPr>
            </w:pPr>
            <w:r>
              <w:rPr>
                <w:lang w:eastAsia="en-AU"/>
              </w:rPr>
              <w:t>414</w:t>
            </w:r>
          </w:p>
        </w:tc>
        <w:tc>
          <w:tcPr>
            <w:tcW w:w="5787" w:type="dxa"/>
          </w:tcPr>
          <w:p w14:paraId="69E2DDA6" w14:textId="77777777" w:rsidR="00E52B0F" w:rsidRPr="00777765" w:rsidRDefault="00E52B0F" w:rsidP="003632AA">
            <w:pPr>
              <w:spacing w:before="160" w:after="120" w:line="360" w:lineRule="atLeast"/>
            </w:pPr>
            <w:r w:rsidRPr="00777765">
              <w:t>EU Annex V test method B.31</w:t>
            </w:r>
          </w:p>
          <w:p w14:paraId="3F5E1CC5" w14:textId="77777777" w:rsidR="00E52B0F" w:rsidRPr="00777765" w:rsidRDefault="00E52B0F" w:rsidP="003632AA">
            <w:r w:rsidRPr="00777765">
              <w:t>O</w:t>
            </w:r>
            <w:r>
              <w:t>CSPP 870.</w:t>
            </w:r>
            <w:r w:rsidRPr="00777765">
              <w:t>3700</w:t>
            </w:r>
            <w:r>
              <w:t>, OPPT 798.</w:t>
            </w:r>
            <w:r w:rsidRPr="00777765">
              <w:t>4900 or</w:t>
            </w:r>
            <w:r>
              <w:t xml:space="preserve"> </w:t>
            </w:r>
            <w:r w:rsidRPr="00777765">
              <w:t>OPP 83-3</w:t>
            </w:r>
          </w:p>
        </w:tc>
      </w:tr>
      <w:tr w:rsidR="00E52B0F" w14:paraId="52776C43" w14:textId="77777777" w:rsidTr="005E1301">
        <w:trPr>
          <w:trHeight w:val="220"/>
        </w:trPr>
        <w:tc>
          <w:tcPr>
            <w:tcW w:w="2333" w:type="dxa"/>
            <w:vMerge/>
          </w:tcPr>
          <w:p w14:paraId="62A3CC88" w14:textId="77777777" w:rsidR="00E52B0F" w:rsidRDefault="00E52B0F" w:rsidP="003632AA">
            <w:pPr>
              <w:rPr>
                <w:lang w:eastAsia="en-AU"/>
              </w:rPr>
            </w:pPr>
          </w:p>
        </w:tc>
        <w:tc>
          <w:tcPr>
            <w:tcW w:w="1519" w:type="dxa"/>
          </w:tcPr>
          <w:p w14:paraId="40EA58AB" w14:textId="77777777" w:rsidR="00E52B0F" w:rsidRPr="00777765" w:rsidRDefault="00E52B0F" w:rsidP="003632AA">
            <w:r>
              <w:rPr>
                <w:lang w:eastAsia="en-AU"/>
              </w:rPr>
              <w:t>426</w:t>
            </w:r>
          </w:p>
        </w:tc>
        <w:tc>
          <w:tcPr>
            <w:tcW w:w="5787" w:type="dxa"/>
          </w:tcPr>
          <w:p w14:paraId="79587B19" w14:textId="77777777" w:rsidR="00E52B0F" w:rsidRPr="00777765" w:rsidRDefault="00E52B0F" w:rsidP="003632AA">
            <w:pPr>
              <w:spacing w:before="160" w:after="120" w:line="360" w:lineRule="atLeast"/>
            </w:pPr>
            <w:r>
              <w:t>OCSPP 870.6300, OPP 83-6</w:t>
            </w:r>
          </w:p>
        </w:tc>
      </w:tr>
      <w:tr w:rsidR="00E52B0F" w14:paraId="13DE0056" w14:textId="77777777" w:rsidTr="005E1301">
        <w:trPr>
          <w:trHeight w:val="220"/>
        </w:trPr>
        <w:tc>
          <w:tcPr>
            <w:tcW w:w="2333" w:type="dxa"/>
            <w:vMerge/>
          </w:tcPr>
          <w:p w14:paraId="4A811BAF" w14:textId="77777777" w:rsidR="00E52B0F" w:rsidRDefault="00E52B0F" w:rsidP="003632AA">
            <w:pPr>
              <w:rPr>
                <w:lang w:eastAsia="en-AU"/>
              </w:rPr>
            </w:pPr>
          </w:p>
        </w:tc>
        <w:tc>
          <w:tcPr>
            <w:tcW w:w="1519" w:type="dxa"/>
          </w:tcPr>
          <w:p w14:paraId="560FDE24" w14:textId="77777777" w:rsidR="00E52B0F" w:rsidRDefault="00E52B0F" w:rsidP="003632AA">
            <w:pPr>
              <w:rPr>
                <w:lang w:eastAsia="en-AU"/>
              </w:rPr>
            </w:pPr>
            <w:r>
              <w:rPr>
                <w:lang w:eastAsia="en-AU"/>
              </w:rPr>
              <w:t>422</w:t>
            </w:r>
            <w:r>
              <w:rPr>
                <w:rStyle w:val="FootnoteReference"/>
                <w:lang w:eastAsia="en-AU"/>
              </w:rPr>
              <w:footnoteReference w:id="37"/>
            </w:r>
          </w:p>
        </w:tc>
        <w:tc>
          <w:tcPr>
            <w:tcW w:w="5787" w:type="dxa"/>
          </w:tcPr>
          <w:p w14:paraId="39C9F58D" w14:textId="77777777" w:rsidR="00E52B0F" w:rsidRDefault="00E52B0F" w:rsidP="003632AA">
            <w:pPr>
              <w:spacing w:before="160" w:after="120" w:line="360" w:lineRule="atLeast"/>
            </w:pPr>
            <w:r w:rsidRPr="00777765">
              <w:t>OCSPP 870.3650</w:t>
            </w:r>
          </w:p>
        </w:tc>
      </w:tr>
      <w:tr w:rsidR="00E52B0F" w14:paraId="153C6E9D" w14:textId="77777777" w:rsidTr="005E1301">
        <w:trPr>
          <w:trHeight w:val="220"/>
        </w:trPr>
        <w:tc>
          <w:tcPr>
            <w:tcW w:w="2333" w:type="dxa"/>
            <w:vMerge w:val="restart"/>
          </w:tcPr>
          <w:p w14:paraId="46BF9C1D" w14:textId="77777777" w:rsidR="00E52B0F" w:rsidRDefault="00E52B0F" w:rsidP="003632AA">
            <w:pPr>
              <w:rPr>
                <w:lang w:eastAsia="en-AU"/>
              </w:rPr>
            </w:pPr>
            <w:r>
              <w:rPr>
                <w:lang w:eastAsia="en-AU"/>
              </w:rPr>
              <w:lastRenderedPageBreak/>
              <w:t>Eye damage – in vitro</w:t>
            </w:r>
          </w:p>
          <w:p w14:paraId="3FD4D934" w14:textId="77777777" w:rsidR="00E52B0F" w:rsidRDefault="00E52B0F" w:rsidP="003632AA">
            <w:pPr>
              <w:rPr>
                <w:lang w:eastAsia="en-AU"/>
              </w:rPr>
            </w:pPr>
          </w:p>
        </w:tc>
        <w:tc>
          <w:tcPr>
            <w:tcW w:w="1519" w:type="dxa"/>
          </w:tcPr>
          <w:p w14:paraId="639D8378" w14:textId="77777777" w:rsidR="00E52B0F" w:rsidRDefault="00E52B0F" w:rsidP="003632AA">
            <w:pPr>
              <w:rPr>
                <w:lang w:eastAsia="en-AU"/>
              </w:rPr>
            </w:pPr>
            <w:r>
              <w:rPr>
                <w:lang w:eastAsia="en-AU"/>
              </w:rPr>
              <w:t>437</w:t>
            </w:r>
          </w:p>
        </w:tc>
        <w:tc>
          <w:tcPr>
            <w:tcW w:w="5787" w:type="dxa"/>
          </w:tcPr>
          <w:p w14:paraId="2CC97BCB" w14:textId="77777777" w:rsidR="00E52B0F" w:rsidRPr="00777765" w:rsidRDefault="00E52B0F" w:rsidP="003632AA">
            <w:pPr>
              <w:spacing w:before="160" w:after="120" w:line="360" w:lineRule="atLeast"/>
            </w:pPr>
            <w:r w:rsidRPr="00777765">
              <w:t>EU Annex V test method B.47</w:t>
            </w:r>
          </w:p>
          <w:p w14:paraId="489EF57C" w14:textId="77777777" w:rsidR="00E52B0F" w:rsidRDefault="00E52B0F" w:rsidP="003632AA">
            <w:pPr>
              <w:spacing w:before="160" w:after="120" w:line="360" w:lineRule="atLeast"/>
            </w:pPr>
            <w:r w:rsidRPr="00777765">
              <w:t>EURL ECVAM DB-ALM protocols No. 98 and 124</w:t>
            </w:r>
          </w:p>
        </w:tc>
      </w:tr>
      <w:tr w:rsidR="00E52B0F" w14:paraId="48F9CCBF" w14:textId="77777777" w:rsidTr="005E1301">
        <w:trPr>
          <w:trHeight w:val="220"/>
        </w:trPr>
        <w:tc>
          <w:tcPr>
            <w:tcW w:w="2333" w:type="dxa"/>
            <w:vMerge/>
          </w:tcPr>
          <w:p w14:paraId="4A6C4B56" w14:textId="77777777" w:rsidR="00E52B0F" w:rsidRDefault="00E52B0F" w:rsidP="003632AA">
            <w:pPr>
              <w:rPr>
                <w:lang w:eastAsia="en-AU"/>
              </w:rPr>
            </w:pPr>
          </w:p>
        </w:tc>
        <w:tc>
          <w:tcPr>
            <w:tcW w:w="1519" w:type="dxa"/>
          </w:tcPr>
          <w:p w14:paraId="3792F4F7" w14:textId="77777777" w:rsidR="00E52B0F" w:rsidRDefault="00E52B0F" w:rsidP="003632AA">
            <w:pPr>
              <w:rPr>
                <w:lang w:eastAsia="en-AU"/>
              </w:rPr>
            </w:pPr>
            <w:r>
              <w:rPr>
                <w:lang w:eastAsia="en-AU"/>
              </w:rPr>
              <w:t>438</w:t>
            </w:r>
          </w:p>
        </w:tc>
        <w:tc>
          <w:tcPr>
            <w:tcW w:w="5787" w:type="dxa"/>
          </w:tcPr>
          <w:p w14:paraId="1BCC6F97" w14:textId="77777777" w:rsidR="00E52B0F" w:rsidRPr="00777765" w:rsidRDefault="00E52B0F" w:rsidP="003632AA">
            <w:pPr>
              <w:spacing w:before="160" w:after="120" w:line="360" w:lineRule="atLeast"/>
            </w:pPr>
            <w:r w:rsidRPr="00777765">
              <w:t>EU Annex V test method B.48</w:t>
            </w:r>
          </w:p>
          <w:p w14:paraId="0CE1AEC1" w14:textId="77777777" w:rsidR="00E52B0F" w:rsidRDefault="00E52B0F" w:rsidP="003632AA">
            <w:pPr>
              <w:spacing w:before="160" w:after="120" w:line="360" w:lineRule="atLeast"/>
            </w:pPr>
            <w:r w:rsidRPr="00777765">
              <w:t>EURL ECVAM DB-ALM protocol No. 80</w:t>
            </w:r>
          </w:p>
        </w:tc>
      </w:tr>
      <w:tr w:rsidR="00E52B0F" w14:paraId="51782A6F" w14:textId="77777777" w:rsidTr="005E1301">
        <w:trPr>
          <w:trHeight w:val="220"/>
        </w:trPr>
        <w:tc>
          <w:tcPr>
            <w:tcW w:w="2333" w:type="dxa"/>
            <w:vMerge/>
          </w:tcPr>
          <w:p w14:paraId="3230A2CA" w14:textId="77777777" w:rsidR="00E52B0F" w:rsidRDefault="00E52B0F" w:rsidP="003632AA">
            <w:pPr>
              <w:rPr>
                <w:lang w:eastAsia="en-AU"/>
              </w:rPr>
            </w:pPr>
          </w:p>
        </w:tc>
        <w:tc>
          <w:tcPr>
            <w:tcW w:w="1519" w:type="dxa"/>
          </w:tcPr>
          <w:p w14:paraId="0EE1EC56" w14:textId="77777777" w:rsidR="00E52B0F" w:rsidRDefault="00E52B0F" w:rsidP="003632AA">
            <w:pPr>
              <w:rPr>
                <w:lang w:eastAsia="en-AU"/>
              </w:rPr>
            </w:pPr>
            <w:r>
              <w:rPr>
                <w:lang w:eastAsia="en-AU"/>
              </w:rPr>
              <w:t>460</w:t>
            </w:r>
          </w:p>
        </w:tc>
        <w:tc>
          <w:tcPr>
            <w:tcW w:w="5787" w:type="dxa"/>
          </w:tcPr>
          <w:p w14:paraId="0C3467A0" w14:textId="77777777" w:rsidR="00E52B0F" w:rsidRDefault="00E52B0F" w:rsidP="003632AA">
            <w:pPr>
              <w:spacing w:before="160" w:after="120" w:line="360" w:lineRule="atLeast"/>
            </w:pPr>
            <w:r w:rsidRPr="00777765">
              <w:t>EURL ECVAM DB-ALM protocol No. 71</w:t>
            </w:r>
          </w:p>
        </w:tc>
      </w:tr>
      <w:tr w:rsidR="00E52B0F" w14:paraId="6F0E943E" w14:textId="77777777" w:rsidTr="005E1301">
        <w:trPr>
          <w:trHeight w:val="220"/>
        </w:trPr>
        <w:tc>
          <w:tcPr>
            <w:tcW w:w="2333" w:type="dxa"/>
            <w:vMerge/>
          </w:tcPr>
          <w:p w14:paraId="0A00BED7" w14:textId="77777777" w:rsidR="00E52B0F" w:rsidRDefault="00E52B0F" w:rsidP="003632AA">
            <w:pPr>
              <w:rPr>
                <w:lang w:eastAsia="en-AU"/>
              </w:rPr>
            </w:pPr>
          </w:p>
        </w:tc>
        <w:tc>
          <w:tcPr>
            <w:tcW w:w="1519" w:type="dxa"/>
          </w:tcPr>
          <w:p w14:paraId="59A601C4" w14:textId="77777777" w:rsidR="00E52B0F" w:rsidRDefault="00E52B0F" w:rsidP="003632AA">
            <w:pPr>
              <w:rPr>
                <w:lang w:eastAsia="en-AU"/>
              </w:rPr>
            </w:pPr>
            <w:r>
              <w:rPr>
                <w:lang w:eastAsia="en-AU"/>
              </w:rPr>
              <w:t>491</w:t>
            </w:r>
          </w:p>
        </w:tc>
        <w:tc>
          <w:tcPr>
            <w:tcW w:w="5787" w:type="dxa"/>
          </w:tcPr>
          <w:p w14:paraId="509E96DE" w14:textId="77777777" w:rsidR="00E52B0F" w:rsidRDefault="00B73CD9" w:rsidP="003632AA">
            <w:pPr>
              <w:spacing w:before="160" w:after="120" w:line="360" w:lineRule="atLeast"/>
            </w:pPr>
            <w:r>
              <w:t>–</w:t>
            </w:r>
          </w:p>
        </w:tc>
      </w:tr>
      <w:tr w:rsidR="00E52B0F" w14:paraId="593BD128" w14:textId="77777777" w:rsidTr="005E1301">
        <w:trPr>
          <w:trHeight w:val="220"/>
        </w:trPr>
        <w:tc>
          <w:tcPr>
            <w:tcW w:w="2333" w:type="dxa"/>
            <w:vMerge/>
          </w:tcPr>
          <w:p w14:paraId="1D5A074F" w14:textId="77777777" w:rsidR="00E52B0F" w:rsidRDefault="00E52B0F" w:rsidP="003632AA">
            <w:pPr>
              <w:rPr>
                <w:lang w:eastAsia="en-AU"/>
              </w:rPr>
            </w:pPr>
          </w:p>
        </w:tc>
        <w:tc>
          <w:tcPr>
            <w:tcW w:w="1519" w:type="dxa"/>
          </w:tcPr>
          <w:p w14:paraId="21D7340C" w14:textId="77777777" w:rsidR="00E52B0F" w:rsidRDefault="00E52B0F" w:rsidP="003632AA">
            <w:pPr>
              <w:rPr>
                <w:lang w:eastAsia="en-AU"/>
              </w:rPr>
            </w:pPr>
            <w:r>
              <w:rPr>
                <w:lang w:eastAsia="en-AU"/>
              </w:rPr>
              <w:t>494</w:t>
            </w:r>
          </w:p>
        </w:tc>
        <w:tc>
          <w:tcPr>
            <w:tcW w:w="5787" w:type="dxa"/>
          </w:tcPr>
          <w:p w14:paraId="57F47BBC" w14:textId="77777777" w:rsidR="00E52B0F" w:rsidRDefault="00B73CD9" w:rsidP="003632AA">
            <w:pPr>
              <w:spacing w:before="160" w:after="120" w:line="360" w:lineRule="atLeast"/>
            </w:pPr>
            <w:r>
              <w:t>–</w:t>
            </w:r>
          </w:p>
        </w:tc>
      </w:tr>
      <w:tr w:rsidR="00E52B0F" w14:paraId="2CCEE947" w14:textId="77777777" w:rsidTr="005E1301">
        <w:trPr>
          <w:trHeight w:val="220"/>
        </w:trPr>
        <w:tc>
          <w:tcPr>
            <w:tcW w:w="2333" w:type="dxa"/>
          </w:tcPr>
          <w:p w14:paraId="66D3E104" w14:textId="77777777" w:rsidR="00E52B0F" w:rsidRDefault="00E52B0F" w:rsidP="003632AA">
            <w:pPr>
              <w:rPr>
                <w:lang w:eastAsia="en-AU"/>
              </w:rPr>
            </w:pPr>
            <w:r>
              <w:rPr>
                <w:lang w:eastAsia="en-AU"/>
              </w:rPr>
              <w:t xml:space="preserve">Eye irritation – in vitro </w:t>
            </w:r>
          </w:p>
        </w:tc>
        <w:tc>
          <w:tcPr>
            <w:tcW w:w="1519" w:type="dxa"/>
          </w:tcPr>
          <w:p w14:paraId="696C4F76" w14:textId="77777777" w:rsidR="00E52B0F" w:rsidRDefault="00E52B0F" w:rsidP="003632AA">
            <w:pPr>
              <w:rPr>
                <w:lang w:eastAsia="en-AU"/>
              </w:rPr>
            </w:pPr>
            <w:r>
              <w:rPr>
                <w:lang w:eastAsia="en-AU"/>
              </w:rPr>
              <w:t>492</w:t>
            </w:r>
          </w:p>
        </w:tc>
        <w:tc>
          <w:tcPr>
            <w:tcW w:w="5787" w:type="dxa"/>
          </w:tcPr>
          <w:p w14:paraId="7B31491D" w14:textId="77777777" w:rsidR="00E52B0F" w:rsidRPr="00777765" w:rsidRDefault="00B73CD9" w:rsidP="003632AA">
            <w:pPr>
              <w:spacing w:before="160" w:after="120" w:line="360" w:lineRule="atLeast"/>
            </w:pPr>
            <w:r>
              <w:t>–</w:t>
            </w:r>
          </w:p>
        </w:tc>
      </w:tr>
      <w:tr w:rsidR="00E52B0F" w14:paraId="0B511FF1" w14:textId="77777777" w:rsidTr="005E1301">
        <w:trPr>
          <w:trHeight w:val="220"/>
        </w:trPr>
        <w:tc>
          <w:tcPr>
            <w:tcW w:w="2333" w:type="dxa"/>
          </w:tcPr>
          <w:p w14:paraId="18D8197E" w14:textId="77777777" w:rsidR="00E52B0F" w:rsidRDefault="00E52B0F" w:rsidP="003632AA">
            <w:pPr>
              <w:rPr>
                <w:lang w:eastAsia="en-AU"/>
              </w:rPr>
            </w:pPr>
            <w:r>
              <w:rPr>
                <w:lang w:eastAsia="en-AU"/>
              </w:rPr>
              <w:t>Eye irritation – in vivo</w:t>
            </w:r>
          </w:p>
        </w:tc>
        <w:tc>
          <w:tcPr>
            <w:tcW w:w="1519" w:type="dxa"/>
          </w:tcPr>
          <w:p w14:paraId="3556C24D" w14:textId="77777777" w:rsidR="00E52B0F" w:rsidRDefault="00E52B0F" w:rsidP="003632AA">
            <w:pPr>
              <w:rPr>
                <w:lang w:eastAsia="en-AU"/>
              </w:rPr>
            </w:pPr>
            <w:r>
              <w:rPr>
                <w:lang w:eastAsia="en-AU"/>
              </w:rPr>
              <w:t>405</w:t>
            </w:r>
          </w:p>
        </w:tc>
        <w:tc>
          <w:tcPr>
            <w:tcW w:w="5787" w:type="dxa"/>
          </w:tcPr>
          <w:p w14:paraId="5C68E168" w14:textId="77777777" w:rsidR="00E52B0F" w:rsidRPr="00777765" w:rsidRDefault="00E52B0F" w:rsidP="003632AA">
            <w:pPr>
              <w:spacing w:before="160" w:after="120" w:line="360" w:lineRule="atLeast"/>
            </w:pPr>
            <w:r w:rsidRPr="00777765">
              <w:t>EU Annex V test methods B.5</w:t>
            </w:r>
          </w:p>
          <w:p w14:paraId="3E9C4007" w14:textId="77777777" w:rsidR="00E52B0F" w:rsidRDefault="00E52B0F" w:rsidP="003632AA">
            <w:pPr>
              <w:spacing w:before="160" w:after="120" w:line="360" w:lineRule="atLeast"/>
            </w:pPr>
            <w:r w:rsidRPr="00777765">
              <w:t>OCSPP 870.2400, OPPT 798.4500 or OPP 81-4</w:t>
            </w:r>
          </w:p>
        </w:tc>
      </w:tr>
      <w:tr w:rsidR="00E52B0F" w14:paraId="773DB8F8" w14:textId="77777777" w:rsidTr="005E1301">
        <w:trPr>
          <w:trHeight w:val="220"/>
        </w:trPr>
        <w:tc>
          <w:tcPr>
            <w:tcW w:w="2333" w:type="dxa"/>
            <w:vMerge w:val="restart"/>
          </w:tcPr>
          <w:p w14:paraId="42431A65" w14:textId="77777777" w:rsidR="00E52B0F" w:rsidRDefault="00E52B0F" w:rsidP="003632AA">
            <w:pPr>
              <w:rPr>
                <w:lang w:eastAsia="en-AU"/>
              </w:rPr>
            </w:pPr>
            <w:r>
              <w:rPr>
                <w:lang w:eastAsia="en-AU"/>
              </w:rPr>
              <w:t xml:space="preserve">Gene mutation – in vivo </w:t>
            </w:r>
          </w:p>
        </w:tc>
        <w:tc>
          <w:tcPr>
            <w:tcW w:w="1519" w:type="dxa"/>
          </w:tcPr>
          <w:p w14:paraId="23587739" w14:textId="77777777" w:rsidR="00E52B0F" w:rsidRDefault="00E52B0F" w:rsidP="003632AA">
            <w:pPr>
              <w:rPr>
                <w:lang w:eastAsia="en-AU"/>
              </w:rPr>
            </w:pPr>
            <w:r>
              <w:rPr>
                <w:lang w:eastAsia="en-AU"/>
              </w:rPr>
              <w:t>486</w:t>
            </w:r>
          </w:p>
        </w:tc>
        <w:tc>
          <w:tcPr>
            <w:tcW w:w="5787" w:type="dxa"/>
          </w:tcPr>
          <w:p w14:paraId="13E29A14" w14:textId="77777777" w:rsidR="00E52B0F" w:rsidRPr="00777765" w:rsidRDefault="00E52B0F" w:rsidP="003632AA">
            <w:pPr>
              <w:spacing w:before="160" w:after="120" w:line="360" w:lineRule="atLeast"/>
            </w:pPr>
            <w:r>
              <w:t xml:space="preserve">EU </w:t>
            </w:r>
            <w:r w:rsidRPr="00777765">
              <w:t>Annex V test method B.39</w:t>
            </w:r>
          </w:p>
        </w:tc>
      </w:tr>
      <w:tr w:rsidR="00E52B0F" w14:paraId="0B536573" w14:textId="77777777" w:rsidTr="005E1301">
        <w:trPr>
          <w:trHeight w:val="220"/>
        </w:trPr>
        <w:tc>
          <w:tcPr>
            <w:tcW w:w="2333" w:type="dxa"/>
            <w:vMerge/>
          </w:tcPr>
          <w:p w14:paraId="15EDFBC8" w14:textId="77777777" w:rsidR="00E52B0F" w:rsidRDefault="00E52B0F" w:rsidP="003632AA">
            <w:pPr>
              <w:rPr>
                <w:lang w:eastAsia="en-AU"/>
              </w:rPr>
            </w:pPr>
          </w:p>
        </w:tc>
        <w:tc>
          <w:tcPr>
            <w:tcW w:w="1519" w:type="dxa"/>
          </w:tcPr>
          <w:p w14:paraId="65E0DA88" w14:textId="77777777" w:rsidR="00E52B0F" w:rsidRDefault="00E52B0F" w:rsidP="003632AA">
            <w:pPr>
              <w:rPr>
                <w:lang w:eastAsia="en-AU"/>
              </w:rPr>
            </w:pPr>
            <w:r>
              <w:rPr>
                <w:lang w:eastAsia="en-AU"/>
              </w:rPr>
              <w:t>488</w:t>
            </w:r>
          </w:p>
        </w:tc>
        <w:tc>
          <w:tcPr>
            <w:tcW w:w="5787" w:type="dxa"/>
          </w:tcPr>
          <w:p w14:paraId="7E2C7A0E" w14:textId="77777777" w:rsidR="00E52B0F" w:rsidRDefault="00E52B0F" w:rsidP="003632AA">
            <w:pPr>
              <w:spacing w:before="160" w:after="120" w:line="360" w:lineRule="atLeast"/>
            </w:pPr>
            <w:r w:rsidRPr="00777765">
              <w:t>EU Annex V test method B.58</w:t>
            </w:r>
          </w:p>
        </w:tc>
      </w:tr>
      <w:tr w:rsidR="00E52B0F" w14:paraId="6C245D88" w14:textId="77777777" w:rsidTr="005E1301">
        <w:trPr>
          <w:trHeight w:val="220"/>
        </w:trPr>
        <w:tc>
          <w:tcPr>
            <w:tcW w:w="2333" w:type="dxa"/>
            <w:vMerge/>
          </w:tcPr>
          <w:p w14:paraId="196791B8" w14:textId="77777777" w:rsidR="00E52B0F" w:rsidRDefault="00E52B0F" w:rsidP="003632AA">
            <w:pPr>
              <w:rPr>
                <w:lang w:eastAsia="en-AU"/>
              </w:rPr>
            </w:pPr>
          </w:p>
        </w:tc>
        <w:tc>
          <w:tcPr>
            <w:tcW w:w="1519" w:type="dxa"/>
          </w:tcPr>
          <w:p w14:paraId="354E0860" w14:textId="77777777" w:rsidR="00E52B0F" w:rsidRDefault="00E52B0F" w:rsidP="003632AA">
            <w:pPr>
              <w:rPr>
                <w:lang w:eastAsia="en-AU"/>
              </w:rPr>
            </w:pPr>
            <w:r>
              <w:rPr>
                <w:lang w:eastAsia="en-AU"/>
              </w:rPr>
              <w:t>489</w:t>
            </w:r>
          </w:p>
        </w:tc>
        <w:tc>
          <w:tcPr>
            <w:tcW w:w="5787" w:type="dxa"/>
          </w:tcPr>
          <w:p w14:paraId="0DA41E20" w14:textId="77777777" w:rsidR="00E52B0F" w:rsidRDefault="003E1F33" w:rsidP="003632AA">
            <w:pPr>
              <w:spacing w:before="160" w:after="120" w:line="360" w:lineRule="atLeast"/>
            </w:pPr>
            <w:r>
              <w:t>–</w:t>
            </w:r>
          </w:p>
        </w:tc>
      </w:tr>
      <w:tr w:rsidR="00E52B0F" w14:paraId="565C4807" w14:textId="77777777" w:rsidTr="005E1301">
        <w:trPr>
          <w:trHeight w:val="220"/>
        </w:trPr>
        <w:tc>
          <w:tcPr>
            <w:tcW w:w="2333" w:type="dxa"/>
            <w:vMerge w:val="restart"/>
          </w:tcPr>
          <w:p w14:paraId="4A25152E" w14:textId="77777777" w:rsidR="00E52B0F" w:rsidRDefault="00E52B0F" w:rsidP="003632AA">
            <w:pPr>
              <w:rPr>
                <w:lang w:eastAsia="en-AU"/>
              </w:rPr>
            </w:pPr>
            <w:r>
              <w:rPr>
                <w:lang w:eastAsia="en-AU"/>
              </w:rPr>
              <w:t>Gene mutation – in vitro</w:t>
            </w:r>
          </w:p>
          <w:p w14:paraId="0BAA5969" w14:textId="77777777" w:rsidR="00E52B0F" w:rsidRDefault="00E52B0F" w:rsidP="003632AA">
            <w:pPr>
              <w:rPr>
                <w:lang w:eastAsia="en-AU"/>
              </w:rPr>
            </w:pPr>
          </w:p>
        </w:tc>
        <w:tc>
          <w:tcPr>
            <w:tcW w:w="1519" w:type="dxa"/>
          </w:tcPr>
          <w:p w14:paraId="2134C080" w14:textId="77777777" w:rsidR="00E52B0F" w:rsidRDefault="00E52B0F" w:rsidP="003632AA">
            <w:pPr>
              <w:rPr>
                <w:lang w:eastAsia="en-AU"/>
              </w:rPr>
            </w:pPr>
            <w:r>
              <w:rPr>
                <w:lang w:eastAsia="en-AU"/>
              </w:rPr>
              <w:t>471</w:t>
            </w:r>
          </w:p>
        </w:tc>
        <w:tc>
          <w:tcPr>
            <w:tcW w:w="5787" w:type="dxa"/>
          </w:tcPr>
          <w:p w14:paraId="7FC9C08B" w14:textId="77777777" w:rsidR="00E52B0F" w:rsidRPr="00777765" w:rsidRDefault="00E52B0F" w:rsidP="003632AA">
            <w:pPr>
              <w:spacing w:before="160" w:after="120" w:line="360" w:lineRule="atLeast"/>
            </w:pPr>
            <w:r w:rsidRPr="00777765">
              <w:t>EU Annex V test methods B.13 and B.14</w:t>
            </w:r>
          </w:p>
          <w:p w14:paraId="79EC90B9" w14:textId="77777777" w:rsidR="00E52B0F" w:rsidRDefault="00E52B0F" w:rsidP="003632AA">
            <w:pPr>
              <w:spacing w:before="160" w:after="120" w:line="360" w:lineRule="atLeast"/>
            </w:pPr>
            <w:r w:rsidRPr="00777765">
              <w:t>OCSPP 870.5100, OPPT 798.5100, OPPT 798.5265</w:t>
            </w:r>
            <w:r>
              <w:t>,</w:t>
            </w:r>
            <w:r w:rsidRPr="00777765">
              <w:t xml:space="preserve"> OPP 84-2</w:t>
            </w:r>
          </w:p>
          <w:p w14:paraId="03790FB5" w14:textId="77777777" w:rsidR="00E52B0F" w:rsidRDefault="00E52B0F" w:rsidP="003632AA">
            <w:pPr>
              <w:spacing w:before="160" w:after="120" w:line="360" w:lineRule="atLeast"/>
            </w:pPr>
          </w:p>
        </w:tc>
      </w:tr>
      <w:tr w:rsidR="00E52B0F" w14:paraId="150C9362" w14:textId="77777777" w:rsidTr="005E1301">
        <w:trPr>
          <w:trHeight w:val="220"/>
        </w:trPr>
        <w:tc>
          <w:tcPr>
            <w:tcW w:w="2333" w:type="dxa"/>
            <w:vMerge/>
          </w:tcPr>
          <w:p w14:paraId="2D441401" w14:textId="77777777" w:rsidR="00E52B0F" w:rsidRDefault="00E52B0F" w:rsidP="003632AA">
            <w:pPr>
              <w:rPr>
                <w:lang w:eastAsia="en-AU"/>
              </w:rPr>
            </w:pPr>
          </w:p>
        </w:tc>
        <w:tc>
          <w:tcPr>
            <w:tcW w:w="1519" w:type="dxa"/>
          </w:tcPr>
          <w:p w14:paraId="27C02D93" w14:textId="77777777" w:rsidR="00E52B0F" w:rsidRDefault="00E52B0F" w:rsidP="003632AA">
            <w:pPr>
              <w:rPr>
                <w:lang w:eastAsia="en-AU"/>
              </w:rPr>
            </w:pPr>
            <w:r>
              <w:rPr>
                <w:lang w:eastAsia="en-AU"/>
              </w:rPr>
              <w:t>476</w:t>
            </w:r>
          </w:p>
        </w:tc>
        <w:tc>
          <w:tcPr>
            <w:tcW w:w="5787" w:type="dxa"/>
          </w:tcPr>
          <w:p w14:paraId="12A1379F" w14:textId="77777777" w:rsidR="00E52B0F" w:rsidRPr="00777765" w:rsidRDefault="00E52B0F" w:rsidP="003632AA">
            <w:pPr>
              <w:spacing w:before="160" w:after="120" w:line="360" w:lineRule="atLeast"/>
            </w:pPr>
            <w:r w:rsidRPr="00777765">
              <w:t>EU Annex V test method B.17</w:t>
            </w:r>
          </w:p>
          <w:p w14:paraId="4DDF92B9" w14:textId="77777777" w:rsidR="00E52B0F" w:rsidRDefault="00E52B0F" w:rsidP="003632AA">
            <w:pPr>
              <w:spacing w:before="160" w:after="120" w:line="360" w:lineRule="atLeast"/>
            </w:pPr>
            <w:r>
              <w:t>OCSPP 870.5300, OPPT 798.5300,</w:t>
            </w:r>
            <w:r w:rsidRPr="00777765">
              <w:t xml:space="preserve"> OPP 84-2</w:t>
            </w:r>
          </w:p>
        </w:tc>
      </w:tr>
      <w:tr w:rsidR="00E52B0F" w14:paraId="1EE4A2AA" w14:textId="77777777" w:rsidTr="005E1301">
        <w:trPr>
          <w:trHeight w:val="220"/>
        </w:trPr>
        <w:tc>
          <w:tcPr>
            <w:tcW w:w="2333" w:type="dxa"/>
            <w:vMerge w:val="restart"/>
          </w:tcPr>
          <w:p w14:paraId="1E7ED7B7" w14:textId="77777777" w:rsidR="00E52B0F" w:rsidRDefault="00E52B0F" w:rsidP="003632AA">
            <w:pPr>
              <w:rPr>
                <w:lang w:eastAsia="en-AU"/>
              </w:rPr>
            </w:pPr>
            <w:r>
              <w:rPr>
                <w:lang w:eastAsia="en-AU"/>
              </w:rPr>
              <w:t xml:space="preserve">Heritable germ cell mutagenicity – in vivo </w:t>
            </w:r>
          </w:p>
          <w:p w14:paraId="03265B67" w14:textId="77777777" w:rsidR="00E52B0F" w:rsidRDefault="00E52B0F" w:rsidP="003632AA">
            <w:pPr>
              <w:rPr>
                <w:lang w:eastAsia="en-AU"/>
              </w:rPr>
            </w:pPr>
          </w:p>
        </w:tc>
        <w:tc>
          <w:tcPr>
            <w:tcW w:w="1519" w:type="dxa"/>
          </w:tcPr>
          <w:p w14:paraId="718D42AD" w14:textId="77777777" w:rsidR="00E52B0F" w:rsidRDefault="00E52B0F" w:rsidP="003632AA">
            <w:pPr>
              <w:rPr>
                <w:lang w:eastAsia="en-AU"/>
              </w:rPr>
            </w:pPr>
            <w:r>
              <w:rPr>
                <w:lang w:eastAsia="en-AU"/>
              </w:rPr>
              <w:t>478</w:t>
            </w:r>
          </w:p>
        </w:tc>
        <w:tc>
          <w:tcPr>
            <w:tcW w:w="5787" w:type="dxa"/>
          </w:tcPr>
          <w:p w14:paraId="5343D2E5" w14:textId="77777777" w:rsidR="00E52B0F" w:rsidRDefault="00E52B0F" w:rsidP="003632AA">
            <w:pPr>
              <w:spacing w:before="160" w:after="120" w:line="360" w:lineRule="atLeast"/>
            </w:pPr>
            <w:r w:rsidRPr="00777765">
              <w:t>EU Annex V test metho</w:t>
            </w:r>
            <w:r>
              <w:t>d B.22</w:t>
            </w:r>
          </w:p>
          <w:p w14:paraId="6BFE8942" w14:textId="77777777" w:rsidR="00E52B0F" w:rsidRDefault="00E52B0F" w:rsidP="003632AA">
            <w:pPr>
              <w:spacing w:before="160" w:after="120" w:line="360" w:lineRule="atLeast"/>
            </w:pPr>
            <w:r>
              <w:t>OPPT 798.5450, 870.5450</w:t>
            </w:r>
          </w:p>
        </w:tc>
      </w:tr>
      <w:tr w:rsidR="00E52B0F" w14:paraId="73CD9FBA" w14:textId="77777777" w:rsidTr="005E1301">
        <w:trPr>
          <w:trHeight w:val="220"/>
        </w:trPr>
        <w:tc>
          <w:tcPr>
            <w:tcW w:w="2333" w:type="dxa"/>
            <w:vMerge/>
          </w:tcPr>
          <w:p w14:paraId="444106A2" w14:textId="77777777" w:rsidR="00E52B0F" w:rsidRDefault="00E52B0F" w:rsidP="003632AA">
            <w:pPr>
              <w:rPr>
                <w:lang w:eastAsia="en-AU"/>
              </w:rPr>
            </w:pPr>
          </w:p>
        </w:tc>
        <w:tc>
          <w:tcPr>
            <w:tcW w:w="1519" w:type="dxa"/>
          </w:tcPr>
          <w:p w14:paraId="0DA85B82" w14:textId="77777777" w:rsidR="00E52B0F" w:rsidRDefault="00E52B0F" w:rsidP="003632AA">
            <w:pPr>
              <w:rPr>
                <w:lang w:eastAsia="en-AU"/>
              </w:rPr>
            </w:pPr>
            <w:r>
              <w:rPr>
                <w:lang w:eastAsia="en-AU"/>
              </w:rPr>
              <w:t>485</w:t>
            </w:r>
          </w:p>
        </w:tc>
        <w:tc>
          <w:tcPr>
            <w:tcW w:w="5787" w:type="dxa"/>
          </w:tcPr>
          <w:p w14:paraId="0ECB37DC" w14:textId="77777777" w:rsidR="00E52B0F" w:rsidRDefault="00E52B0F" w:rsidP="003632AA">
            <w:pPr>
              <w:spacing w:before="160" w:after="120" w:line="360" w:lineRule="atLeast"/>
            </w:pPr>
            <w:r w:rsidRPr="00777765">
              <w:t>EU Annex V test metho</w:t>
            </w:r>
            <w:r>
              <w:t>d B.25</w:t>
            </w:r>
          </w:p>
          <w:p w14:paraId="252ABE27" w14:textId="77777777" w:rsidR="00E52B0F" w:rsidRDefault="00E52B0F" w:rsidP="003632AA">
            <w:pPr>
              <w:spacing w:before="160" w:after="120" w:line="360" w:lineRule="atLeast"/>
            </w:pPr>
            <w:r>
              <w:t>OPPT 798.5460, 870.5460</w:t>
            </w:r>
          </w:p>
        </w:tc>
      </w:tr>
      <w:tr w:rsidR="00E52B0F" w14:paraId="1A8C968F" w14:textId="77777777" w:rsidTr="005E1301">
        <w:trPr>
          <w:trHeight w:val="220"/>
        </w:trPr>
        <w:tc>
          <w:tcPr>
            <w:tcW w:w="2333" w:type="dxa"/>
            <w:vMerge w:val="restart"/>
          </w:tcPr>
          <w:p w14:paraId="3275A04D" w14:textId="77777777" w:rsidR="00E52B0F" w:rsidRDefault="00E52B0F" w:rsidP="003632AA">
            <w:pPr>
              <w:rPr>
                <w:lang w:eastAsia="en-AU"/>
              </w:rPr>
            </w:pPr>
            <w:r>
              <w:rPr>
                <w:lang w:eastAsia="en-AU"/>
              </w:rPr>
              <w:t>Reproductive toxicity – in vivo</w:t>
            </w:r>
          </w:p>
        </w:tc>
        <w:tc>
          <w:tcPr>
            <w:tcW w:w="1519" w:type="dxa"/>
          </w:tcPr>
          <w:p w14:paraId="65937C04" w14:textId="77777777" w:rsidR="00E52B0F" w:rsidRDefault="00E52B0F" w:rsidP="003632AA">
            <w:r>
              <w:rPr>
                <w:lang w:eastAsia="en-AU"/>
              </w:rPr>
              <w:t>421</w:t>
            </w:r>
          </w:p>
        </w:tc>
        <w:tc>
          <w:tcPr>
            <w:tcW w:w="5787" w:type="dxa"/>
          </w:tcPr>
          <w:p w14:paraId="6609A1AF" w14:textId="77777777" w:rsidR="00E52B0F" w:rsidRDefault="00E52B0F" w:rsidP="003632AA">
            <w:pPr>
              <w:spacing w:before="160" w:after="120" w:line="360" w:lineRule="atLeast"/>
            </w:pPr>
            <w:r w:rsidRPr="00777765">
              <w:t>OCSPP 870.3550</w:t>
            </w:r>
          </w:p>
        </w:tc>
      </w:tr>
      <w:tr w:rsidR="00E52B0F" w14:paraId="2CF5D77F" w14:textId="77777777" w:rsidTr="005E1301">
        <w:trPr>
          <w:trHeight w:val="220"/>
        </w:trPr>
        <w:tc>
          <w:tcPr>
            <w:tcW w:w="2333" w:type="dxa"/>
            <w:vMerge/>
          </w:tcPr>
          <w:p w14:paraId="1E78B994" w14:textId="77777777" w:rsidR="00E52B0F" w:rsidRDefault="00E52B0F" w:rsidP="003632AA">
            <w:pPr>
              <w:rPr>
                <w:lang w:eastAsia="en-AU"/>
              </w:rPr>
            </w:pPr>
          </w:p>
        </w:tc>
        <w:tc>
          <w:tcPr>
            <w:tcW w:w="1519" w:type="dxa"/>
          </w:tcPr>
          <w:p w14:paraId="18741D23" w14:textId="77777777" w:rsidR="00E52B0F" w:rsidRDefault="00E52B0F" w:rsidP="003632AA">
            <w:r>
              <w:rPr>
                <w:lang w:eastAsia="en-AU"/>
              </w:rPr>
              <w:t>422</w:t>
            </w:r>
            <w:r>
              <w:rPr>
                <w:rStyle w:val="FootnoteReference"/>
                <w:lang w:eastAsia="en-AU"/>
              </w:rPr>
              <w:footnoteReference w:id="38"/>
            </w:r>
          </w:p>
        </w:tc>
        <w:tc>
          <w:tcPr>
            <w:tcW w:w="5787" w:type="dxa"/>
          </w:tcPr>
          <w:p w14:paraId="398E8E4C" w14:textId="77777777" w:rsidR="00E52B0F" w:rsidRDefault="00E52B0F" w:rsidP="003632AA">
            <w:pPr>
              <w:spacing w:before="160" w:after="120" w:line="360" w:lineRule="atLeast"/>
            </w:pPr>
            <w:r w:rsidRPr="00777765">
              <w:t>OCSPP 870.3650</w:t>
            </w:r>
          </w:p>
        </w:tc>
      </w:tr>
      <w:tr w:rsidR="00E52B0F" w14:paraId="12E98262" w14:textId="77777777" w:rsidTr="005E1301">
        <w:trPr>
          <w:trHeight w:val="220"/>
        </w:trPr>
        <w:tc>
          <w:tcPr>
            <w:tcW w:w="2333" w:type="dxa"/>
            <w:vMerge/>
          </w:tcPr>
          <w:p w14:paraId="6E58ED77" w14:textId="77777777" w:rsidR="00E52B0F" w:rsidRDefault="00E52B0F" w:rsidP="003632AA">
            <w:pPr>
              <w:rPr>
                <w:lang w:eastAsia="en-AU"/>
              </w:rPr>
            </w:pPr>
          </w:p>
        </w:tc>
        <w:tc>
          <w:tcPr>
            <w:tcW w:w="1519" w:type="dxa"/>
          </w:tcPr>
          <w:p w14:paraId="649ACF43" w14:textId="77777777" w:rsidR="00E52B0F" w:rsidRDefault="00E52B0F" w:rsidP="003632AA">
            <w:r>
              <w:rPr>
                <w:lang w:eastAsia="en-AU"/>
              </w:rPr>
              <w:t>443</w:t>
            </w:r>
          </w:p>
        </w:tc>
        <w:tc>
          <w:tcPr>
            <w:tcW w:w="5787" w:type="dxa"/>
          </w:tcPr>
          <w:p w14:paraId="220E1FDF" w14:textId="77777777" w:rsidR="00E52B0F" w:rsidRDefault="00E52B0F" w:rsidP="003632AA">
            <w:pPr>
              <w:spacing w:before="160" w:after="120" w:line="360" w:lineRule="atLeast"/>
            </w:pPr>
            <w:r w:rsidRPr="00777765">
              <w:t>EU Annex V test method B.56</w:t>
            </w:r>
          </w:p>
        </w:tc>
      </w:tr>
      <w:tr w:rsidR="00E52B0F" w14:paraId="7B0783BC" w14:textId="77777777" w:rsidTr="005E1301">
        <w:trPr>
          <w:trHeight w:val="220"/>
        </w:trPr>
        <w:tc>
          <w:tcPr>
            <w:tcW w:w="2333" w:type="dxa"/>
            <w:vMerge/>
          </w:tcPr>
          <w:p w14:paraId="233BB14F" w14:textId="77777777" w:rsidR="00E52B0F" w:rsidRDefault="00E52B0F" w:rsidP="003632AA">
            <w:pPr>
              <w:rPr>
                <w:lang w:eastAsia="en-AU"/>
              </w:rPr>
            </w:pPr>
          </w:p>
        </w:tc>
        <w:tc>
          <w:tcPr>
            <w:tcW w:w="1519" w:type="dxa"/>
          </w:tcPr>
          <w:p w14:paraId="440DF705" w14:textId="77777777" w:rsidR="00E52B0F" w:rsidRDefault="00E52B0F" w:rsidP="003632AA">
            <w:r>
              <w:rPr>
                <w:lang w:eastAsia="en-AU"/>
              </w:rPr>
              <w:t>415</w:t>
            </w:r>
          </w:p>
        </w:tc>
        <w:tc>
          <w:tcPr>
            <w:tcW w:w="5787" w:type="dxa"/>
          </w:tcPr>
          <w:p w14:paraId="66CA540E" w14:textId="77777777" w:rsidR="00E52B0F" w:rsidRDefault="00E52B0F" w:rsidP="003632AA">
            <w:pPr>
              <w:spacing w:before="160" w:after="120" w:line="360" w:lineRule="atLeast"/>
            </w:pPr>
            <w:r>
              <w:t>EU Annex V test method B.34</w:t>
            </w:r>
          </w:p>
        </w:tc>
      </w:tr>
      <w:tr w:rsidR="00E52B0F" w14:paraId="204C1B9F" w14:textId="77777777" w:rsidTr="005E1301">
        <w:trPr>
          <w:trHeight w:val="220"/>
        </w:trPr>
        <w:tc>
          <w:tcPr>
            <w:tcW w:w="2333" w:type="dxa"/>
            <w:vMerge/>
          </w:tcPr>
          <w:p w14:paraId="6A55BDA7" w14:textId="77777777" w:rsidR="00E52B0F" w:rsidRDefault="00E52B0F" w:rsidP="003632AA">
            <w:pPr>
              <w:rPr>
                <w:lang w:eastAsia="en-AU"/>
              </w:rPr>
            </w:pPr>
          </w:p>
        </w:tc>
        <w:tc>
          <w:tcPr>
            <w:tcW w:w="1519" w:type="dxa"/>
          </w:tcPr>
          <w:p w14:paraId="7659A155" w14:textId="77777777" w:rsidR="00E52B0F" w:rsidRDefault="00E52B0F" w:rsidP="003632AA">
            <w:r>
              <w:rPr>
                <w:lang w:eastAsia="en-AU"/>
              </w:rPr>
              <w:t>416</w:t>
            </w:r>
          </w:p>
        </w:tc>
        <w:tc>
          <w:tcPr>
            <w:tcW w:w="5787" w:type="dxa"/>
          </w:tcPr>
          <w:p w14:paraId="678F28C5" w14:textId="77777777" w:rsidR="00E52B0F" w:rsidRPr="00777765" w:rsidRDefault="00E52B0F" w:rsidP="003632AA">
            <w:pPr>
              <w:spacing w:before="160" w:after="120" w:line="360" w:lineRule="atLeast"/>
            </w:pPr>
            <w:r w:rsidRPr="00777765">
              <w:t>EU Annex V test method B.35</w:t>
            </w:r>
          </w:p>
          <w:p w14:paraId="7A1C072C" w14:textId="77777777" w:rsidR="00E52B0F" w:rsidRPr="00777765" w:rsidRDefault="00E52B0F" w:rsidP="003632AA">
            <w:pPr>
              <w:spacing w:before="160" w:after="120" w:line="360" w:lineRule="atLeast"/>
            </w:pPr>
            <w:r w:rsidRPr="00777765">
              <w:t>OCSPP 870.3800, OPPT 798.4700 or OPP 83-4</w:t>
            </w:r>
          </w:p>
        </w:tc>
      </w:tr>
      <w:tr w:rsidR="00E52B0F" w14:paraId="39662E26" w14:textId="77777777" w:rsidTr="005E1301">
        <w:trPr>
          <w:trHeight w:val="220"/>
        </w:trPr>
        <w:tc>
          <w:tcPr>
            <w:tcW w:w="2333" w:type="dxa"/>
            <w:vMerge w:val="restart"/>
          </w:tcPr>
          <w:p w14:paraId="22CC6753" w14:textId="77777777" w:rsidR="00E52B0F" w:rsidRDefault="00E52B0F" w:rsidP="003632AA">
            <w:pPr>
              <w:rPr>
                <w:lang w:eastAsia="en-AU"/>
              </w:rPr>
            </w:pPr>
            <w:r>
              <w:rPr>
                <w:lang w:eastAsia="en-AU"/>
              </w:rPr>
              <w:t>Skin corrosion – in vitro</w:t>
            </w:r>
          </w:p>
          <w:p w14:paraId="16A49659" w14:textId="77777777" w:rsidR="00E52B0F" w:rsidRDefault="00E52B0F" w:rsidP="003632AA">
            <w:pPr>
              <w:rPr>
                <w:lang w:eastAsia="en-AU"/>
              </w:rPr>
            </w:pPr>
          </w:p>
        </w:tc>
        <w:tc>
          <w:tcPr>
            <w:tcW w:w="1519" w:type="dxa"/>
          </w:tcPr>
          <w:p w14:paraId="43289AD7" w14:textId="77777777" w:rsidR="00E52B0F" w:rsidRDefault="00E52B0F" w:rsidP="003632AA">
            <w:r>
              <w:rPr>
                <w:lang w:eastAsia="en-AU"/>
              </w:rPr>
              <w:t>430</w:t>
            </w:r>
          </w:p>
        </w:tc>
        <w:tc>
          <w:tcPr>
            <w:tcW w:w="5787" w:type="dxa"/>
          </w:tcPr>
          <w:p w14:paraId="07C90107" w14:textId="77777777" w:rsidR="00E52B0F" w:rsidRPr="00777765" w:rsidRDefault="00E52B0F" w:rsidP="003632AA">
            <w:pPr>
              <w:spacing w:before="160" w:after="120" w:line="360" w:lineRule="atLeast"/>
            </w:pPr>
            <w:r w:rsidRPr="00777765">
              <w:t>EU Annex V test method B.43</w:t>
            </w:r>
          </w:p>
          <w:p w14:paraId="453911A1" w14:textId="77777777" w:rsidR="00E52B0F" w:rsidRDefault="00E52B0F" w:rsidP="003632AA">
            <w:pPr>
              <w:spacing w:before="160" w:after="120" w:line="360" w:lineRule="atLeast"/>
            </w:pPr>
            <w:r w:rsidRPr="00777765">
              <w:t>EURL ECVAM DB-ALM protocol No.115</w:t>
            </w:r>
          </w:p>
        </w:tc>
      </w:tr>
      <w:tr w:rsidR="00E52B0F" w14:paraId="5141E1B8" w14:textId="77777777" w:rsidTr="005E1301">
        <w:trPr>
          <w:trHeight w:val="220"/>
        </w:trPr>
        <w:tc>
          <w:tcPr>
            <w:tcW w:w="2333" w:type="dxa"/>
            <w:vMerge/>
          </w:tcPr>
          <w:p w14:paraId="2005276C" w14:textId="77777777" w:rsidR="00E52B0F" w:rsidRDefault="00E52B0F" w:rsidP="003632AA">
            <w:pPr>
              <w:rPr>
                <w:lang w:eastAsia="en-AU"/>
              </w:rPr>
            </w:pPr>
          </w:p>
        </w:tc>
        <w:tc>
          <w:tcPr>
            <w:tcW w:w="1519" w:type="dxa"/>
          </w:tcPr>
          <w:p w14:paraId="00C615E2" w14:textId="77777777" w:rsidR="00E52B0F" w:rsidRDefault="00E52B0F" w:rsidP="003632AA">
            <w:r>
              <w:rPr>
                <w:lang w:eastAsia="en-AU"/>
              </w:rPr>
              <w:t>431</w:t>
            </w:r>
          </w:p>
        </w:tc>
        <w:tc>
          <w:tcPr>
            <w:tcW w:w="5787" w:type="dxa"/>
          </w:tcPr>
          <w:p w14:paraId="4A4222B1" w14:textId="77777777" w:rsidR="00E52B0F" w:rsidRPr="00777765" w:rsidRDefault="00E52B0F" w:rsidP="003632AA">
            <w:pPr>
              <w:spacing w:before="160" w:after="120" w:line="360" w:lineRule="atLeast"/>
            </w:pPr>
            <w:r w:rsidRPr="00777765">
              <w:t>EU Annex V test method B.40</w:t>
            </w:r>
          </w:p>
          <w:p w14:paraId="6639C4DB" w14:textId="77777777" w:rsidR="00E52B0F" w:rsidRDefault="00E52B0F" w:rsidP="003632AA">
            <w:pPr>
              <w:spacing w:before="160" w:after="120" w:line="360" w:lineRule="atLeast"/>
            </w:pPr>
            <w:r w:rsidRPr="00777765">
              <w:t>EURL ECVAM DB-ALM protocols No.118 and 119</w:t>
            </w:r>
          </w:p>
        </w:tc>
      </w:tr>
      <w:tr w:rsidR="00E52B0F" w14:paraId="7537CF68" w14:textId="77777777" w:rsidTr="005E1301">
        <w:trPr>
          <w:trHeight w:val="220"/>
        </w:trPr>
        <w:tc>
          <w:tcPr>
            <w:tcW w:w="2333" w:type="dxa"/>
            <w:vMerge/>
          </w:tcPr>
          <w:p w14:paraId="677D39B7" w14:textId="77777777" w:rsidR="00E52B0F" w:rsidRDefault="00E52B0F" w:rsidP="003632AA">
            <w:pPr>
              <w:rPr>
                <w:lang w:eastAsia="en-AU"/>
              </w:rPr>
            </w:pPr>
          </w:p>
        </w:tc>
        <w:tc>
          <w:tcPr>
            <w:tcW w:w="1519" w:type="dxa"/>
          </w:tcPr>
          <w:p w14:paraId="4A1C1492" w14:textId="77777777" w:rsidR="00E52B0F" w:rsidRDefault="00E52B0F" w:rsidP="003632AA">
            <w:r>
              <w:rPr>
                <w:lang w:eastAsia="en-AU"/>
              </w:rPr>
              <w:t>435</w:t>
            </w:r>
          </w:p>
        </w:tc>
        <w:tc>
          <w:tcPr>
            <w:tcW w:w="5787" w:type="dxa"/>
          </w:tcPr>
          <w:p w14:paraId="324DFEE1" w14:textId="77777777" w:rsidR="00E52B0F" w:rsidRPr="00777765" w:rsidRDefault="00E52B0F" w:rsidP="003632AA">
            <w:pPr>
              <w:spacing w:before="160" w:after="120" w:line="360" w:lineRule="atLeast"/>
            </w:pPr>
            <w:r w:rsidRPr="00777765">
              <w:t>EURL ECVAM DB-ALM protocol No.116</w:t>
            </w:r>
          </w:p>
        </w:tc>
      </w:tr>
      <w:tr w:rsidR="00E52B0F" w14:paraId="1CFF7650" w14:textId="77777777" w:rsidTr="005E1301">
        <w:trPr>
          <w:trHeight w:val="220"/>
        </w:trPr>
        <w:tc>
          <w:tcPr>
            <w:tcW w:w="2333" w:type="dxa"/>
          </w:tcPr>
          <w:p w14:paraId="791CC888" w14:textId="77777777" w:rsidR="00E52B0F" w:rsidRDefault="00E52B0F" w:rsidP="003632AA">
            <w:pPr>
              <w:rPr>
                <w:lang w:eastAsia="en-AU"/>
              </w:rPr>
            </w:pPr>
            <w:r>
              <w:rPr>
                <w:lang w:eastAsia="en-AU"/>
              </w:rPr>
              <w:t>Skin irritation – in vitro</w:t>
            </w:r>
          </w:p>
        </w:tc>
        <w:tc>
          <w:tcPr>
            <w:tcW w:w="1519" w:type="dxa"/>
          </w:tcPr>
          <w:p w14:paraId="6045FE11" w14:textId="77777777" w:rsidR="00E52B0F" w:rsidRDefault="00E52B0F" w:rsidP="003632AA">
            <w:pPr>
              <w:rPr>
                <w:lang w:eastAsia="en-AU"/>
              </w:rPr>
            </w:pPr>
            <w:r>
              <w:rPr>
                <w:lang w:eastAsia="en-AU"/>
              </w:rPr>
              <w:t>439</w:t>
            </w:r>
          </w:p>
        </w:tc>
        <w:tc>
          <w:tcPr>
            <w:tcW w:w="5787" w:type="dxa"/>
          </w:tcPr>
          <w:p w14:paraId="7830CB55" w14:textId="77777777" w:rsidR="00E52B0F" w:rsidRPr="00777765" w:rsidRDefault="00E52B0F" w:rsidP="003632AA">
            <w:pPr>
              <w:spacing w:before="160" w:after="120" w:line="360" w:lineRule="atLeast"/>
            </w:pPr>
            <w:r w:rsidRPr="00777765">
              <w:t>EU Annex V test method B.46</w:t>
            </w:r>
          </w:p>
          <w:p w14:paraId="02F57112" w14:textId="77777777" w:rsidR="00E52B0F" w:rsidRPr="00777765" w:rsidRDefault="00E52B0F" w:rsidP="003632AA">
            <w:pPr>
              <w:spacing w:before="160" w:after="120" w:line="360" w:lineRule="atLeast"/>
            </w:pPr>
            <w:r w:rsidRPr="00777765">
              <w:t>EURL ECVAM DB-ALM protocols No.131, 135 and 138</w:t>
            </w:r>
          </w:p>
        </w:tc>
      </w:tr>
      <w:tr w:rsidR="00E52B0F" w14:paraId="65200DD7" w14:textId="77777777" w:rsidTr="005E1301">
        <w:trPr>
          <w:trHeight w:val="220"/>
        </w:trPr>
        <w:tc>
          <w:tcPr>
            <w:tcW w:w="2333" w:type="dxa"/>
          </w:tcPr>
          <w:p w14:paraId="0F6AAC71" w14:textId="77777777" w:rsidR="00E52B0F" w:rsidRDefault="00E52B0F" w:rsidP="003632AA">
            <w:pPr>
              <w:rPr>
                <w:lang w:eastAsia="en-AU"/>
              </w:rPr>
            </w:pPr>
            <w:r>
              <w:rPr>
                <w:lang w:eastAsia="en-AU"/>
              </w:rPr>
              <w:t>Skin irritation – in vivo</w:t>
            </w:r>
          </w:p>
        </w:tc>
        <w:tc>
          <w:tcPr>
            <w:tcW w:w="1519" w:type="dxa"/>
          </w:tcPr>
          <w:p w14:paraId="0A661936" w14:textId="77777777" w:rsidR="00E52B0F" w:rsidRDefault="00E52B0F" w:rsidP="003632AA">
            <w:pPr>
              <w:rPr>
                <w:lang w:eastAsia="en-AU"/>
              </w:rPr>
            </w:pPr>
            <w:r>
              <w:rPr>
                <w:lang w:eastAsia="en-AU"/>
              </w:rPr>
              <w:t>404</w:t>
            </w:r>
          </w:p>
        </w:tc>
        <w:tc>
          <w:tcPr>
            <w:tcW w:w="5787" w:type="dxa"/>
          </w:tcPr>
          <w:p w14:paraId="09E1DBE7" w14:textId="77777777" w:rsidR="00E52B0F" w:rsidRPr="00777765" w:rsidRDefault="00E52B0F" w:rsidP="003632AA">
            <w:pPr>
              <w:spacing w:before="160" w:after="120" w:line="360" w:lineRule="atLeast"/>
            </w:pPr>
            <w:r w:rsidRPr="00777765">
              <w:t>EU Annex V test method B.4.</w:t>
            </w:r>
          </w:p>
          <w:p w14:paraId="38BDD1A2" w14:textId="77777777" w:rsidR="00E52B0F" w:rsidRPr="00777765" w:rsidRDefault="00E52B0F" w:rsidP="003632AA">
            <w:pPr>
              <w:spacing w:before="160" w:after="120" w:line="360" w:lineRule="atLeast"/>
            </w:pPr>
            <w:r w:rsidRPr="00777765">
              <w:t>O</w:t>
            </w:r>
            <w:r>
              <w:t xml:space="preserve">CSPP 870.2500, OPPT 798.4470, </w:t>
            </w:r>
            <w:r w:rsidRPr="00777765">
              <w:t>OPP 81-5</w:t>
            </w:r>
          </w:p>
        </w:tc>
      </w:tr>
      <w:tr w:rsidR="00E52B0F" w14:paraId="48E36217" w14:textId="77777777" w:rsidTr="005E1301">
        <w:trPr>
          <w:trHeight w:val="220"/>
        </w:trPr>
        <w:tc>
          <w:tcPr>
            <w:tcW w:w="2333" w:type="dxa"/>
          </w:tcPr>
          <w:p w14:paraId="19BFD0B7" w14:textId="77777777" w:rsidR="00E52B0F" w:rsidRDefault="00E52B0F" w:rsidP="003632AA">
            <w:pPr>
              <w:rPr>
                <w:lang w:eastAsia="en-AU"/>
              </w:rPr>
            </w:pPr>
            <w:r>
              <w:rPr>
                <w:lang w:eastAsia="en-AU"/>
              </w:rPr>
              <w:t>Skin sensitisation – defined approach</w:t>
            </w:r>
          </w:p>
        </w:tc>
        <w:tc>
          <w:tcPr>
            <w:tcW w:w="1519" w:type="dxa"/>
          </w:tcPr>
          <w:p w14:paraId="6EB6CDA0" w14:textId="77777777" w:rsidR="00E52B0F" w:rsidRDefault="00E52B0F" w:rsidP="003632AA">
            <w:pPr>
              <w:rPr>
                <w:lang w:eastAsia="en-AU"/>
              </w:rPr>
            </w:pPr>
            <w:r>
              <w:rPr>
                <w:lang w:eastAsia="en-AU"/>
              </w:rPr>
              <w:t>497</w:t>
            </w:r>
          </w:p>
        </w:tc>
        <w:tc>
          <w:tcPr>
            <w:tcW w:w="5787" w:type="dxa"/>
          </w:tcPr>
          <w:p w14:paraId="75FB6876" w14:textId="77777777" w:rsidR="00E52B0F" w:rsidRPr="00777765" w:rsidRDefault="003E1F33" w:rsidP="003632AA">
            <w:pPr>
              <w:spacing w:before="160" w:after="120" w:line="360" w:lineRule="atLeast"/>
            </w:pPr>
            <w:r>
              <w:t>–</w:t>
            </w:r>
          </w:p>
        </w:tc>
      </w:tr>
      <w:tr w:rsidR="00E52B0F" w14:paraId="3A66123C" w14:textId="77777777" w:rsidTr="005E1301">
        <w:trPr>
          <w:trHeight w:val="220"/>
        </w:trPr>
        <w:tc>
          <w:tcPr>
            <w:tcW w:w="2333" w:type="dxa"/>
          </w:tcPr>
          <w:p w14:paraId="5636E37F" w14:textId="77777777" w:rsidR="00E52B0F" w:rsidRDefault="00E52B0F" w:rsidP="003632AA">
            <w:pPr>
              <w:rPr>
                <w:lang w:eastAsia="en-AU"/>
              </w:rPr>
            </w:pPr>
            <w:r>
              <w:rPr>
                <w:lang w:eastAsia="en-AU"/>
              </w:rPr>
              <w:t xml:space="preserve">Skin sensitisation – in </w:t>
            </w:r>
            <w:proofErr w:type="spellStart"/>
            <w:r>
              <w:rPr>
                <w:lang w:eastAsia="en-AU"/>
              </w:rPr>
              <w:t>chemico</w:t>
            </w:r>
            <w:proofErr w:type="spellEnd"/>
            <w:r>
              <w:rPr>
                <w:lang w:eastAsia="en-AU"/>
              </w:rPr>
              <w:t xml:space="preserve"> (1</w:t>
            </w:r>
            <w:r w:rsidRPr="00703EBC">
              <w:rPr>
                <w:vertAlign w:val="superscript"/>
                <w:lang w:eastAsia="en-AU"/>
              </w:rPr>
              <w:t>st</w:t>
            </w:r>
            <w:r>
              <w:rPr>
                <w:lang w:eastAsia="en-AU"/>
              </w:rPr>
              <w:t xml:space="preserve"> key event in skin sensitisation)</w:t>
            </w:r>
          </w:p>
        </w:tc>
        <w:tc>
          <w:tcPr>
            <w:tcW w:w="1519" w:type="dxa"/>
          </w:tcPr>
          <w:p w14:paraId="12C2627F" w14:textId="77777777" w:rsidR="00E52B0F" w:rsidRDefault="00E52B0F" w:rsidP="003632AA">
            <w:pPr>
              <w:rPr>
                <w:lang w:eastAsia="en-AU"/>
              </w:rPr>
            </w:pPr>
            <w:r>
              <w:rPr>
                <w:lang w:eastAsia="en-AU"/>
              </w:rPr>
              <w:t>442C</w:t>
            </w:r>
          </w:p>
        </w:tc>
        <w:tc>
          <w:tcPr>
            <w:tcW w:w="5787" w:type="dxa"/>
          </w:tcPr>
          <w:p w14:paraId="46495011" w14:textId="77777777" w:rsidR="00E52B0F" w:rsidRPr="00777765" w:rsidRDefault="00E52B0F" w:rsidP="003632AA">
            <w:pPr>
              <w:spacing w:before="160" w:after="120" w:line="360" w:lineRule="atLeast"/>
            </w:pPr>
            <w:r w:rsidRPr="00777765">
              <w:t>EU Annex V test methods B.59</w:t>
            </w:r>
          </w:p>
          <w:p w14:paraId="05918348" w14:textId="77777777" w:rsidR="00E52B0F" w:rsidRPr="00777765" w:rsidRDefault="00E52B0F" w:rsidP="003632AA">
            <w:pPr>
              <w:spacing w:before="160" w:after="120" w:line="360" w:lineRule="atLeast"/>
            </w:pPr>
            <w:r w:rsidRPr="00777765">
              <w:t>EURL ECVAM DB-ALM protocol No.154</w:t>
            </w:r>
          </w:p>
        </w:tc>
      </w:tr>
      <w:tr w:rsidR="00E52B0F" w14:paraId="6E9E13DD" w14:textId="77777777" w:rsidTr="005E1301">
        <w:trPr>
          <w:trHeight w:val="220"/>
        </w:trPr>
        <w:tc>
          <w:tcPr>
            <w:tcW w:w="2333" w:type="dxa"/>
          </w:tcPr>
          <w:p w14:paraId="78D660A9" w14:textId="77777777" w:rsidR="00E52B0F" w:rsidRDefault="00E52B0F" w:rsidP="003632AA">
            <w:pPr>
              <w:rPr>
                <w:lang w:eastAsia="en-AU"/>
              </w:rPr>
            </w:pPr>
            <w:r>
              <w:rPr>
                <w:lang w:eastAsia="en-AU"/>
              </w:rPr>
              <w:t>Skin sensitisation – in vitro (2</w:t>
            </w:r>
            <w:r w:rsidRPr="00703EBC">
              <w:rPr>
                <w:vertAlign w:val="superscript"/>
                <w:lang w:eastAsia="en-AU"/>
              </w:rPr>
              <w:t>nd</w:t>
            </w:r>
            <w:r>
              <w:rPr>
                <w:lang w:eastAsia="en-AU"/>
              </w:rPr>
              <w:t xml:space="preserve"> key event in skin sensitisation)</w:t>
            </w:r>
          </w:p>
        </w:tc>
        <w:tc>
          <w:tcPr>
            <w:tcW w:w="1519" w:type="dxa"/>
          </w:tcPr>
          <w:p w14:paraId="53471D91" w14:textId="77777777" w:rsidR="00E52B0F" w:rsidRDefault="00E52B0F" w:rsidP="003632AA">
            <w:pPr>
              <w:rPr>
                <w:lang w:eastAsia="en-AU"/>
              </w:rPr>
            </w:pPr>
            <w:r>
              <w:rPr>
                <w:lang w:eastAsia="en-AU"/>
              </w:rPr>
              <w:t>442D</w:t>
            </w:r>
          </w:p>
        </w:tc>
        <w:tc>
          <w:tcPr>
            <w:tcW w:w="5787" w:type="dxa"/>
          </w:tcPr>
          <w:p w14:paraId="6A462C59" w14:textId="77777777" w:rsidR="00E52B0F" w:rsidRPr="00777765" w:rsidRDefault="00E52B0F" w:rsidP="003632AA">
            <w:pPr>
              <w:spacing w:before="160" w:after="120" w:line="360" w:lineRule="atLeast"/>
            </w:pPr>
            <w:r w:rsidRPr="00777765">
              <w:t>EU Annex V test method B.60</w:t>
            </w:r>
          </w:p>
          <w:p w14:paraId="21204905" w14:textId="77777777" w:rsidR="00E52B0F" w:rsidRDefault="00E52B0F" w:rsidP="003632AA">
            <w:pPr>
              <w:spacing w:before="160" w:after="120" w:line="360" w:lineRule="atLeast"/>
            </w:pPr>
            <w:r w:rsidRPr="00777765">
              <w:t>EURL ECVAM DB-ALM protocol No.155</w:t>
            </w:r>
          </w:p>
        </w:tc>
      </w:tr>
      <w:tr w:rsidR="00E52B0F" w14:paraId="18D49C81" w14:textId="77777777" w:rsidTr="005E1301">
        <w:trPr>
          <w:trHeight w:val="220"/>
        </w:trPr>
        <w:tc>
          <w:tcPr>
            <w:tcW w:w="2333" w:type="dxa"/>
          </w:tcPr>
          <w:p w14:paraId="416CF754" w14:textId="77777777" w:rsidR="00E52B0F" w:rsidRDefault="00E52B0F" w:rsidP="003632AA">
            <w:pPr>
              <w:rPr>
                <w:lang w:eastAsia="en-AU"/>
              </w:rPr>
            </w:pPr>
            <w:r>
              <w:rPr>
                <w:lang w:eastAsia="en-AU"/>
              </w:rPr>
              <w:t>Skin sensitisation – in vitro (3</w:t>
            </w:r>
            <w:r w:rsidRPr="00703EBC">
              <w:rPr>
                <w:vertAlign w:val="superscript"/>
                <w:lang w:eastAsia="en-AU"/>
              </w:rPr>
              <w:t>rd</w:t>
            </w:r>
            <w:r>
              <w:rPr>
                <w:lang w:eastAsia="en-AU"/>
              </w:rPr>
              <w:t xml:space="preserve"> key event in skin sensitisation)</w:t>
            </w:r>
          </w:p>
        </w:tc>
        <w:tc>
          <w:tcPr>
            <w:tcW w:w="1519" w:type="dxa"/>
          </w:tcPr>
          <w:p w14:paraId="0C5916AE" w14:textId="77777777" w:rsidR="00E52B0F" w:rsidRDefault="00E52B0F" w:rsidP="003632AA">
            <w:pPr>
              <w:rPr>
                <w:lang w:eastAsia="en-AU"/>
              </w:rPr>
            </w:pPr>
            <w:r>
              <w:rPr>
                <w:lang w:eastAsia="en-AU"/>
              </w:rPr>
              <w:t>442E</w:t>
            </w:r>
          </w:p>
        </w:tc>
        <w:tc>
          <w:tcPr>
            <w:tcW w:w="5787" w:type="dxa"/>
          </w:tcPr>
          <w:p w14:paraId="50C7B76C" w14:textId="77777777" w:rsidR="00E52B0F" w:rsidRDefault="00E52B0F" w:rsidP="003632AA">
            <w:pPr>
              <w:spacing w:before="160" w:after="120" w:line="360" w:lineRule="atLeast"/>
            </w:pPr>
            <w:r w:rsidRPr="00777765">
              <w:t>EURL ECVAM DB-ALM protocol No.158</w:t>
            </w:r>
          </w:p>
        </w:tc>
      </w:tr>
      <w:tr w:rsidR="00E52B0F" w14:paraId="353B6218" w14:textId="77777777" w:rsidTr="005E1301">
        <w:trPr>
          <w:trHeight w:val="220"/>
        </w:trPr>
        <w:tc>
          <w:tcPr>
            <w:tcW w:w="2333" w:type="dxa"/>
            <w:vMerge w:val="restart"/>
          </w:tcPr>
          <w:p w14:paraId="2F84B46A" w14:textId="77777777" w:rsidR="00E52B0F" w:rsidRDefault="00E52B0F" w:rsidP="003632AA">
            <w:pPr>
              <w:rPr>
                <w:lang w:eastAsia="en-AU"/>
              </w:rPr>
            </w:pPr>
            <w:r>
              <w:rPr>
                <w:lang w:eastAsia="en-AU"/>
              </w:rPr>
              <w:t>Skin sensitisation – in vivo</w:t>
            </w:r>
          </w:p>
        </w:tc>
        <w:tc>
          <w:tcPr>
            <w:tcW w:w="1519" w:type="dxa"/>
          </w:tcPr>
          <w:p w14:paraId="110A1F27" w14:textId="77777777" w:rsidR="00E52B0F" w:rsidRDefault="00E52B0F" w:rsidP="003632AA">
            <w:pPr>
              <w:rPr>
                <w:lang w:eastAsia="en-AU"/>
              </w:rPr>
            </w:pPr>
            <w:r>
              <w:rPr>
                <w:lang w:eastAsia="en-AU"/>
              </w:rPr>
              <w:t>406</w:t>
            </w:r>
          </w:p>
        </w:tc>
        <w:tc>
          <w:tcPr>
            <w:tcW w:w="5787" w:type="dxa"/>
          </w:tcPr>
          <w:p w14:paraId="4C59CA13" w14:textId="77777777" w:rsidR="00E52B0F" w:rsidRPr="00777765" w:rsidRDefault="00E52B0F" w:rsidP="003632AA">
            <w:pPr>
              <w:spacing w:before="160" w:after="120" w:line="360" w:lineRule="atLeast"/>
            </w:pPr>
            <w:r w:rsidRPr="00777765">
              <w:t>EU Annex V test method B.6</w:t>
            </w:r>
          </w:p>
          <w:p w14:paraId="2BAA0981" w14:textId="77777777" w:rsidR="00E52B0F" w:rsidRDefault="00E52B0F" w:rsidP="003632AA">
            <w:pPr>
              <w:spacing w:before="160" w:after="120" w:line="360" w:lineRule="atLeast"/>
            </w:pPr>
            <w:r w:rsidRPr="00777765">
              <w:t>OCSPP 870.2600, OPPT 798.4100 or OPP 81-6</w:t>
            </w:r>
          </w:p>
        </w:tc>
      </w:tr>
      <w:tr w:rsidR="00E52B0F" w14:paraId="1C457CF1" w14:textId="77777777" w:rsidTr="005E1301">
        <w:trPr>
          <w:trHeight w:val="220"/>
        </w:trPr>
        <w:tc>
          <w:tcPr>
            <w:tcW w:w="2333" w:type="dxa"/>
            <w:vMerge/>
          </w:tcPr>
          <w:p w14:paraId="422F1074" w14:textId="77777777" w:rsidR="00E52B0F" w:rsidRDefault="00E52B0F" w:rsidP="003632AA">
            <w:pPr>
              <w:rPr>
                <w:lang w:eastAsia="en-AU"/>
              </w:rPr>
            </w:pPr>
          </w:p>
        </w:tc>
        <w:tc>
          <w:tcPr>
            <w:tcW w:w="1519" w:type="dxa"/>
          </w:tcPr>
          <w:p w14:paraId="229714E6" w14:textId="77777777" w:rsidR="00E52B0F" w:rsidRDefault="00E52B0F" w:rsidP="003632AA">
            <w:pPr>
              <w:rPr>
                <w:lang w:eastAsia="en-AU"/>
              </w:rPr>
            </w:pPr>
            <w:r>
              <w:rPr>
                <w:lang w:eastAsia="en-AU"/>
              </w:rPr>
              <w:t>429</w:t>
            </w:r>
          </w:p>
        </w:tc>
        <w:tc>
          <w:tcPr>
            <w:tcW w:w="5787" w:type="dxa"/>
          </w:tcPr>
          <w:p w14:paraId="19097E78" w14:textId="77777777" w:rsidR="00E52B0F" w:rsidRDefault="00E52B0F" w:rsidP="003632AA">
            <w:pPr>
              <w:spacing w:before="160" w:after="120" w:line="360" w:lineRule="atLeast"/>
            </w:pPr>
            <w:r w:rsidRPr="00777765">
              <w:t>EU Annex V test method B.42</w:t>
            </w:r>
          </w:p>
        </w:tc>
      </w:tr>
      <w:tr w:rsidR="00E52B0F" w14:paraId="3A5B7623" w14:textId="77777777" w:rsidTr="005E1301">
        <w:trPr>
          <w:trHeight w:val="220"/>
        </w:trPr>
        <w:tc>
          <w:tcPr>
            <w:tcW w:w="2333" w:type="dxa"/>
            <w:vMerge/>
          </w:tcPr>
          <w:p w14:paraId="30D6D7A2" w14:textId="77777777" w:rsidR="00E52B0F" w:rsidRDefault="00E52B0F" w:rsidP="003632AA">
            <w:pPr>
              <w:rPr>
                <w:lang w:eastAsia="en-AU"/>
              </w:rPr>
            </w:pPr>
          </w:p>
        </w:tc>
        <w:tc>
          <w:tcPr>
            <w:tcW w:w="1519" w:type="dxa"/>
          </w:tcPr>
          <w:p w14:paraId="3D1B3087" w14:textId="77777777" w:rsidR="00E52B0F" w:rsidRDefault="00E52B0F" w:rsidP="003632AA">
            <w:pPr>
              <w:rPr>
                <w:lang w:eastAsia="en-AU"/>
              </w:rPr>
            </w:pPr>
            <w:r>
              <w:rPr>
                <w:lang w:eastAsia="en-AU"/>
              </w:rPr>
              <w:t>442A</w:t>
            </w:r>
          </w:p>
        </w:tc>
        <w:tc>
          <w:tcPr>
            <w:tcW w:w="5787" w:type="dxa"/>
          </w:tcPr>
          <w:p w14:paraId="57217A3E" w14:textId="77777777" w:rsidR="00E52B0F" w:rsidRDefault="00E52B0F" w:rsidP="003632AA">
            <w:pPr>
              <w:spacing w:before="160" w:after="120" w:line="360" w:lineRule="atLeast"/>
            </w:pPr>
            <w:r w:rsidRPr="00777765">
              <w:t>EU Annex V test method B.50</w:t>
            </w:r>
          </w:p>
        </w:tc>
      </w:tr>
      <w:tr w:rsidR="00E52B0F" w14:paraId="2FDCD585" w14:textId="77777777" w:rsidTr="005E1301">
        <w:trPr>
          <w:trHeight w:val="220"/>
        </w:trPr>
        <w:tc>
          <w:tcPr>
            <w:tcW w:w="2333" w:type="dxa"/>
            <w:vMerge/>
          </w:tcPr>
          <w:p w14:paraId="61CFFFD8" w14:textId="77777777" w:rsidR="00E52B0F" w:rsidRDefault="00E52B0F" w:rsidP="003632AA">
            <w:pPr>
              <w:rPr>
                <w:lang w:eastAsia="en-AU"/>
              </w:rPr>
            </w:pPr>
          </w:p>
        </w:tc>
        <w:tc>
          <w:tcPr>
            <w:tcW w:w="1519" w:type="dxa"/>
          </w:tcPr>
          <w:p w14:paraId="0396E73A" w14:textId="77777777" w:rsidR="00E52B0F" w:rsidRDefault="00E52B0F" w:rsidP="003632AA">
            <w:pPr>
              <w:rPr>
                <w:lang w:eastAsia="en-AU"/>
              </w:rPr>
            </w:pPr>
            <w:r>
              <w:rPr>
                <w:lang w:eastAsia="en-AU"/>
              </w:rPr>
              <w:t>442B</w:t>
            </w:r>
          </w:p>
        </w:tc>
        <w:tc>
          <w:tcPr>
            <w:tcW w:w="5787" w:type="dxa"/>
          </w:tcPr>
          <w:p w14:paraId="4F3142CF" w14:textId="77777777" w:rsidR="00E52B0F" w:rsidRDefault="00E52B0F" w:rsidP="003632AA">
            <w:pPr>
              <w:spacing w:before="160" w:after="120" w:line="360" w:lineRule="atLeast"/>
            </w:pPr>
            <w:r w:rsidRPr="00777765">
              <w:t>EU Annex V test method B.51</w:t>
            </w:r>
          </w:p>
        </w:tc>
      </w:tr>
      <w:tr w:rsidR="00E52B0F" w14:paraId="2039F2A9" w14:textId="77777777" w:rsidTr="005E1301">
        <w:trPr>
          <w:trHeight w:val="220"/>
        </w:trPr>
        <w:tc>
          <w:tcPr>
            <w:tcW w:w="2333" w:type="dxa"/>
          </w:tcPr>
          <w:p w14:paraId="45F80C62" w14:textId="77777777" w:rsidR="00E52B0F" w:rsidRDefault="00E52B0F" w:rsidP="003632AA">
            <w:pPr>
              <w:rPr>
                <w:lang w:eastAsia="en-AU"/>
              </w:rPr>
            </w:pPr>
            <w:r>
              <w:rPr>
                <w:lang w:eastAsia="en-AU"/>
              </w:rPr>
              <w:t xml:space="preserve">Subacute dermal toxicity </w:t>
            </w:r>
            <w:r w:rsidR="005B7E03">
              <w:rPr>
                <w:lang w:eastAsia="en-AU"/>
              </w:rPr>
              <w:t>–</w:t>
            </w:r>
            <w:r>
              <w:rPr>
                <w:lang w:eastAsia="en-AU"/>
              </w:rPr>
              <w:t xml:space="preserve"> in vivo</w:t>
            </w:r>
          </w:p>
        </w:tc>
        <w:tc>
          <w:tcPr>
            <w:tcW w:w="1519" w:type="dxa"/>
          </w:tcPr>
          <w:p w14:paraId="57FFE6DD" w14:textId="77777777" w:rsidR="00E52B0F" w:rsidRDefault="00E52B0F" w:rsidP="003632AA">
            <w:pPr>
              <w:rPr>
                <w:lang w:eastAsia="en-AU"/>
              </w:rPr>
            </w:pPr>
            <w:r>
              <w:t>410</w:t>
            </w:r>
          </w:p>
        </w:tc>
        <w:tc>
          <w:tcPr>
            <w:tcW w:w="5787" w:type="dxa"/>
          </w:tcPr>
          <w:p w14:paraId="0F488F45" w14:textId="77777777" w:rsidR="00E52B0F" w:rsidRPr="00777765" w:rsidRDefault="00E52B0F" w:rsidP="003632AA">
            <w:pPr>
              <w:spacing w:before="160" w:after="120" w:line="360" w:lineRule="atLeast"/>
            </w:pPr>
            <w:r w:rsidRPr="00777765">
              <w:t>EU Annex V test method B.9</w:t>
            </w:r>
          </w:p>
          <w:p w14:paraId="6DACFB84" w14:textId="77777777" w:rsidR="00E52B0F" w:rsidRPr="00777765" w:rsidRDefault="00E52B0F" w:rsidP="003632AA">
            <w:pPr>
              <w:spacing w:before="160" w:after="120" w:line="360" w:lineRule="atLeast"/>
            </w:pPr>
            <w:r w:rsidRPr="00777765">
              <w:t>OCSPP 870.3200 or OPP 82-2</w:t>
            </w:r>
          </w:p>
        </w:tc>
      </w:tr>
      <w:tr w:rsidR="00E52B0F" w14:paraId="70B2046A" w14:textId="77777777" w:rsidTr="005E1301">
        <w:trPr>
          <w:trHeight w:val="220"/>
        </w:trPr>
        <w:tc>
          <w:tcPr>
            <w:tcW w:w="2333" w:type="dxa"/>
          </w:tcPr>
          <w:p w14:paraId="6A1F1309" w14:textId="77777777" w:rsidR="00E52B0F" w:rsidRDefault="00E52B0F" w:rsidP="003632AA">
            <w:pPr>
              <w:rPr>
                <w:lang w:eastAsia="en-AU"/>
              </w:rPr>
            </w:pPr>
            <w:r>
              <w:rPr>
                <w:lang w:eastAsia="en-AU"/>
              </w:rPr>
              <w:t>Subacute inhalation toxicity – in vivo</w:t>
            </w:r>
          </w:p>
        </w:tc>
        <w:tc>
          <w:tcPr>
            <w:tcW w:w="1519" w:type="dxa"/>
          </w:tcPr>
          <w:p w14:paraId="452A31B6" w14:textId="77777777" w:rsidR="00E52B0F" w:rsidRDefault="00E52B0F" w:rsidP="003632AA">
            <w:r>
              <w:rPr>
                <w:lang w:eastAsia="en-AU"/>
              </w:rPr>
              <w:t>412</w:t>
            </w:r>
          </w:p>
        </w:tc>
        <w:tc>
          <w:tcPr>
            <w:tcW w:w="5787" w:type="dxa"/>
          </w:tcPr>
          <w:p w14:paraId="7EC1ED1A" w14:textId="77777777" w:rsidR="00E52B0F" w:rsidRPr="00777765" w:rsidRDefault="00E52B0F" w:rsidP="003632AA">
            <w:pPr>
              <w:spacing w:before="160" w:after="120" w:line="360" w:lineRule="atLeast"/>
            </w:pPr>
            <w:r w:rsidRPr="00777765">
              <w:t>EU Annex V test method B.8</w:t>
            </w:r>
          </w:p>
        </w:tc>
      </w:tr>
      <w:tr w:rsidR="00E52B0F" w14:paraId="5C4F7693" w14:textId="77777777" w:rsidTr="005E1301">
        <w:trPr>
          <w:trHeight w:val="220"/>
        </w:trPr>
        <w:tc>
          <w:tcPr>
            <w:tcW w:w="2333" w:type="dxa"/>
          </w:tcPr>
          <w:p w14:paraId="78604E04" w14:textId="77777777" w:rsidR="00E52B0F" w:rsidRDefault="00E52B0F" w:rsidP="003632AA">
            <w:pPr>
              <w:rPr>
                <w:lang w:eastAsia="en-AU"/>
              </w:rPr>
            </w:pPr>
            <w:r>
              <w:rPr>
                <w:lang w:eastAsia="en-AU"/>
              </w:rPr>
              <w:t>Subacute oral toxicity – in vivo</w:t>
            </w:r>
          </w:p>
        </w:tc>
        <w:tc>
          <w:tcPr>
            <w:tcW w:w="1519" w:type="dxa"/>
          </w:tcPr>
          <w:p w14:paraId="219DE4DE" w14:textId="77777777" w:rsidR="00E52B0F" w:rsidRDefault="00E52B0F" w:rsidP="003632AA">
            <w:pPr>
              <w:rPr>
                <w:lang w:eastAsia="en-AU"/>
              </w:rPr>
            </w:pPr>
            <w:r>
              <w:t>407</w:t>
            </w:r>
          </w:p>
        </w:tc>
        <w:tc>
          <w:tcPr>
            <w:tcW w:w="5787" w:type="dxa"/>
          </w:tcPr>
          <w:p w14:paraId="4161E467" w14:textId="77777777" w:rsidR="00E52B0F" w:rsidRPr="00777765" w:rsidRDefault="00E52B0F" w:rsidP="003632AA">
            <w:pPr>
              <w:spacing w:before="160" w:after="120" w:line="360" w:lineRule="atLeast"/>
            </w:pPr>
            <w:r w:rsidRPr="00777765">
              <w:t>EU Annex V test method B.7</w:t>
            </w:r>
          </w:p>
          <w:p w14:paraId="63840F65" w14:textId="77777777" w:rsidR="00E52B0F" w:rsidRPr="00777765" w:rsidRDefault="00E52B0F" w:rsidP="003632AA">
            <w:pPr>
              <w:spacing w:before="160" w:after="120" w:line="360" w:lineRule="atLeast"/>
            </w:pPr>
            <w:r w:rsidRPr="00777765">
              <w:lastRenderedPageBreak/>
              <w:t>OCSPP 870.3050</w:t>
            </w:r>
          </w:p>
        </w:tc>
      </w:tr>
      <w:tr w:rsidR="00E52B0F" w14:paraId="03111103" w14:textId="77777777" w:rsidTr="005E1301">
        <w:trPr>
          <w:trHeight w:val="220"/>
        </w:trPr>
        <w:tc>
          <w:tcPr>
            <w:tcW w:w="2333" w:type="dxa"/>
          </w:tcPr>
          <w:p w14:paraId="6F84B9EB" w14:textId="77777777" w:rsidR="00E52B0F" w:rsidRDefault="00E52B0F" w:rsidP="003632AA">
            <w:pPr>
              <w:rPr>
                <w:lang w:eastAsia="en-AU"/>
              </w:rPr>
            </w:pPr>
            <w:r>
              <w:rPr>
                <w:lang w:eastAsia="en-AU"/>
              </w:rPr>
              <w:lastRenderedPageBreak/>
              <w:t>Subchronic dermal toxicity – in vivo</w:t>
            </w:r>
          </w:p>
        </w:tc>
        <w:tc>
          <w:tcPr>
            <w:tcW w:w="1519" w:type="dxa"/>
          </w:tcPr>
          <w:p w14:paraId="51DD6860" w14:textId="77777777" w:rsidR="00E52B0F" w:rsidRDefault="00E52B0F" w:rsidP="003632AA">
            <w:pPr>
              <w:rPr>
                <w:lang w:eastAsia="en-AU"/>
              </w:rPr>
            </w:pPr>
            <w:r>
              <w:rPr>
                <w:lang w:eastAsia="en-AU"/>
              </w:rPr>
              <w:t>411</w:t>
            </w:r>
          </w:p>
        </w:tc>
        <w:tc>
          <w:tcPr>
            <w:tcW w:w="5787" w:type="dxa"/>
          </w:tcPr>
          <w:p w14:paraId="35FA1C64" w14:textId="77777777" w:rsidR="00E52B0F" w:rsidRPr="00777765" w:rsidRDefault="00E52B0F" w:rsidP="003632AA">
            <w:pPr>
              <w:spacing w:before="160" w:after="120" w:line="360" w:lineRule="atLeast"/>
            </w:pPr>
            <w:r w:rsidRPr="00777765">
              <w:t>EU Annex V test method B.28</w:t>
            </w:r>
          </w:p>
          <w:p w14:paraId="57200949" w14:textId="77777777" w:rsidR="00E52B0F" w:rsidRPr="00777765" w:rsidRDefault="00E52B0F" w:rsidP="003632AA">
            <w:pPr>
              <w:spacing w:before="160" w:after="120" w:line="360" w:lineRule="atLeast"/>
            </w:pPr>
            <w:r w:rsidRPr="00777765">
              <w:t>O</w:t>
            </w:r>
            <w:r>
              <w:t xml:space="preserve">CSPP 870.3250, OPPT 798.2250, </w:t>
            </w:r>
            <w:r w:rsidRPr="00777765">
              <w:t>OPP 82-3</w:t>
            </w:r>
          </w:p>
        </w:tc>
      </w:tr>
      <w:tr w:rsidR="00E52B0F" w14:paraId="7F31798C" w14:textId="77777777" w:rsidTr="005E1301">
        <w:trPr>
          <w:trHeight w:val="220"/>
        </w:trPr>
        <w:tc>
          <w:tcPr>
            <w:tcW w:w="2333" w:type="dxa"/>
          </w:tcPr>
          <w:p w14:paraId="40C64B40" w14:textId="77777777" w:rsidR="00E52B0F" w:rsidRDefault="00E52B0F" w:rsidP="003632AA">
            <w:pPr>
              <w:rPr>
                <w:lang w:eastAsia="en-AU"/>
              </w:rPr>
            </w:pPr>
            <w:r>
              <w:rPr>
                <w:lang w:eastAsia="en-AU"/>
              </w:rPr>
              <w:t>Subchronic inhalation toxicity – in vivo</w:t>
            </w:r>
          </w:p>
        </w:tc>
        <w:tc>
          <w:tcPr>
            <w:tcW w:w="1519" w:type="dxa"/>
          </w:tcPr>
          <w:p w14:paraId="1241A1B5" w14:textId="77777777" w:rsidR="00E52B0F" w:rsidRDefault="00E52B0F" w:rsidP="003632AA">
            <w:pPr>
              <w:rPr>
                <w:lang w:eastAsia="en-AU"/>
              </w:rPr>
            </w:pPr>
            <w:r>
              <w:rPr>
                <w:lang w:eastAsia="en-AU"/>
              </w:rPr>
              <w:t>413</w:t>
            </w:r>
          </w:p>
        </w:tc>
        <w:tc>
          <w:tcPr>
            <w:tcW w:w="5787" w:type="dxa"/>
          </w:tcPr>
          <w:p w14:paraId="7AE563DC" w14:textId="77777777" w:rsidR="00E52B0F" w:rsidRPr="00777765" w:rsidRDefault="00E52B0F" w:rsidP="003632AA">
            <w:pPr>
              <w:spacing w:before="160" w:after="120" w:line="360" w:lineRule="atLeast"/>
            </w:pPr>
            <w:r w:rsidRPr="00777765">
              <w:t>EU Annex V test method B.29</w:t>
            </w:r>
          </w:p>
          <w:p w14:paraId="4D34D739" w14:textId="77777777" w:rsidR="00E52B0F" w:rsidRPr="00777765" w:rsidRDefault="00E52B0F" w:rsidP="003632AA">
            <w:pPr>
              <w:spacing w:before="160" w:after="120" w:line="360" w:lineRule="atLeast"/>
            </w:pPr>
            <w:r>
              <w:t xml:space="preserve">OCSPP 870.3465, OPPT 798.2450, </w:t>
            </w:r>
            <w:r w:rsidRPr="00777765">
              <w:t>OPP 82-4</w:t>
            </w:r>
          </w:p>
        </w:tc>
      </w:tr>
      <w:tr w:rsidR="00E52B0F" w14:paraId="39CBDF4D" w14:textId="77777777" w:rsidTr="005E1301">
        <w:trPr>
          <w:trHeight w:val="220"/>
        </w:trPr>
        <w:tc>
          <w:tcPr>
            <w:tcW w:w="2333" w:type="dxa"/>
            <w:vMerge w:val="restart"/>
          </w:tcPr>
          <w:p w14:paraId="2810F9E1" w14:textId="77777777" w:rsidR="00E52B0F" w:rsidRDefault="00E52B0F" w:rsidP="003632AA">
            <w:pPr>
              <w:rPr>
                <w:lang w:eastAsia="en-AU"/>
              </w:rPr>
            </w:pPr>
            <w:r>
              <w:rPr>
                <w:lang w:eastAsia="en-AU"/>
              </w:rPr>
              <w:t>Subchronic oral toxicity – in vivo</w:t>
            </w:r>
          </w:p>
          <w:p w14:paraId="2E4EF6B2" w14:textId="77777777" w:rsidR="00E52B0F" w:rsidRDefault="00E52B0F" w:rsidP="003632AA">
            <w:pPr>
              <w:rPr>
                <w:lang w:eastAsia="en-AU"/>
              </w:rPr>
            </w:pPr>
          </w:p>
        </w:tc>
        <w:tc>
          <w:tcPr>
            <w:tcW w:w="1519" w:type="dxa"/>
          </w:tcPr>
          <w:p w14:paraId="265AC8DB" w14:textId="77777777" w:rsidR="00E52B0F" w:rsidRDefault="00E52B0F" w:rsidP="003632AA">
            <w:pPr>
              <w:rPr>
                <w:lang w:eastAsia="en-AU"/>
              </w:rPr>
            </w:pPr>
            <w:r>
              <w:rPr>
                <w:lang w:eastAsia="en-AU"/>
              </w:rPr>
              <w:t>408</w:t>
            </w:r>
          </w:p>
        </w:tc>
        <w:tc>
          <w:tcPr>
            <w:tcW w:w="5787" w:type="dxa"/>
          </w:tcPr>
          <w:p w14:paraId="03D84A43" w14:textId="77777777" w:rsidR="00E52B0F" w:rsidRDefault="00E52B0F" w:rsidP="003632AA">
            <w:r w:rsidRPr="00777765">
              <w:t>EU Annex V test method</w:t>
            </w:r>
            <w:r>
              <w:t xml:space="preserve"> B.26</w:t>
            </w:r>
          </w:p>
          <w:p w14:paraId="1BA59182" w14:textId="77777777" w:rsidR="00E52B0F" w:rsidRDefault="00E52B0F" w:rsidP="003632AA">
            <w:pPr>
              <w:spacing w:before="160" w:after="120" w:line="360" w:lineRule="atLeast"/>
              <w:rPr>
                <w:lang w:eastAsia="en-AU"/>
              </w:rPr>
            </w:pPr>
            <w:r w:rsidRPr="00777765">
              <w:t>OCSPP 870.3100, OPPT 798.2650</w:t>
            </w:r>
            <w:r>
              <w:t>,</w:t>
            </w:r>
            <w:r w:rsidRPr="00777765">
              <w:t xml:space="preserve"> OPP 82-1</w:t>
            </w:r>
          </w:p>
        </w:tc>
      </w:tr>
      <w:tr w:rsidR="00E52B0F" w14:paraId="2FF31628" w14:textId="77777777" w:rsidTr="005E1301">
        <w:trPr>
          <w:trHeight w:val="1159"/>
        </w:trPr>
        <w:tc>
          <w:tcPr>
            <w:tcW w:w="2333" w:type="dxa"/>
            <w:vMerge/>
          </w:tcPr>
          <w:p w14:paraId="5D4253DA" w14:textId="77777777" w:rsidR="00E52B0F" w:rsidRDefault="00E52B0F" w:rsidP="003632AA">
            <w:pPr>
              <w:rPr>
                <w:lang w:eastAsia="en-AU"/>
              </w:rPr>
            </w:pPr>
          </w:p>
        </w:tc>
        <w:tc>
          <w:tcPr>
            <w:tcW w:w="1519" w:type="dxa"/>
          </w:tcPr>
          <w:p w14:paraId="5497CBF4" w14:textId="77777777" w:rsidR="00E52B0F" w:rsidRDefault="00E52B0F" w:rsidP="003632AA">
            <w:pPr>
              <w:rPr>
                <w:lang w:eastAsia="en-AU"/>
              </w:rPr>
            </w:pPr>
            <w:r>
              <w:rPr>
                <w:lang w:eastAsia="en-AU"/>
              </w:rPr>
              <w:t>409</w:t>
            </w:r>
          </w:p>
        </w:tc>
        <w:tc>
          <w:tcPr>
            <w:tcW w:w="5787" w:type="dxa"/>
          </w:tcPr>
          <w:p w14:paraId="5E782FD9" w14:textId="77777777" w:rsidR="00E52B0F" w:rsidRPr="00777765" w:rsidRDefault="00E52B0F" w:rsidP="003632AA">
            <w:pPr>
              <w:spacing w:before="160" w:after="120" w:line="360" w:lineRule="atLeast"/>
            </w:pPr>
            <w:r w:rsidRPr="00777765">
              <w:t>EU Annex V test method B.27</w:t>
            </w:r>
          </w:p>
          <w:p w14:paraId="43D07A5D" w14:textId="77777777" w:rsidR="00E52B0F" w:rsidRDefault="00E52B0F" w:rsidP="003632AA">
            <w:pPr>
              <w:rPr>
                <w:lang w:eastAsia="en-AU"/>
              </w:rPr>
            </w:pPr>
            <w:r w:rsidRPr="00777765">
              <w:t>OCSPP 870.3150</w:t>
            </w:r>
            <w:r>
              <w:t>,</w:t>
            </w:r>
            <w:r w:rsidRPr="00777765">
              <w:t xml:space="preserve"> OPP 82-1</w:t>
            </w:r>
          </w:p>
        </w:tc>
      </w:tr>
    </w:tbl>
    <w:p w14:paraId="1BA5C43D" w14:textId="77777777" w:rsidR="00FF063F" w:rsidRDefault="00FF063F" w:rsidP="00DA64AC"/>
    <w:p w14:paraId="41662B7B" w14:textId="77777777" w:rsidR="00AA6A90" w:rsidRDefault="002E4ADA" w:rsidP="002E4ADA">
      <w:pPr>
        <w:pStyle w:val="Heading3"/>
      </w:pPr>
      <w:r>
        <w:t xml:space="preserve">8.4.2 </w:t>
      </w:r>
      <w:r>
        <w:tab/>
        <w:t>Acceptable test guidelines for environment hazard characteristics and properties</w:t>
      </w:r>
    </w:p>
    <w:tbl>
      <w:tblPr>
        <w:tblStyle w:val="AICISTableBasic"/>
        <w:tblW w:w="9639" w:type="dxa"/>
        <w:tblLook w:val="04A0" w:firstRow="1" w:lastRow="0" w:firstColumn="1" w:lastColumn="0" w:noHBand="0" w:noVBand="1"/>
      </w:tblPr>
      <w:tblGrid>
        <w:gridCol w:w="2333"/>
        <w:gridCol w:w="1519"/>
        <w:gridCol w:w="5787"/>
      </w:tblGrid>
      <w:tr w:rsidR="00164771" w:rsidRPr="006F6A3F" w14:paraId="2237EFAC" w14:textId="77777777" w:rsidTr="003E1F33">
        <w:trPr>
          <w:trHeight w:val="567"/>
        </w:trPr>
        <w:tc>
          <w:tcPr>
            <w:tcW w:w="2126" w:type="dxa"/>
          </w:tcPr>
          <w:p w14:paraId="079EE6ED" w14:textId="77777777" w:rsidR="00164771" w:rsidRPr="006F6A3F" w:rsidRDefault="00164771" w:rsidP="003632AA">
            <w:pPr>
              <w:rPr>
                <w:b/>
                <w:lang w:eastAsia="en-AU"/>
              </w:rPr>
            </w:pPr>
            <w:r w:rsidRPr="006F6A3F">
              <w:rPr>
                <w:b/>
                <w:lang w:eastAsia="en-AU"/>
              </w:rPr>
              <w:t xml:space="preserve">Hazard </w:t>
            </w:r>
            <w:r>
              <w:rPr>
                <w:b/>
                <w:lang w:eastAsia="en-AU"/>
              </w:rPr>
              <w:t xml:space="preserve">or property tested </w:t>
            </w:r>
          </w:p>
        </w:tc>
        <w:tc>
          <w:tcPr>
            <w:tcW w:w="1384" w:type="dxa"/>
          </w:tcPr>
          <w:p w14:paraId="760DD262" w14:textId="77777777" w:rsidR="00164771" w:rsidRPr="006F6A3F" w:rsidRDefault="00164771" w:rsidP="003632AA">
            <w:pPr>
              <w:rPr>
                <w:b/>
                <w:lang w:eastAsia="en-AU"/>
              </w:rPr>
            </w:pPr>
            <w:r>
              <w:rPr>
                <w:b/>
                <w:lang w:eastAsia="en-AU"/>
              </w:rPr>
              <w:t>OECD t</w:t>
            </w:r>
            <w:r w:rsidRPr="006F6A3F">
              <w:rPr>
                <w:b/>
                <w:lang w:eastAsia="en-AU"/>
              </w:rPr>
              <w:t>est guidelines</w:t>
            </w:r>
          </w:p>
        </w:tc>
        <w:tc>
          <w:tcPr>
            <w:tcW w:w="5274" w:type="dxa"/>
          </w:tcPr>
          <w:p w14:paraId="0B4CF3F7" w14:textId="77777777" w:rsidR="00164771" w:rsidRPr="006F6A3F" w:rsidRDefault="00164771" w:rsidP="003632AA">
            <w:pPr>
              <w:rPr>
                <w:b/>
                <w:lang w:eastAsia="en-AU"/>
              </w:rPr>
            </w:pPr>
            <w:r>
              <w:rPr>
                <w:b/>
                <w:lang w:eastAsia="en-AU"/>
              </w:rPr>
              <w:t>Equivalent test guidelines</w:t>
            </w:r>
          </w:p>
        </w:tc>
      </w:tr>
      <w:tr w:rsidR="00164771" w14:paraId="09A54D76" w14:textId="77777777" w:rsidTr="003E1F33">
        <w:trPr>
          <w:trHeight w:val="473"/>
        </w:trPr>
        <w:tc>
          <w:tcPr>
            <w:tcW w:w="2126" w:type="dxa"/>
          </w:tcPr>
          <w:p w14:paraId="56F26204" w14:textId="77777777" w:rsidR="00164771" w:rsidRDefault="00164771" w:rsidP="003632AA">
            <w:pPr>
              <w:rPr>
                <w:lang w:eastAsia="en-AU"/>
              </w:rPr>
            </w:pPr>
            <w:r>
              <w:rPr>
                <w:lang w:eastAsia="en-AU"/>
              </w:rPr>
              <w:t>Acute aquatic toxicity – in vivo (fish)</w:t>
            </w:r>
          </w:p>
        </w:tc>
        <w:tc>
          <w:tcPr>
            <w:tcW w:w="1384" w:type="dxa"/>
          </w:tcPr>
          <w:p w14:paraId="2BA706B3" w14:textId="77777777" w:rsidR="00164771" w:rsidRDefault="00164771" w:rsidP="003632AA">
            <w:pPr>
              <w:rPr>
                <w:lang w:eastAsia="en-AU"/>
              </w:rPr>
            </w:pPr>
            <w:r>
              <w:rPr>
                <w:lang w:eastAsia="en-AU"/>
              </w:rPr>
              <w:t>203</w:t>
            </w:r>
          </w:p>
        </w:tc>
        <w:tc>
          <w:tcPr>
            <w:tcW w:w="5274" w:type="dxa"/>
          </w:tcPr>
          <w:p w14:paraId="41B8D34D" w14:textId="77777777" w:rsidR="00164771" w:rsidRPr="00777765" w:rsidRDefault="00164771" w:rsidP="003632AA">
            <w:pPr>
              <w:spacing w:before="160" w:after="120" w:line="360" w:lineRule="atLeast"/>
            </w:pPr>
            <w:r w:rsidRPr="00777765">
              <w:t>ISO 10229</w:t>
            </w:r>
          </w:p>
          <w:p w14:paraId="6A8EF561" w14:textId="77777777" w:rsidR="00164771" w:rsidRPr="00777765" w:rsidRDefault="00164771" w:rsidP="003632AA">
            <w:pPr>
              <w:spacing w:before="160" w:after="120" w:line="360" w:lineRule="atLeast"/>
            </w:pPr>
            <w:r w:rsidRPr="00777765">
              <w:t>EU Annex V test method C.1</w:t>
            </w:r>
          </w:p>
          <w:p w14:paraId="0968843A" w14:textId="77777777" w:rsidR="00164771" w:rsidRDefault="00164771" w:rsidP="003632AA">
            <w:pPr>
              <w:spacing w:before="160" w:after="120" w:line="360" w:lineRule="atLeast"/>
            </w:pPr>
            <w:r w:rsidRPr="00777765">
              <w:t>OCSP</w:t>
            </w:r>
            <w:r>
              <w:t>P 850.1075, OPP 72-1, OPP 72-3</w:t>
            </w:r>
          </w:p>
        </w:tc>
      </w:tr>
      <w:tr w:rsidR="00164771" w14:paraId="5DA7570E" w14:textId="77777777" w:rsidTr="003E1F33">
        <w:trPr>
          <w:trHeight w:val="473"/>
        </w:trPr>
        <w:tc>
          <w:tcPr>
            <w:tcW w:w="2126" w:type="dxa"/>
          </w:tcPr>
          <w:p w14:paraId="259957AC" w14:textId="77777777" w:rsidR="00164771" w:rsidRDefault="00164771" w:rsidP="003632AA">
            <w:pPr>
              <w:rPr>
                <w:lang w:eastAsia="en-AU"/>
              </w:rPr>
            </w:pPr>
            <w:r>
              <w:rPr>
                <w:lang w:eastAsia="en-AU"/>
              </w:rPr>
              <w:t>Acute aquatic toxicity – in vivo (invertebrates)</w:t>
            </w:r>
          </w:p>
        </w:tc>
        <w:tc>
          <w:tcPr>
            <w:tcW w:w="1384" w:type="dxa"/>
          </w:tcPr>
          <w:p w14:paraId="06C536FB" w14:textId="77777777" w:rsidR="00164771" w:rsidRDefault="00164771" w:rsidP="003632AA">
            <w:pPr>
              <w:rPr>
                <w:lang w:eastAsia="en-AU"/>
              </w:rPr>
            </w:pPr>
            <w:r>
              <w:rPr>
                <w:lang w:eastAsia="en-AU"/>
              </w:rPr>
              <w:t>202</w:t>
            </w:r>
          </w:p>
        </w:tc>
        <w:tc>
          <w:tcPr>
            <w:tcW w:w="5274" w:type="dxa"/>
          </w:tcPr>
          <w:p w14:paraId="56DAF853" w14:textId="77777777" w:rsidR="00164771" w:rsidRPr="00777765" w:rsidRDefault="00164771" w:rsidP="003632AA">
            <w:pPr>
              <w:spacing w:before="160" w:after="120" w:line="360" w:lineRule="atLeast"/>
            </w:pPr>
            <w:r w:rsidRPr="00777765">
              <w:t>ISO 6341</w:t>
            </w:r>
          </w:p>
          <w:p w14:paraId="29756A63" w14:textId="77777777" w:rsidR="00164771" w:rsidRPr="00777765" w:rsidRDefault="00164771" w:rsidP="003632AA">
            <w:pPr>
              <w:spacing w:before="160" w:after="120" w:line="360" w:lineRule="atLeast"/>
            </w:pPr>
            <w:r w:rsidRPr="00777765">
              <w:t>EU Annex V test method C. 2</w:t>
            </w:r>
          </w:p>
          <w:p w14:paraId="187F1077" w14:textId="77777777" w:rsidR="00164771" w:rsidRDefault="00164771" w:rsidP="003632AA">
            <w:pPr>
              <w:spacing w:before="160" w:after="120" w:line="360" w:lineRule="atLeast"/>
            </w:pPr>
            <w:r>
              <w:t>OCSPP 850.1010 or OPP 72-2</w:t>
            </w:r>
          </w:p>
        </w:tc>
      </w:tr>
      <w:tr w:rsidR="00164771" w14:paraId="6BF0AA85" w14:textId="77777777" w:rsidTr="003E1F33">
        <w:trPr>
          <w:trHeight w:val="473"/>
        </w:trPr>
        <w:tc>
          <w:tcPr>
            <w:tcW w:w="2126" w:type="dxa"/>
          </w:tcPr>
          <w:p w14:paraId="77C3AC45" w14:textId="77777777" w:rsidR="00164771" w:rsidRDefault="00164771" w:rsidP="003632AA">
            <w:pPr>
              <w:rPr>
                <w:lang w:eastAsia="en-AU"/>
              </w:rPr>
            </w:pPr>
            <w:r>
              <w:rPr>
                <w:lang w:eastAsia="en-AU"/>
              </w:rPr>
              <w:t>Acute aquatic toxicity – in vivo (algae or other aquatic plants)</w:t>
            </w:r>
          </w:p>
        </w:tc>
        <w:tc>
          <w:tcPr>
            <w:tcW w:w="1384" w:type="dxa"/>
          </w:tcPr>
          <w:p w14:paraId="28B4BA65" w14:textId="77777777" w:rsidR="00164771" w:rsidRDefault="00164771" w:rsidP="003632AA">
            <w:pPr>
              <w:rPr>
                <w:lang w:eastAsia="en-AU"/>
              </w:rPr>
            </w:pPr>
            <w:r>
              <w:rPr>
                <w:lang w:eastAsia="en-AU"/>
              </w:rPr>
              <w:t>201</w:t>
            </w:r>
          </w:p>
        </w:tc>
        <w:tc>
          <w:tcPr>
            <w:tcW w:w="5274" w:type="dxa"/>
          </w:tcPr>
          <w:p w14:paraId="385F7AC0" w14:textId="77777777" w:rsidR="00164771" w:rsidRPr="00777765" w:rsidRDefault="00164771" w:rsidP="003632AA">
            <w:pPr>
              <w:spacing w:before="160" w:after="120" w:line="360" w:lineRule="atLeast"/>
            </w:pPr>
            <w:r w:rsidRPr="00777765">
              <w:t>EU Annex V test methods C.3</w:t>
            </w:r>
          </w:p>
          <w:p w14:paraId="41F4EB38" w14:textId="77777777" w:rsidR="00164771" w:rsidRDefault="00164771" w:rsidP="003632AA">
            <w:pPr>
              <w:spacing w:before="160" w:after="120" w:line="360" w:lineRule="atLeast"/>
            </w:pPr>
            <w:r w:rsidRPr="00777765">
              <w:t>OCSPP 850.4550, OPPT 797.1050, OPP 122-2</w:t>
            </w:r>
            <w:r>
              <w:t>, OPP 123-2</w:t>
            </w:r>
          </w:p>
        </w:tc>
      </w:tr>
      <w:tr w:rsidR="00164771" w14:paraId="50384AC0" w14:textId="77777777" w:rsidTr="003E1F33">
        <w:trPr>
          <w:trHeight w:val="473"/>
        </w:trPr>
        <w:tc>
          <w:tcPr>
            <w:tcW w:w="2126" w:type="dxa"/>
            <w:vMerge w:val="restart"/>
          </w:tcPr>
          <w:p w14:paraId="0ACA8EBB" w14:textId="77777777" w:rsidR="00164771" w:rsidRDefault="00164771" w:rsidP="003632AA">
            <w:pPr>
              <w:rPr>
                <w:lang w:eastAsia="en-AU"/>
              </w:rPr>
            </w:pPr>
            <w:r>
              <w:rPr>
                <w:lang w:eastAsia="en-AU"/>
              </w:rPr>
              <w:t xml:space="preserve">Bioaccumulation </w:t>
            </w:r>
          </w:p>
        </w:tc>
        <w:tc>
          <w:tcPr>
            <w:tcW w:w="1384" w:type="dxa"/>
          </w:tcPr>
          <w:p w14:paraId="17D24A51" w14:textId="77777777" w:rsidR="00164771" w:rsidRDefault="00164771" w:rsidP="003632AA">
            <w:pPr>
              <w:rPr>
                <w:lang w:eastAsia="en-AU"/>
              </w:rPr>
            </w:pPr>
            <w:r>
              <w:rPr>
                <w:lang w:eastAsia="en-AU"/>
              </w:rPr>
              <w:t>315</w:t>
            </w:r>
          </w:p>
        </w:tc>
        <w:tc>
          <w:tcPr>
            <w:tcW w:w="5274" w:type="dxa"/>
          </w:tcPr>
          <w:p w14:paraId="7979C99B" w14:textId="77777777" w:rsidR="00164771" w:rsidRDefault="00164771" w:rsidP="003632AA">
            <w:pPr>
              <w:spacing w:before="160" w:after="120" w:line="360" w:lineRule="atLeast"/>
            </w:pPr>
            <w:r w:rsidRPr="69A0576C">
              <w:rPr>
                <w:rFonts w:eastAsia="Segoe UI" w:cs="Segoe UI"/>
              </w:rPr>
              <w:t>OCSPP 850.1710</w:t>
            </w:r>
          </w:p>
        </w:tc>
      </w:tr>
      <w:tr w:rsidR="00164771" w14:paraId="1F385F34" w14:textId="77777777" w:rsidTr="003E1F33">
        <w:trPr>
          <w:trHeight w:val="473"/>
        </w:trPr>
        <w:tc>
          <w:tcPr>
            <w:tcW w:w="2126" w:type="dxa"/>
            <w:vMerge/>
          </w:tcPr>
          <w:p w14:paraId="1A9882F1" w14:textId="77777777" w:rsidR="00164771" w:rsidRDefault="00164771" w:rsidP="003632AA">
            <w:pPr>
              <w:rPr>
                <w:lang w:eastAsia="en-AU"/>
              </w:rPr>
            </w:pPr>
          </w:p>
        </w:tc>
        <w:tc>
          <w:tcPr>
            <w:tcW w:w="1384" w:type="dxa"/>
          </w:tcPr>
          <w:p w14:paraId="67E40D33" w14:textId="77777777" w:rsidR="00164771" w:rsidRDefault="00164771" w:rsidP="003632AA">
            <w:pPr>
              <w:rPr>
                <w:lang w:eastAsia="en-AU"/>
              </w:rPr>
            </w:pPr>
            <w:r>
              <w:rPr>
                <w:lang w:eastAsia="en-AU"/>
              </w:rPr>
              <w:t>317</w:t>
            </w:r>
          </w:p>
        </w:tc>
        <w:tc>
          <w:tcPr>
            <w:tcW w:w="5274" w:type="dxa"/>
          </w:tcPr>
          <w:p w14:paraId="32DB3977" w14:textId="77777777" w:rsidR="00164771" w:rsidRDefault="005B7E03" w:rsidP="003632AA">
            <w:pPr>
              <w:spacing w:before="160" w:after="120" w:line="360" w:lineRule="atLeast"/>
            </w:pPr>
            <w:r>
              <w:t>–</w:t>
            </w:r>
          </w:p>
        </w:tc>
      </w:tr>
      <w:tr w:rsidR="00164771" w14:paraId="6255B4B2" w14:textId="77777777" w:rsidTr="003E1F33">
        <w:trPr>
          <w:trHeight w:val="473"/>
        </w:trPr>
        <w:tc>
          <w:tcPr>
            <w:tcW w:w="2126" w:type="dxa"/>
          </w:tcPr>
          <w:p w14:paraId="50A9009E" w14:textId="77777777" w:rsidR="00164771" w:rsidRDefault="00164771" w:rsidP="003632AA">
            <w:pPr>
              <w:rPr>
                <w:lang w:eastAsia="en-AU"/>
              </w:rPr>
            </w:pPr>
            <w:r>
              <w:rPr>
                <w:lang w:eastAsia="en-AU"/>
              </w:rPr>
              <w:t xml:space="preserve">Bioconcentration </w:t>
            </w:r>
          </w:p>
        </w:tc>
        <w:tc>
          <w:tcPr>
            <w:tcW w:w="1384" w:type="dxa"/>
          </w:tcPr>
          <w:p w14:paraId="7E89861C" w14:textId="77777777" w:rsidR="00164771" w:rsidRDefault="00164771" w:rsidP="003632AA">
            <w:pPr>
              <w:rPr>
                <w:lang w:eastAsia="en-AU"/>
              </w:rPr>
            </w:pPr>
            <w:r>
              <w:rPr>
                <w:lang w:eastAsia="en-AU"/>
              </w:rPr>
              <w:t>305</w:t>
            </w:r>
          </w:p>
        </w:tc>
        <w:tc>
          <w:tcPr>
            <w:tcW w:w="5274" w:type="dxa"/>
          </w:tcPr>
          <w:p w14:paraId="7CEAE2C5" w14:textId="77777777" w:rsidR="00164771" w:rsidRPr="00777765" w:rsidRDefault="00164771" w:rsidP="003632AA">
            <w:pPr>
              <w:spacing w:before="160" w:after="120" w:line="360" w:lineRule="atLeast"/>
            </w:pPr>
            <w:r w:rsidRPr="00777765">
              <w:t>EU Annex V test methods C.13</w:t>
            </w:r>
          </w:p>
          <w:p w14:paraId="5A0A907B" w14:textId="77777777" w:rsidR="00164771" w:rsidRDefault="00164771" w:rsidP="003632AA">
            <w:pPr>
              <w:spacing w:before="160" w:after="120" w:line="360" w:lineRule="atLeast"/>
            </w:pPr>
            <w:r w:rsidRPr="00777765">
              <w:t>OCSPP 850.1730 or OPP 72-6</w:t>
            </w:r>
          </w:p>
        </w:tc>
      </w:tr>
      <w:tr w:rsidR="00164771" w:rsidRPr="00777765" w14:paraId="49E2D5F5" w14:textId="77777777" w:rsidTr="003E1F33">
        <w:trPr>
          <w:trHeight w:val="473"/>
        </w:trPr>
        <w:tc>
          <w:tcPr>
            <w:tcW w:w="2126" w:type="dxa"/>
          </w:tcPr>
          <w:p w14:paraId="0D01EDBA" w14:textId="77777777" w:rsidR="00164771" w:rsidRDefault="00164771" w:rsidP="003632AA">
            <w:pPr>
              <w:rPr>
                <w:lang w:eastAsia="en-AU"/>
              </w:rPr>
            </w:pPr>
            <w:r>
              <w:rPr>
                <w:lang w:eastAsia="en-AU"/>
              </w:rPr>
              <w:lastRenderedPageBreak/>
              <w:t>Chronic aquatic toxicity – in vivo (fish)</w:t>
            </w:r>
          </w:p>
        </w:tc>
        <w:tc>
          <w:tcPr>
            <w:tcW w:w="1384" w:type="dxa"/>
          </w:tcPr>
          <w:p w14:paraId="1E09C2FA" w14:textId="77777777" w:rsidR="00164771" w:rsidRDefault="00164771" w:rsidP="003632AA">
            <w:pPr>
              <w:rPr>
                <w:lang w:eastAsia="en-AU"/>
              </w:rPr>
            </w:pPr>
            <w:r>
              <w:rPr>
                <w:lang w:eastAsia="en-AU"/>
              </w:rPr>
              <w:t>210</w:t>
            </w:r>
          </w:p>
        </w:tc>
        <w:tc>
          <w:tcPr>
            <w:tcW w:w="5274" w:type="dxa"/>
          </w:tcPr>
          <w:p w14:paraId="7789B274" w14:textId="77777777" w:rsidR="00164771" w:rsidRPr="00777765" w:rsidRDefault="00164771" w:rsidP="003632AA">
            <w:pPr>
              <w:spacing w:before="160" w:after="120" w:line="360" w:lineRule="atLeast"/>
            </w:pPr>
            <w:r w:rsidRPr="69A0576C">
              <w:rPr>
                <w:rFonts w:eastAsia="Segoe UI" w:cs="Segoe UI"/>
              </w:rPr>
              <w:t>OCSPP 850.1400</w:t>
            </w:r>
          </w:p>
          <w:p w14:paraId="789010D6" w14:textId="77777777" w:rsidR="00164771" w:rsidRPr="00777765" w:rsidRDefault="00164771" w:rsidP="003632AA">
            <w:pPr>
              <w:spacing w:before="160" w:after="120" w:line="360" w:lineRule="atLeast"/>
            </w:pPr>
            <w:r w:rsidRPr="69A0576C">
              <w:rPr>
                <w:rFonts w:eastAsia="Segoe UI" w:cs="Segoe UI"/>
              </w:rPr>
              <w:t>EU Annex V test method C.15</w:t>
            </w:r>
          </w:p>
        </w:tc>
      </w:tr>
      <w:tr w:rsidR="00164771" w:rsidRPr="00777765" w14:paraId="2D87E062" w14:textId="77777777" w:rsidTr="003E1F33">
        <w:trPr>
          <w:trHeight w:val="473"/>
        </w:trPr>
        <w:tc>
          <w:tcPr>
            <w:tcW w:w="2126" w:type="dxa"/>
          </w:tcPr>
          <w:p w14:paraId="1E36E75B" w14:textId="77777777" w:rsidR="00164771" w:rsidRDefault="00164771" w:rsidP="003632AA">
            <w:pPr>
              <w:rPr>
                <w:lang w:eastAsia="en-AU"/>
              </w:rPr>
            </w:pPr>
            <w:r>
              <w:rPr>
                <w:lang w:eastAsia="en-AU"/>
              </w:rPr>
              <w:t>Chronic aquatic toxicity – in vivo (invertebrates)</w:t>
            </w:r>
          </w:p>
        </w:tc>
        <w:tc>
          <w:tcPr>
            <w:tcW w:w="1384" w:type="dxa"/>
          </w:tcPr>
          <w:p w14:paraId="3B564F3F" w14:textId="77777777" w:rsidR="00164771" w:rsidRDefault="00164771" w:rsidP="003632AA">
            <w:pPr>
              <w:rPr>
                <w:lang w:eastAsia="en-AU"/>
              </w:rPr>
            </w:pPr>
            <w:r>
              <w:rPr>
                <w:lang w:eastAsia="en-AU"/>
              </w:rPr>
              <w:t>211</w:t>
            </w:r>
          </w:p>
        </w:tc>
        <w:tc>
          <w:tcPr>
            <w:tcW w:w="5274" w:type="dxa"/>
          </w:tcPr>
          <w:p w14:paraId="792AFEC6" w14:textId="77777777" w:rsidR="00164771" w:rsidRPr="00777765" w:rsidRDefault="00164771" w:rsidP="003632AA">
            <w:pPr>
              <w:spacing w:before="160" w:after="120" w:line="360" w:lineRule="atLeast"/>
            </w:pPr>
            <w:r w:rsidRPr="69A0576C">
              <w:rPr>
                <w:rFonts w:eastAsia="Segoe UI" w:cs="Segoe UI"/>
              </w:rPr>
              <w:t>OCSPP 850.1300</w:t>
            </w:r>
          </w:p>
          <w:p w14:paraId="017CD870" w14:textId="77777777" w:rsidR="00164771" w:rsidRPr="00777765" w:rsidRDefault="00164771" w:rsidP="003632AA">
            <w:pPr>
              <w:spacing w:before="160" w:after="120" w:line="360" w:lineRule="atLeast"/>
            </w:pPr>
            <w:r w:rsidRPr="69A0576C">
              <w:rPr>
                <w:rFonts w:eastAsia="Segoe UI" w:cs="Segoe UI"/>
              </w:rPr>
              <w:t>EU Annex V test method C.20</w:t>
            </w:r>
          </w:p>
        </w:tc>
      </w:tr>
      <w:tr w:rsidR="00164771" w:rsidRPr="00777765" w14:paraId="33FF22D0" w14:textId="77777777" w:rsidTr="003E1F33">
        <w:trPr>
          <w:trHeight w:val="473"/>
        </w:trPr>
        <w:tc>
          <w:tcPr>
            <w:tcW w:w="2126" w:type="dxa"/>
          </w:tcPr>
          <w:p w14:paraId="50B7E312" w14:textId="77777777" w:rsidR="00164771" w:rsidRDefault="00164771" w:rsidP="003632AA">
            <w:pPr>
              <w:rPr>
                <w:lang w:eastAsia="en-AU"/>
              </w:rPr>
            </w:pPr>
            <w:r>
              <w:rPr>
                <w:lang w:eastAsia="en-AU"/>
              </w:rPr>
              <w:t>Chronic aquatic toxicity – in vivo (algae or other aquatic plants)</w:t>
            </w:r>
          </w:p>
        </w:tc>
        <w:tc>
          <w:tcPr>
            <w:tcW w:w="1384" w:type="dxa"/>
          </w:tcPr>
          <w:p w14:paraId="398F1C38" w14:textId="77777777" w:rsidR="00164771" w:rsidRDefault="00164771" w:rsidP="003632AA">
            <w:pPr>
              <w:rPr>
                <w:lang w:eastAsia="en-AU"/>
              </w:rPr>
            </w:pPr>
            <w:r>
              <w:rPr>
                <w:lang w:eastAsia="en-AU"/>
              </w:rPr>
              <w:t>201</w:t>
            </w:r>
          </w:p>
        </w:tc>
        <w:tc>
          <w:tcPr>
            <w:tcW w:w="5274" w:type="dxa"/>
          </w:tcPr>
          <w:p w14:paraId="423A5714" w14:textId="77777777" w:rsidR="00164771" w:rsidRDefault="00164771" w:rsidP="003632AA">
            <w:pPr>
              <w:spacing w:before="160" w:after="120" w:line="360" w:lineRule="atLeast"/>
            </w:pPr>
            <w:r w:rsidRPr="69A0576C">
              <w:rPr>
                <w:rFonts w:eastAsia="Segoe UI" w:cs="Segoe UI"/>
              </w:rPr>
              <w:t>OCSPP 850.4550</w:t>
            </w:r>
          </w:p>
          <w:p w14:paraId="532B5FB9" w14:textId="77777777" w:rsidR="00164771" w:rsidRDefault="00164771" w:rsidP="003632AA">
            <w:pPr>
              <w:spacing w:before="160" w:after="120" w:line="360" w:lineRule="atLeast"/>
            </w:pPr>
            <w:r w:rsidRPr="69A0576C">
              <w:rPr>
                <w:rFonts w:eastAsia="Segoe UI" w:cs="Segoe UI"/>
              </w:rPr>
              <w:t>OCSPP 850.4500</w:t>
            </w:r>
          </w:p>
          <w:p w14:paraId="420424A8" w14:textId="77777777" w:rsidR="00164771" w:rsidRDefault="00164771" w:rsidP="003632AA">
            <w:pPr>
              <w:spacing w:before="160" w:after="120" w:line="360" w:lineRule="atLeast"/>
            </w:pPr>
            <w:r w:rsidRPr="69A0576C">
              <w:rPr>
                <w:rFonts w:eastAsia="Segoe UI" w:cs="Segoe UI"/>
              </w:rPr>
              <w:t>EU Annex V test method C.3</w:t>
            </w:r>
          </w:p>
        </w:tc>
      </w:tr>
      <w:tr w:rsidR="00164771" w:rsidRPr="00777765" w14:paraId="26046866" w14:textId="77777777" w:rsidTr="003E1F33">
        <w:trPr>
          <w:trHeight w:val="220"/>
        </w:trPr>
        <w:tc>
          <w:tcPr>
            <w:tcW w:w="2126" w:type="dxa"/>
            <w:vMerge w:val="restart"/>
          </w:tcPr>
          <w:p w14:paraId="5DE760F9" w14:textId="77777777" w:rsidR="00164771" w:rsidRDefault="00164771" w:rsidP="003632AA">
            <w:pPr>
              <w:rPr>
                <w:lang w:eastAsia="en-AU"/>
              </w:rPr>
            </w:pPr>
            <w:r>
              <w:rPr>
                <w:lang w:eastAsia="en-AU"/>
              </w:rPr>
              <w:t>Partition coefficient</w:t>
            </w:r>
          </w:p>
          <w:p w14:paraId="10802161" w14:textId="77777777" w:rsidR="00164771" w:rsidRDefault="00164771" w:rsidP="003632AA">
            <w:pPr>
              <w:rPr>
                <w:lang w:eastAsia="en-AU"/>
              </w:rPr>
            </w:pPr>
          </w:p>
        </w:tc>
        <w:tc>
          <w:tcPr>
            <w:tcW w:w="1384" w:type="dxa"/>
          </w:tcPr>
          <w:p w14:paraId="1E8D2F74" w14:textId="77777777" w:rsidR="00164771" w:rsidRDefault="00164771" w:rsidP="003632AA">
            <w:pPr>
              <w:rPr>
                <w:lang w:eastAsia="en-AU"/>
              </w:rPr>
            </w:pPr>
            <w:r>
              <w:rPr>
                <w:lang w:eastAsia="en-AU"/>
              </w:rPr>
              <w:t>107</w:t>
            </w:r>
          </w:p>
        </w:tc>
        <w:tc>
          <w:tcPr>
            <w:tcW w:w="5274" w:type="dxa"/>
          </w:tcPr>
          <w:p w14:paraId="296224DF" w14:textId="77777777" w:rsidR="00164771" w:rsidRPr="00777765" w:rsidRDefault="00164771" w:rsidP="003632AA">
            <w:pPr>
              <w:spacing w:before="160" w:after="120" w:line="360" w:lineRule="atLeast"/>
            </w:pPr>
            <w:r w:rsidRPr="00777765">
              <w:t>EU Annex V test methods A.8</w:t>
            </w:r>
          </w:p>
          <w:p w14:paraId="352D4D8A" w14:textId="77777777" w:rsidR="00164771" w:rsidRPr="00777765" w:rsidRDefault="00164771" w:rsidP="003632AA">
            <w:pPr>
              <w:spacing w:before="160" w:after="120" w:line="360" w:lineRule="atLeast"/>
            </w:pPr>
            <w:r w:rsidRPr="00777765">
              <w:t>OCSPP 830.7</w:t>
            </w:r>
            <w:r>
              <w:t>550, OPPT 796.1550, OPP 63-11</w:t>
            </w:r>
          </w:p>
        </w:tc>
      </w:tr>
      <w:tr w:rsidR="00164771" w:rsidRPr="00777765" w14:paraId="7D767E35" w14:textId="77777777" w:rsidTr="003E1F33">
        <w:trPr>
          <w:trHeight w:val="220"/>
        </w:trPr>
        <w:tc>
          <w:tcPr>
            <w:tcW w:w="2126" w:type="dxa"/>
            <w:vMerge/>
          </w:tcPr>
          <w:p w14:paraId="1225CC8D" w14:textId="77777777" w:rsidR="00164771" w:rsidRDefault="00164771" w:rsidP="003632AA">
            <w:pPr>
              <w:rPr>
                <w:lang w:eastAsia="en-AU"/>
              </w:rPr>
            </w:pPr>
          </w:p>
        </w:tc>
        <w:tc>
          <w:tcPr>
            <w:tcW w:w="1384" w:type="dxa"/>
          </w:tcPr>
          <w:p w14:paraId="4F24F93D" w14:textId="77777777" w:rsidR="00164771" w:rsidRDefault="00164771" w:rsidP="003632AA">
            <w:pPr>
              <w:rPr>
                <w:lang w:eastAsia="en-AU"/>
              </w:rPr>
            </w:pPr>
            <w:r>
              <w:rPr>
                <w:lang w:eastAsia="en-AU"/>
              </w:rPr>
              <w:t>117</w:t>
            </w:r>
          </w:p>
        </w:tc>
        <w:tc>
          <w:tcPr>
            <w:tcW w:w="5274" w:type="dxa"/>
          </w:tcPr>
          <w:p w14:paraId="587A85F4" w14:textId="77777777" w:rsidR="00164771" w:rsidRPr="00777765" w:rsidRDefault="00164771" w:rsidP="003632AA">
            <w:pPr>
              <w:spacing w:before="160" w:after="120" w:line="360" w:lineRule="atLeast"/>
            </w:pPr>
            <w:r w:rsidRPr="00777765">
              <w:t>EU Annex V test methods A.8</w:t>
            </w:r>
          </w:p>
          <w:p w14:paraId="6F71D7F3" w14:textId="77777777" w:rsidR="00164771" w:rsidRDefault="00164771" w:rsidP="003632AA">
            <w:pPr>
              <w:spacing w:before="160" w:after="120" w:line="360" w:lineRule="atLeast"/>
            </w:pPr>
            <w:r w:rsidRPr="00777765">
              <w:t>OCSPP 830</w:t>
            </w:r>
            <w:r>
              <w:t>.7570, OPPT 796.1570,</w:t>
            </w:r>
            <w:r w:rsidRPr="00777765">
              <w:t xml:space="preserve"> OPP 63-11</w:t>
            </w:r>
          </w:p>
        </w:tc>
      </w:tr>
      <w:tr w:rsidR="00164771" w:rsidRPr="00777765" w14:paraId="2499349F" w14:textId="77777777" w:rsidTr="003E1F33">
        <w:trPr>
          <w:trHeight w:val="220"/>
        </w:trPr>
        <w:tc>
          <w:tcPr>
            <w:tcW w:w="2126" w:type="dxa"/>
            <w:vMerge/>
          </w:tcPr>
          <w:p w14:paraId="45D4BE0D" w14:textId="77777777" w:rsidR="00164771" w:rsidRDefault="00164771" w:rsidP="003632AA">
            <w:pPr>
              <w:rPr>
                <w:lang w:eastAsia="en-AU"/>
              </w:rPr>
            </w:pPr>
          </w:p>
        </w:tc>
        <w:tc>
          <w:tcPr>
            <w:tcW w:w="1384" w:type="dxa"/>
          </w:tcPr>
          <w:p w14:paraId="0D8BC9E0" w14:textId="77777777" w:rsidR="00164771" w:rsidRDefault="00164771" w:rsidP="003632AA">
            <w:pPr>
              <w:rPr>
                <w:lang w:eastAsia="en-AU"/>
              </w:rPr>
            </w:pPr>
            <w:r>
              <w:rPr>
                <w:lang w:eastAsia="en-AU"/>
              </w:rPr>
              <w:t>123</w:t>
            </w:r>
          </w:p>
        </w:tc>
        <w:tc>
          <w:tcPr>
            <w:tcW w:w="5274" w:type="dxa"/>
          </w:tcPr>
          <w:p w14:paraId="46CC3EFC" w14:textId="77777777" w:rsidR="00164771" w:rsidRDefault="00164771" w:rsidP="003632AA">
            <w:pPr>
              <w:spacing w:before="160" w:after="120" w:line="360" w:lineRule="atLeast"/>
            </w:pPr>
            <w:r>
              <w:t>EU Annex V test methods A.8</w:t>
            </w:r>
          </w:p>
        </w:tc>
      </w:tr>
      <w:tr w:rsidR="00164771" w:rsidRPr="00777765" w14:paraId="71488836" w14:textId="77777777" w:rsidTr="003E1F33">
        <w:trPr>
          <w:trHeight w:val="220"/>
        </w:trPr>
        <w:tc>
          <w:tcPr>
            <w:tcW w:w="2126" w:type="dxa"/>
            <w:vMerge w:val="restart"/>
          </w:tcPr>
          <w:p w14:paraId="248480E5" w14:textId="77777777" w:rsidR="00164771" w:rsidRDefault="00164771" w:rsidP="003632AA">
            <w:pPr>
              <w:rPr>
                <w:lang w:eastAsia="en-AU"/>
              </w:rPr>
            </w:pPr>
            <w:r>
              <w:rPr>
                <w:lang w:eastAsia="en-AU"/>
              </w:rPr>
              <w:t>Ready biodegradability</w:t>
            </w:r>
          </w:p>
        </w:tc>
        <w:tc>
          <w:tcPr>
            <w:tcW w:w="1384" w:type="dxa"/>
          </w:tcPr>
          <w:p w14:paraId="0A518F76" w14:textId="77777777" w:rsidR="00164771" w:rsidRDefault="00164771" w:rsidP="003632AA">
            <w:pPr>
              <w:rPr>
                <w:lang w:eastAsia="en-AU"/>
              </w:rPr>
            </w:pPr>
            <w:r>
              <w:rPr>
                <w:lang w:eastAsia="en-AU"/>
              </w:rPr>
              <w:t>301</w:t>
            </w:r>
          </w:p>
        </w:tc>
        <w:tc>
          <w:tcPr>
            <w:tcW w:w="5274" w:type="dxa"/>
          </w:tcPr>
          <w:p w14:paraId="75F9532B" w14:textId="77777777" w:rsidR="00164771" w:rsidRPr="00777765" w:rsidRDefault="00164771" w:rsidP="003632AA">
            <w:pPr>
              <w:spacing w:before="160" w:after="120" w:line="360" w:lineRule="atLeast"/>
            </w:pPr>
            <w:r w:rsidRPr="00777765">
              <w:t>EU Annex V test methods C.4 (A-F)</w:t>
            </w:r>
          </w:p>
          <w:p w14:paraId="78F88663" w14:textId="77777777" w:rsidR="00164771" w:rsidRPr="00777765" w:rsidRDefault="00164771" w:rsidP="003632AA">
            <w:pPr>
              <w:spacing w:before="160" w:after="120" w:line="360" w:lineRule="atLeast"/>
            </w:pPr>
            <w:r w:rsidRPr="00777765">
              <w:t>OCSPP 835.3110, OPPT 796.318</w:t>
            </w:r>
            <w:r>
              <w:t xml:space="preserve">0, 796.3200, 796.3220, 796.3240, </w:t>
            </w:r>
            <w:r w:rsidRPr="00777765">
              <w:t>796.3260</w:t>
            </w:r>
          </w:p>
        </w:tc>
      </w:tr>
      <w:tr w:rsidR="00164771" w:rsidRPr="00777765" w14:paraId="4415AAD3" w14:textId="77777777" w:rsidTr="003E1F33">
        <w:trPr>
          <w:trHeight w:val="220"/>
        </w:trPr>
        <w:tc>
          <w:tcPr>
            <w:tcW w:w="2126" w:type="dxa"/>
            <w:vMerge/>
          </w:tcPr>
          <w:p w14:paraId="069E7063" w14:textId="77777777" w:rsidR="00164771" w:rsidRDefault="00164771" w:rsidP="003632AA">
            <w:pPr>
              <w:rPr>
                <w:lang w:eastAsia="en-AU"/>
              </w:rPr>
            </w:pPr>
          </w:p>
        </w:tc>
        <w:tc>
          <w:tcPr>
            <w:tcW w:w="1384" w:type="dxa"/>
          </w:tcPr>
          <w:p w14:paraId="074A47AE" w14:textId="77777777" w:rsidR="00164771" w:rsidRDefault="00164771" w:rsidP="003632AA">
            <w:pPr>
              <w:rPr>
                <w:lang w:eastAsia="en-AU"/>
              </w:rPr>
            </w:pPr>
            <w:r>
              <w:rPr>
                <w:lang w:eastAsia="en-AU"/>
              </w:rPr>
              <w:t>310</w:t>
            </w:r>
          </w:p>
        </w:tc>
        <w:tc>
          <w:tcPr>
            <w:tcW w:w="5274" w:type="dxa"/>
          </w:tcPr>
          <w:p w14:paraId="47AC9D27" w14:textId="77777777" w:rsidR="00164771" w:rsidRPr="00777765" w:rsidRDefault="00164771" w:rsidP="003632AA">
            <w:pPr>
              <w:spacing w:before="160" w:after="120" w:line="360" w:lineRule="atLeast"/>
            </w:pPr>
            <w:bookmarkStart w:id="84" w:name="_Hlk153348784"/>
            <w:r>
              <w:t>OPPTS 835.3140</w:t>
            </w:r>
            <w:bookmarkEnd w:id="84"/>
          </w:p>
        </w:tc>
      </w:tr>
      <w:tr w:rsidR="00164771" w:rsidRPr="00777765" w14:paraId="6DDA11A0" w14:textId="77777777" w:rsidTr="003E1F33">
        <w:trPr>
          <w:trHeight w:val="220"/>
        </w:trPr>
        <w:tc>
          <w:tcPr>
            <w:tcW w:w="2126" w:type="dxa"/>
          </w:tcPr>
          <w:p w14:paraId="0E472956" w14:textId="77777777" w:rsidR="00164771" w:rsidRDefault="00164771" w:rsidP="003632AA">
            <w:pPr>
              <w:rPr>
                <w:lang w:eastAsia="en-AU"/>
              </w:rPr>
            </w:pPr>
            <w:r>
              <w:rPr>
                <w:lang w:eastAsia="en-AU"/>
              </w:rPr>
              <w:t>Transformation in aquatic sediment systems</w:t>
            </w:r>
          </w:p>
        </w:tc>
        <w:tc>
          <w:tcPr>
            <w:tcW w:w="1384" w:type="dxa"/>
          </w:tcPr>
          <w:p w14:paraId="5B09830F" w14:textId="77777777" w:rsidR="00164771" w:rsidRDefault="00164771" w:rsidP="003632AA">
            <w:pPr>
              <w:rPr>
                <w:lang w:eastAsia="en-AU"/>
              </w:rPr>
            </w:pPr>
            <w:r>
              <w:rPr>
                <w:lang w:eastAsia="en-AU"/>
              </w:rPr>
              <w:t>308</w:t>
            </w:r>
          </w:p>
        </w:tc>
        <w:tc>
          <w:tcPr>
            <w:tcW w:w="5274" w:type="dxa"/>
          </w:tcPr>
          <w:p w14:paraId="16F5C6D8" w14:textId="77777777" w:rsidR="00164771" w:rsidRPr="00777765" w:rsidRDefault="00164771" w:rsidP="003632AA">
            <w:pPr>
              <w:spacing w:before="160" w:after="120" w:line="360" w:lineRule="atLeast"/>
            </w:pPr>
            <w:bookmarkStart w:id="85" w:name="_Hlk153348800"/>
            <w:r>
              <w:t>OPP 162-3, 162-4</w:t>
            </w:r>
            <w:bookmarkEnd w:id="85"/>
          </w:p>
        </w:tc>
      </w:tr>
    </w:tbl>
    <w:p w14:paraId="61E31A10" w14:textId="77777777" w:rsidR="00FF063F" w:rsidRDefault="00FF063F" w:rsidP="00DA64AC"/>
    <w:p w14:paraId="606BCA3A" w14:textId="77777777" w:rsidR="001D234B" w:rsidRDefault="00E65017" w:rsidP="00E65017">
      <w:pPr>
        <w:pStyle w:val="Heading3"/>
      </w:pPr>
      <w:r w:rsidRPr="00E65017">
        <w:t>8.4.3 Acceptable test guidelines for water solubility</w:t>
      </w:r>
    </w:p>
    <w:tbl>
      <w:tblPr>
        <w:tblStyle w:val="AICISTableBasic"/>
        <w:tblW w:w="9639" w:type="dxa"/>
        <w:tblLook w:val="04A0" w:firstRow="1" w:lastRow="0" w:firstColumn="1" w:lastColumn="0" w:noHBand="0" w:noVBand="1"/>
      </w:tblPr>
      <w:tblGrid>
        <w:gridCol w:w="2333"/>
        <w:gridCol w:w="1519"/>
        <w:gridCol w:w="5787"/>
      </w:tblGrid>
      <w:tr w:rsidR="00E97A8F" w:rsidRPr="006F6A3F" w14:paraId="5B2E7A11" w14:textId="77777777" w:rsidTr="00DA64AC">
        <w:trPr>
          <w:trHeight w:val="567"/>
          <w:tblHeader/>
        </w:trPr>
        <w:tc>
          <w:tcPr>
            <w:tcW w:w="2126" w:type="dxa"/>
          </w:tcPr>
          <w:p w14:paraId="2239FAEC" w14:textId="77777777" w:rsidR="00E97A8F" w:rsidRPr="006F6A3F" w:rsidRDefault="00E97A8F" w:rsidP="003632AA">
            <w:pPr>
              <w:rPr>
                <w:b/>
                <w:lang w:eastAsia="en-AU"/>
              </w:rPr>
            </w:pPr>
            <w:r>
              <w:rPr>
                <w:b/>
                <w:lang w:eastAsia="en-AU"/>
              </w:rPr>
              <w:t xml:space="preserve">Property tested </w:t>
            </w:r>
          </w:p>
        </w:tc>
        <w:tc>
          <w:tcPr>
            <w:tcW w:w="1384" w:type="dxa"/>
          </w:tcPr>
          <w:p w14:paraId="255C0022" w14:textId="77777777" w:rsidR="00E97A8F" w:rsidRPr="006F6A3F" w:rsidRDefault="00E97A8F" w:rsidP="003632AA">
            <w:pPr>
              <w:rPr>
                <w:b/>
                <w:lang w:eastAsia="en-AU"/>
              </w:rPr>
            </w:pPr>
            <w:r>
              <w:rPr>
                <w:b/>
                <w:lang w:eastAsia="en-AU"/>
              </w:rPr>
              <w:t>OECD t</w:t>
            </w:r>
            <w:r w:rsidRPr="006F6A3F">
              <w:rPr>
                <w:b/>
                <w:lang w:eastAsia="en-AU"/>
              </w:rPr>
              <w:t>est guidelines</w:t>
            </w:r>
          </w:p>
        </w:tc>
        <w:tc>
          <w:tcPr>
            <w:tcW w:w="5274" w:type="dxa"/>
          </w:tcPr>
          <w:p w14:paraId="557DEE5E" w14:textId="77777777" w:rsidR="00E97A8F" w:rsidRPr="006F6A3F" w:rsidRDefault="00E97A8F" w:rsidP="003632AA">
            <w:pPr>
              <w:rPr>
                <w:b/>
                <w:lang w:eastAsia="en-AU"/>
              </w:rPr>
            </w:pPr>
            <w:r>
              <w:rPr>
                <w:b/>
                <w:lang w:eastAsia="en-AU"/>
              </w:rPr>
              <w:t>Equivalent test guidelines</w:t>
            </w:r>
          </w:p>
        </w:tc>
      </w:tr>
      <w:tr w:rsidR="00E97A8F" w:rsidRPr="00777765" w14:paraId="343A3728" w14:textId="77777777" w:rsidTr="00DA64AC">
        <w:trPr>
          <w:trHeight w:val="220"/>
        </w:trPr>
        <w:tc>
          <w:tcPr>
            <w:tcW w:w="2126" w:type="dxa"/>
          </w:tcPr>
          <w:p w14:paraId="210DC9ED" w14:textId="77777777" w:rsidR="00E97A8F" w:rsidRDefault="00E97A8F" w:rsidP="003632AA">
            <w:pPr>
              <w:rPr>
                <w:lang w:eastAsia="en-AU"/>
              </w:rPr>
            </w:pPr>
            <w:r>
              <w:rPr>
                <w:lang w:eastAsia="en-AU"/>
              </w:rPr>
              <w:t>Water solubility – chemicals or polymers</w:t>
            </w:r>
          </w:p>
        </w:tc>
        <w:tc>
          <w:tcPr>
            <w:tcW w:w="1384" w:type="dxa"/>
          </w:tcPr>
          <w:p w14:paraId="29084438" w14:textId="77777777" w:rsidR="00E97A8F" w:rsidRDefault="00E97A8F" w:rsidP="003632AA">
            <w:pPr>
              <w:rPr>
                <w:lang w:eastAsia="en-AU"/>
              </w:rPr>
            </w:pPr>
            <w:r>
              <w:rPr>
                <w:lang w:eastAsia="en-AU"/>
              </w:rPr>
              <w:t>105</w:t>
            </w:r>
          </w:p>
        </w:tc>
        <w:tc>
          <w:tcPr>
            <w:tcW w:w="5274" w:type="dxa"/>
          </w:tcPr>
          <w:p w14:paraId="3D2DD7E2" w14:textId="77777777" w:rsidR="00E97A8F" w:rsidRDefault="00E97A8F" w:rsidP="003632AA">
            <w:pPr>
              <w:spacing w:before="160" w:after="120" w:line="360" w:lineRule="atLeast"/>
            </w:pPr>
            <w:r w:rsidRPr="69A0576C">
              <w:rPr>
                <w:rFonts w:eastAsia="Segoe UI" w:cs="Segoe UI"/>
              </w:rPr>
              <w:t>OPPTS 830.7840</w:t>
            </w:r>
          </w:p>
          <w:p w14:paraId="22BFD424" w14:textId="77777777" w:rsidR="00E97A8F" w:rsidRDefault="00E97A8F" w:rsidP="003632AA">
            <w:pPr>
              <w:spacing w:before="160" w:after="120" w:line="360" w:lineRule="atLeast"/>
            </w:pPr>
            <w:r w:rsidRPr="69A0576C">
              <w:rPr>
                <w:rFonts w:eastAsia="Segoe UI" w:cs="Segoe UI"/>
              </w:rPr>
              <w:t>OPPTS 830.7860</w:t>
            </w:r>
          </w:p>
        </w:tc>
      </w:tr>
      <w:tr w:rsidR="00E97A8F" w:rsidRPr="00777765" w14:paraId="7F0D689E" w14:textId="77777777" w:rsidTr="00DA64AC">
        <w:trPr>
          <w:trHeight w:val="220"/>
        </w:trPr>
        <w:tc>
          <w:tcPr>
            <w:tcW w:w="2126" w:type="dxa"/>
          </w:tcPr>
          <w:p w14:paraId="3862B759" w14:textId="77777777" w:rsidR="00E97A8F" w:rsidRDefault="00E97A8F" w:rsidP="003632AA">
            <w:pPr>
              <w:rPr>
                <w:lang w:eastAsia="en-AU"/>
              </w:rPr>
            </w:pPr>
            <w:r>
              <w:rPr>
                <w:lang w:eastAsia="en-AU"/>
              </w:rPr>
              <w:t xml:space="preserve">Water solubility </w:t>
            </w:r>
            <w:r w:rsidR="005B7E03">
              <w:rPr>
                <w:lang w:eastAsia="en-AU"/>
              </w:rPr>
              <w:t>–</w:t>
            </w:r>
            <w:r>
              <w:rPr>
                <w:lang w:eastAsia="en-AU"/>
              </w:rPr>
              <w:t xml:space="preserve"> polymers</w:t>
            </w:r>
          </w:p>
        </w:tc>
        <w:tc>
          <w:tcPr>
            <w:tcW w:w="1384" w:type="dxa"/>
          </w:tcPr>
          <w:p w14:paraId="3E20A58D" w14:textId="77777777" w:rsidR="00E97A8F" w:rsidRDefault="00E97A8F" w:rsidP="003632AA">
            <w:pPr>
              <w:rPr>
                <w:lang w:eastAsia="en-AU"/>
              </w:rPr>
            </w:pPr>
            <w:r>
              <w:rPr>
                <w:lang w:eastAsia="en-AU"/>
              </w:rPr>
              <w:t>120</w:t>
            </w:r>
          </w:p>
        </w:tc>
        <w:tc>
          <w:tcPr>
            <w:tcW w:w="5274" w:type="dxa"/>
          </w:tcPr>
          <w:p w14:paraId="057BF25C" w14:textId="77777777" w:rsidR="00E97A8F" w:rsidRDefault="00DA64AC" w:rsidP="003632AA">
            <w:pPr>
              <w:spacing w:before="160" w:after="120" w:line="360" w:lineRule="atLeast"/>
            </w:pPr>
            <w:r>
              <w:t>–</w:t>
            </w:r>
          </w:p>
        </w:tc>
      </w:tr>
    </w:tbl>
    <w:p w14:paraId="5AB9698E" w14:textId="77777777" w:rsidR="009915CD" w:rsidRDefault="009915CD" w:rsidP="00791D8C"/>
    <w:p w14:paraId="7C620DB1" w14:textId="77777777" w:rsidR="009915CD" w:rsidRDefault="009915CD" w:rsidP="00791D8C">
      <w:r>
        <w:br w:type="page"/>
      </w:r>
    </w:p>
    <w:p w14:paraId="40737441" w14:textId="1613459B" w:rsidR="00D36636" w:rsidRPr="001E0635" w:rsidRDefault="00D36636" w:rsidP="001E0635">
      <w:pPr>
        <w:pStyle w:val="Heading1"/>
        <w:numPr>
          <w:ilvl w:val="0"/>
          <w:numId w:val="0"/>
        </w:numPr>
      </w:pPr>
      <w:bookmarkStart w:id="86" w:name="_Toc238816848"/>
      <w:r w:rsidRPr="001E0635">
        <w:lastRenderedPageBreak/>
        <w:t>Endnotes</w:t>
      </w:r>
      <w:bookmarkEnd w:id="86"/>
    </w:p>
    <w:p w14:paraId="283FA906" w14:textId="77777777" w:rsidR="00D36636" w:rsidRPr="002107F9" w:rsidRDefault="00D36636" w:rsidP="00D36636">
      <w:pPr>
        <w:rPr>
          <w:b/>
          <w:bCs/>
        </w:rPr>
      </w:pPr>
      <w:r w:rsidRPr="002107F9">
        <w:rPr>
          <w:b/>
          <w:bCs/>
        </w:rPr>
        <w:t>Endnote 1</w:t>
      </w:r>
      <w:r w:rsidR="00DA64AC">
        <w:rPr>
          <w:b/>
          <w:bCs/>
        </w:rPr>
        <w:t xml:space="preserve"> – </w:t>
      </w:r>
      <w:r w:rsidRPr="002107F9">
        <w:rPr>
          <w:b/>
          <w:bCs/>
        </w:rPr>
        <w:t>About the endnotes</w:t>
      </w:r>
    </w:p>
    <w:p w14:paraId="2D4402A1" w14:textId="77777777" w:rsidR="00D36636" w:rsidRDefault="00D36636" w:rsidP="00D36636">
      <w:r>
        <w:t>The endnotes provide information about this compilation and previous versions of the Industrial Chemicals Categorisation Guidelines.</w:t>
      </w:r>
    </w:p>
    <w:p w14:paraId="25259DDA" w14:textId="77777777" w:rsidR="00D36636" w:rsidRDefault="00D36636" w:rsidP="00D36636">
      <w:r>
        <w:t>The following endnotes are included in every version of the Industrial Chemicals Categorisation Guidelines except for version 1:</w:t>
      </w:r>
    </w:p>
    <w:p w14:paraId="2F2572FD" w14:textId="77777777" w:rsidR="00D36636" w:rsidRDefault="00D36636" w:rsidP="00D36636">
      <w:r>
        <w:t>Endnote 1</w:t>
      </w:r>
      <w:r w:rsidR="00566642">
        <w:t xml:space="preserve"> – </w:t>
      </w:r>
      <w:r>
        <w:t>About the endnotes</w:t>
      </w:r>
    </w:p>
    <w:p w14:paraId="4AB90FA1" w14:textId="77777777" w:rsidR="00D36636" w:rsidRDefault="00D36636" w:rsidP="00D36636">
      <w:r>
        <w:t>Endnote 2</w:t>
      </w:r>
      <w:r w:rsidR="00566642">
        <w:t xml:space="preserve"> – </w:t>
      </w:r>
      <w:r>
        <w:t>Version history</w:t>
      </w:r>
    </w:p>
    <w:p w14:paraId="38996469" w14:textId="77777777" w:rsidR="00D36636" w:rsidRDefault="00D36636" w:rsidP="00D36636">
      <w:r>
        <w:t>Endnote 3</w:t>
      </w:r>
      <w:r w:rsidR="00566642">
        <w:t xml:space="preserve"> – </w:t>
      </w:r>
      <w:r>
        <w:t>Amendment history</w:t>
      </w:r>
    </w:p>
    <w:p w14:paraId="6FADF093" w14:textId="77777777" w:rsidR="00D36636" w:rsidRPr="00324814" w:rsidRDefault="00D36636" w:rsidP="00D36636">
      <w:pPr>
        <w:rPr>
          <w:b/>
          <w:bCs/>
        </w:rPr>
      </w:pPr>
      <w:r w:rsidRPr="00324814">
        <w:rPr>
          <w:b/>
          <w:bCs/>
        </w:rPr>
        <w:t>Version history and amendment history</w:t>
      </w:r>
      <w:r w:rsidR="00566642">
        <w:rPr>
          <w:b/>
          <w:bCs/>
        </w:rPr>
        <w:t xml:space="preserve"> </w:t>
      </w:r>
      <w:r w:rsidR="00DA64AC">
        <w:rPr>
          <w:b/>
          <w:bCs/>
        </w:rPr>
        <w:t>–</w:t>
      </w:r>
      <w:r w:rsidR="00566642">
        <w:t xml:space="preserve"> </w:t>
      </w:r>
      <w:r w:rsidRPr="00324814">
        <w:rPr>
          <w:b/>
          <w:bCs/>
        </w:rPr>
        <w:t>Endnotes 2 and 3</w:t>
      </w:r>
    </w:p>
    <w:p w14:paraId="7EF32ED6" w14:textId="77777777" w:rsidR="00D36636" w:rsidRDefault="00D36636" w:rsidP="00D36636">
      <w:r>
        <w:t>The version history in endnote 2 provides information about each version of the Industrial Chemicals Categorisation Guidelines and the dates that version was in force.</w:t>
      </w:r>
    </w:p>
    <w:p w14:paraId="5258B643" w14:textId="77777777" w:rsidR="00D36636" w:rsidRDefault="00D36636" w:rsidP="00D36636">
      <w:r>
        <w:t xml:space="preserve">The amendment history in endnote 3 provides information about amendments that have been made to each version. </w:t>
      </w:r>
    </w:p>
    <w:p w14:paraId="3054FF2F" w14:textId="77777777" w:rsidR="00F10E98" w:rsidRPr="003D243F" w:rsidRDefault="00D36636" w:rsidP="003D243F">
      <w:pPr>
        <w:rPr>
          <w:b/>
          <w:bCs/>
        </w:rPr>
      </w:pPr>
      <w:r w:rsidRPr="003D243F">
        <w:rPr>
          <w:b/>
          <w:bCs/>
        </w:rPr>
        <w:t>Endnote 2</w:t>
      </w:r>
      <w:r w:rsidR="00E55DF7" w:rsidRPr="003D243F">
        <w:rPr>
          <w:b/>
          <w:bCs/>
        </w:rPr>
        <w:t xml:space="preserve"> – </w:t>
      </w:r>
      <w:r w:rsidRPr="003D243F">
        <w:rPr>
          <w:b/>
          <w:bCs/>
        </w:rPr>
        <w:t>Version history</w:t>
      </w:r>
    </w:p>
    <w:tbl>
      <w:tblPr>
        <w:tblStyle w:val="AICISTableBasic"/>
        <w:tblW w:w="5000" w:type="pct"/>
        <w:tblLook w:val="0220" w:firstRow="1" w:lastRow="0" w:firstColumn="0" w:lastColumn="0" w:noHBand="1" w:noVBand="0"/>
      </w:tblPr>
      <w:tblGrid>
        <w:gridCol w:w="4632"/>
        <w:gridCol w:w="2502"/>
        <w:gridCol w:w="2504"/>
      </w:tblGrid>
      <w:tr w:rsidR="00247B66" w:rsidRPr="00ED053C" w14:paraId="2187AE64" w14:textId="77777777" w:rsidTr="003D243F">
        <w:trPr>
          <w:trHeight w:val="454"/>
        </w:trPr>
        <w:tc>
          <w:tcPr>
            <w:tcW w:w="2403" w:type="pct"/>
            <w:vMerge w:val="restart"/>
          </w:tcPr>
          <w:p w14:paraId="47CE758E" w14:textId="77777777" w:rsidR="00247B66" w:rsidRPr="00ED053C" w:rsidRDefault="00247B66" w:rsidP="003632AA">
            <w:pPr>
              <w:rPr>
                <w:b/>
              </w:rPr>
            </w:pPr>
            <w:r>
              <w:rPr>
                <w:b/>
              </w:rPr>
              <w:t>Version Number</w:t>
            </w:r>
          </w:p>
        </w:tc>
        <w:tc>
          <w:tcPr>
            <w:tcW w:w="2597" w:type="pct"/>
            <w:gridSpan w:val="2"/>
          </w:tcPr>
          <w:p w14:paraId="5680AD5D" w14:textId="77777777" w:rsidR="00247B66" w:rsidRPr="00ED053C" w:rsidRDefault="00247B66" w:rsidP="003632AA">
            <w:pPr>
              <w:jc w:val="center"/>
              <w:rPr>
                <w:b/>
              </w:rPr>
            </w:pPr>
            <w:r>
              <w:rPr>
                <w:b/>
              </w:rPr>
              <w:t>In force</w:t>
            </w:r>
          </w:p>
        </w:tc>
      </w:tr>
      <w:tr w:rsidR="00247B66" w:rsidRPr="00ED053C" w14:paraId="472847FF" w14:textId="77777777" w:rsidTr="003D243F">
        <w:trPr>
          <w:trHeight w:val="454"/>
        </w:trPr>
        <w:tc>
          <w:tcPr>
            <w:tcW w:w="2403" w:type="pct"/>
            <w:vMerge/>
          </w:tcPr>
          <w:p w14:paraId="6D39F17E" w14:textId="77777777" w:rsidR="00247B66" w:rsidRDefault="00247B66" w:rsidP="003632AA">
            <w:pPr>
              <w:rPr>
                <w:b/>
              </w:rPr>
            </w:pPr>
          </w:p>
        </w:tc>
        <w:tc>
          <w:tcPr>
            <w:tcW w:w="1298" w:type="pct"/>
          </w:tcPr>
          <w:p w14:paraId="62F24D55" w14:textId="77777777" w:rsidR="00247B66" w:rsidRDefault="00247B66" w:rsidP="003632AA">
            <w:pPr>
              <w:rPr>
                <w:b/>
              </w:rPr>
            </w:pPr>
            <w:r>
              <w:rPr>
                <w:b/>
              </w:rPr>
              <w:t>Start date</w:t>
            </w:r>
          </w:p>
        </w:tc>
        <w:tc>
          <w:tcPr>
            <w:tcW w:w="1299" w:type="pct"/>
          </w:tcPr>
          <w:p w14:paraId="048D98B7" w14:textId="77777777" w:rsidR="00247B66" w:rsidRPr="00ED053C" w:rsidRDefault="00247B66" w:rsidP="003632AA">
            <w:pPr>
              <w:rPr>
                <w:b/>
              </w:rPr>
            </w:pPr>
            <w:r>
              <w:rPr>
                <w:b/>
              </w:rPr>
              <w:t>End date</w:t>
            </w:r>
          </w:p>
        </w:tc>
      </w:tr>
      <w:tr w:rsidR="00247B66" w:rsidRPr="00ED053C" w14:paraId="60F47F1F" w14:textId="77777777" w:rsidTr="003D243F">
        <w:trPr>
          <w:trHeight w:val="454"/>
        </w:trPr>
        <w:tc>
          <w:tcPr>
            <w:tcW w:w="2403" w:type="pct"/>
          </w:tcPr>
          <w:p w14:paraId="6F5EDF38" w14:textId="77777777" w:rsidR="00247B66" w:rsidRPr="00ED053C" w:rsidRDefault="00247B66" w:rsidP="003632AA">
            <w:r>
              <w:t>1</w:t>
            </w:r>
          </w:p>
        </w:tc>
        <w:tc>
          <w:tcPr>
            <w:tcW w:w="1298" w:type="pct"/>
          </w:tcPr>
          <w:p w14:paraId="25A66287" w14:textId="77777777" w:rsidR="00247B66" w:rsidRPr="00ED053C" w:rsidRDefault="00247B66" w:rsidP="003632AA">
            <w:r>
              <w:t>1 July</w:t>
            </w:r>
            <w:r w:rsidRPr="00ED053C">
              <w:t xml:space="preserve"> 20</w:t>
            </w:r>
            <w:r>
              <w:t>20</w:t>
            </w:r>
          </w:p>
        </w:tc>
        <w:tc>
          <w:tcPr>
            <w:tcW w:w="1299" w:type="pct"/>
          </w:tcPr>
          <w:p w14:paraId="7B1EA031" w14:textId="77777777" w:rsidR="00247B66" w:rsidRPr="00ED053C" w:rsidRDefault="00247B66" w:rsidP="003632AA">
            <w:r>
              <w:t>23</w:t>
            </w:r>
            <w:r w:rsidRPr="00ED053C">
              <w:t xml:space="preserve"> </w:t>
            </w:r>
            <w:r>
              <w:t>April</w:t>
            </w:r>
            <w:r w:rsidRPr="00ED053C">
              <w:t xml:space="preserve"> 2</w:t>
            </w:r>
            <w:r>
              <w:t>024</w:t>
            </w:r>
          </w:p>
        </w:tc>
      </w:tr>
      <w:tr w:rsidR="00247B66" w:rsidRPr="00ED053C" w14:paraId="391B3B0D" w14:textId="77777777" w:rsidTr="003D243F">
        <w:trPr>
          <w:trHeight w:val="454"/>
        </w:trPr>
        <w:tc>
          <w:tcPr>
            <w:tcW w:w="2403" w:type="pct"/>
          </w:tcPr>
          <w:p w14:paraId="1EBDA3E7" w14:textId="77777777" w:rsidR="00247B66" w:rsidRPr="00ED053C" w:rsidRDefault="00247B66" w:rsidP="003632AA">
            <w:r>
              <w:t>2</w:t>
            </w:r>
          </w:p>
        </w:tc>
        <w:tc>
          <w:tcPr>
            <w:tcW w:w="1298" w:type="pct"/>
          </w:tcPr>
          <w:p w14:paraId="6C458E03" w14:textId="77777777" w:rsidR="00247B66" w:rsidRPr="00ED053C" w:rsidRDefault="00247B66" w:rsidP="003632AA">
            <w:r>
              <w:t>24</w:t>
            </w:r>
            <w:r w:rsidRPr="00ED053C">
              <w:t xml:space="preserve"> </w:t>
            </w:r>
            <w:r>
              <w:t xml:space="preserve">April </w:t>
            </w:r>
            <w:r w:rsidRPr="00ED053C">
              <w:t>202</w:t>
            </w:r>
            <w:r>
              <w:t>4</w:t>
            </w:r>
          </w:p>
        </w:tc>
        <w:tc>
          <w:tcPr>
            <w:tcW w:w="1299" w:type="pct"/>
          </w:tcPr>
          <w:p w14:paraId="4365F2AA" w14:textId="77777777" w:rsidR="00247B66" w:rsidRPr="00ED053C" w:rsidRDefault="00247B66" w:rsidP="003632AA">
            <w:r>
              <w:t>23 September 2024</w:t>
            </w:r>
          </w:p>
        </w:tc>
      </w:tr>
      <w:tr w:rsidR="00247B66" w:rsidRPr="00ED053C" w14:paraId="2B9D8D10" w14:textId="77777777" w:rsidTr="003D243F">
        <w:trPr>
          <w:trHeight w:val="454"/>
        </w:trPr>
        <w:tc>
          <w:tcPr>
            <w:tcW w:w="2403" w:type="pct"/>
          </w:tcPr>
          <w:p w14:paraId="64B52CA6" w14:textId="77777777" w:rsidR="00247B66" w:rsidRDefault="00247B66" w:rsidP="003632AA">
            <w:r>
              <w:t>3</w:t>
            </w:r>
          </w:p>
        </w:tc>
        <w:tc>
          <w:tcPr>
            <w:tcW w:w="1298" w:type="pct"/>
          </w:tcPr>
          <w:p w14:paraId="157ECEB9" w14:textId="77777777" w:rsidR="00247B66" w:rsidRDefault="00247B66" w:rsidP="003632AA">
            <w:r w:rsidRPr="006C5101">
              <w:t>2</w:t>
            </w:r>
            <w:r>
              <w:t>4</w:t>
            </w:r>
            <w:r w:rsidRPr="006C5101">
              <w:t xml:space="preserve"> September 2024</w:t>
            </w:r>
          </w:p>
        </w:tc>
        <w:tc>
          <w:tcPr>
            <w:tcW w:w="1299" w:type="pct"/>
          </w:tcPr>
          <w:p w14:paraId="3CCD50B2" w14:textId="5339BC32" w:rsidR="00247B66" w:rsidRDefault="00531DFB" w:rsidP="003632AA">
            <w:r>
              <w:t>31 August 2025</w:t>
            </w:r>
          </w:p>
        </w:tc>
      </w:tr>
      <w:tr w:rsidR="00533697" w:rsidRPr="00ED053C" w14:paraId="07032E04" w14:textId="77777777" w:rsidTr="003D243F">
        <w:trPr>
          <w:trHeight w:val="454"/>
        </w:trPr>
        <w:tc>
          <w:tcPr>
            <w:tcW w:w="2403" w:type="pct"/>
          </w:tcPr>
          <w:p w14:paraId="1D4F7C33" w14:textId="1E00E2D4" w:rsidR="00533697" w:rsidRDefault="00531DFB" w:rsidP="003632AA">
            <w:r>
              <w:t>01 September 2025</w:t>
            </w:r>
          </w:p>
        </w:tc>
        <w:tc>
          <w:tcPr>
            <w:tcW w:w="1298" w:type="pct"/>
          </w:tcPr>
          <w:p w14:paraId="0D5C77A3" w14:textId="53F4C75D" w:rsidR="00533697" w:rsidRPr="006C5101" w:rsidRDefault="00533697" w:rsidP="003632AA">
            <w:r>
              <w:t>01 September 2025</w:t>
            </w:r>
          </w:p>
        </w:tc>
        <w:tc>
          <w:tcPr>
            <w:tcW w:w="1299" w:type="pct"/>
          </w:tcPr>
          <w:p w14:paraId="2F666A27" w14:textId="3CA99114" w:rsidR="00533697" w:rsidRDefault="001F1A0D" w:rsidP="003632AA">
            <w:r>
              <w:t>31 August 2026</w:t>
            </w:r>
          </w:p>
        </w:tc>
      </w:tr>
      <w:tr w:rsidR="001F1A0D" w:rsidRPr="00ED053C" w14:paraId="1EF0AC7C" w14:textId="77777777" w:rsidTr="003D243F">
        <w:trPr>
          <w:trHeight w:val="454"/>
        </w:trPr>
        <w:tc>
          <w:tcPr>
            <w:tcW w:w="2403" w:type="pct"/>
          </w:tcPr>
          <w:p w14:paraId="4E18590D" w14:textId="180BEF66" w:rsidR="001F1A0D" w:rsidRDefault="001F1A0D" w:rsidP="003632AA">
            <w:r>
              <w:t>01 September 2026</w:t>
            </w:r>
          </w:p>
        </w:tc>
        <w:tc>
          <w:tcPr>
            <w:tcW w:w="1298" w:type="pct"/>
          </w:tcPr>
          <w:p w14:paraId="171D1C65" w14:textId="32E59250" w:rsidR="001F1A0D" w:rsidRDefault="001F1A0D" w:rsidP="003632AA">
            <w:r>
              <w:t>01 September 2026</w:t>
            </w:r>
          </w:p>
        </w:tc>
        <w:tc>
          <w:tcPr>
            <w:tcW w:w="1299" w:type="pct"/>
          </w:tcPr>
          <w:p w14:paraId="52D70BE8" w14:textId="0B8E440D" w:rsidR="001F1A0D" w:rsidRDefault="001F1A0D" w:rsidP="003632AA">
            <w:r>
              <w:t>Ongoing</w:t>
            </w:r>
          </w:p>
        </w:tc>
      </w:tr>
    </w:tbl>
    <w:p w14:paraId="563974D4" w14:textId="77777777" w:rsidR="00FA18C3" w:rsidRPr="003D243F" w:rsidRDefault="00FA18C3" w:rsidP="003D243F">
      <w:pPr>
        <w:rPr>
          <w:b/>
          <w:bCs/>
        </w:rPr>
      </w:pPr>
      <w:r w:rsidRPr="003D243F">
        <w:rPr>
          <w:b/>
          <w:bCs/>
        </w:rPr>
        <w:t>Endnote 3 –</w:t>
      </w:r>
      <w:r w:rsidR="008529AB" w:rsidRPr="003D243F">
        <w:rPr>
          <w:b/>
          <w:bCs/>
        </w:rPr>
        <w:t xml:space="preserve"> </w:t>
      </w:r>
      <w:r w:rsidRPr="003D243F">
        <w:rPr>
          <w:b/>
          <w:bCs/>
        </w:rPr>
        <w:t>Amendment history</w:t>
      </w:r>
    </w:p>
    <w:p w14:paraId="7543D6EF" w14:textId="3531F0B5" w:rsidR="00515BD9" w:rsidRDefault="00515BD9" w:rsidP="00515BD9">
      <w:r>
        <w:t>The table below shows wh</w:t>
      </w:r>
      <w:r w:rsidR="003D243F">
        <w:t>ich</w:t>
      </w:r>
      <w:r>
        <w:t xml:space="preserve"> parts of the Industrial Chemicals Categorisation Guidelines have changed </w:t>
      </w:r>
      <w:r w:rsidR="00411444">
        <w:t xml:space="preserve">between </w:t>
      </w:r>
      <w:r w:rsidR="00521DEE">
        <w:t xml:space="preserve">the </w:t>
      </w:r>
      <w:r>
        <w:t>version</w:t>
      </w:r>
      <w:r w:rsidR="00411444">
        <w:t xml:space="preserve"> </w:t>
      </w:r>
      <w:r w:rsidR="001F1A0D">
        <w:t>that was in force between</w:t>
      </w:r>
      <w:r w:rsidR="00521DEE">
        <w:t xml:space="preserve"> 01 September 2025 and</w:t>
      </w:r>
      <w:r w:rsidR="001F1A0D">
        <w:t xml:space="preserve"> </w:t>
      </w:r>
      <w:r w:rsidR="00411444">
        <w:t>3</w:t>
      </w:r>
      <w:r w:rsidR="00521DEE">
        <w:t>1 August 2026</w:t>
      </w:r>
      <w:r w:rsidR="00411444">
        <w:t xml:space="preserve"> and the current version which will be in force on 01 September 202</w:t>
      </w:r>
      <w:r w:rsidR="00521DEE">
        <w:t>6</w:t>
      </w:r>
      <w:r>
        <w:t xml:space="preserve">. The description of the changes in the amendment history </w:t>
      </w:r>
      <w:proofErr w:type="gramStart"/>
      <w:r>
        <w:t>are</w:t>
      </w:r>
      <w:proofErr w:type="gramEnd"/>
      <w:r>
        <w:t xml:space="preserve"> only provided for the latest change. For earlier descriptions of changes please see previous versions.</w:t>
      </w:r>
      <w:r w:rsidR="00411444">
        <w:t xml:space="preserve"> The previous versions are available on the AICIS website to allow comparison. </w:t>
      </w:r>
    </w:p>
    <w:tbl>
      <w:tblPr>
        <w:tblStyle w:val="AICISTableBasic"/>
        <w:tblW w:w="5000" w:type="pct"/>
        <w:tblLook w:val="0620" w:firstRow="1" w:lastRow="0" w:firstColumn="0" w:lastColumn="0" w:noHBand="1" w:noVBand="1"/>
      </w:tblPr>
      <w:tblGrid>
        <w:gridCol w:w="1662"/>
        <w:gridCol w:w="7976"/>
      </w:tblGrid>
      <w:tr w:rsidR="00411444" w:rsidRPr="00295747" w14:paraId="3DDACB2A" w14:textId="77777777" w:rsidTr="00791D8C">
        <w:trPr>
          <w:trHeight w:val="567"/>
        </w:trPr>
        <w:tc>
          <w:tcPr>
            <w:tcW w:w="862" w:type="pct"/>
          </w:tcPr>
          <w:p w14:paraId="46997A92" w14:textId="77777777" w:rsidR="00411444" w:rsidRPr="00295747" w:rsidRDefault="00411444" w:rsidP="003632AA">
            <w:pPr>
              <w:tabs>
                <w:tab w:val="left" w:pos="240"/>
              </w:tabs>
              <w:spacing w:before="0" w:after="0"/>
              <w:contextualSpacing/>
              <w:rPr>
                <w:rFonts w:cs="Arial"/>
                <w:b/>
                <w:bCs/>
                <w:i/>
                <w:iCs/>
                <w:szCs w:val="20"/>
              </w:rPr>
            </w:pPr>
            <w:r w:rsidRPr="00295747">
              <w:rPr>
                <w:rFonts w:cs="Arial"/>
                <w:b/>
                <w:bCs/>
                <w:szCs w:val="20"/>
              </w:rPr>
              <w:t>Guidelines part</w:t>
            </w:r>
          </w:p>
        </w:tc>
        <w:tc>
          <w:tcPr>
            <w:tcW w:w="4138" w:type="pct"/>
          </w:tcPr>
          <w:p w14:paraId="6325D7F5" w14:textId="77777777" w:rsidR="00411444" w:rsidRPr="00295747" w:rsidRDefault="00411444" w:rsidP="003632AA">
            <w:pPr>
              <w:spacing w:before="0" w:after="0"/>
              <w:contextualSpacing/>
              <w:rPr>
                <w:rFonts w:cs="Arial"/>
                <w:b/>
                <w:bCs/>
                <w:sz w:val="18"/>
                <w:szCs w:val="18"/>
              </w:rPr>
            </w:pPr>
            <w:r w:rsidRPr="00295747">
              <w:rPr>
                <w:rFonts w:cs="Arial"/>
                <w:b/>
                <w:bCs/>
                <w:szCs w:val="22"/>
              </w:rPr>
              <w:t>Description</w:t>
            </w:r>
          </w:p>
        </w:tc>
      </w:tr>
      <w:tr w:rsidR="00411444" w:rsidRPr="00624B3F" w14:paraId="40E710E7" w14:textId="77777777" w:rsidTr="00791D8C">
        <w:trPr>
          <w:trHeight w:val="567"/>
        </w:trPr>
        <w:tc>
          <w:tcPr>
            <w:tcW w:w="862" w:type="pct"/>
          </w:tcPr>
          <w:p w14:paraId="0DB0D916" w14:textId="77777777" w:rsidR="00411444" w:rsidRPr="005349B4" w:rsidRDefault="00411444" w:rsidP="003632AA">
            <w:pPr>
              <w:tabs>
                <w:tab w:val="left" w:pos="240"/>
              </w:tabs>
              <w:spacing w:before="0" w:after="0"/>
              <w:contextualSpacing/>
              <w:rPr>
                <w:rFonts w:cs="Arial"/>
                <w:b/>
                <w:bCs/>
                <w:i/>
                <w:iCs/>
                <w:szCs w:val="20"/>
              </w:rPr>
            </w:pPr>
            <w:r w:rsidRPr="005349B4">
              <w:rPr>
                <w:rFonts w:cs="Arial"/>
                <w:i/>
                <w:iCs/>
                <w:szCs w:val="20"/>
              </w:rPr>
              <w:t>Title page</w:t>
            </w:r>
            <w:r w:rsidRPr="005349B4" w:rsidDel="00BC507A">
              <w:rPr>
                <w:rFonts w:cs="Arial"/>
                <w:i/>
                <w:iCs/>
                <w:szCs w:val="20"/>
              </w:rPr>
              <w:t xml:space="preserve"> </w:t>
            </w:r>
          </w:p>
        </w:tc>
        <w:tc>
          <w:tcPr>
            <w:tcW w:w="4138" w:type="pct"/>
          </w:tcPr>
          <w:p w14:paraId="12C8EADE" w14:textId="7A3C101F" w:rsidR="00411444" w:rsidRPr="00624B3F" w:rsidRDefault="00411444" w:rsidP="003632AA">
            <w:pPr>
              <w:spacing w:before="0" w:after="0"/>
              <w:contextualSpacing/>
              <w:rPr>
                <w:rFonts w:cs="Arial"/>
                <w:sz w:val="18"/>
                <w:szCs w:val="18"/>
              </w:rPr>
            </w:pPr>
            <w:r>
              <w:rPr>
                <w:rFonts w:cs="Arial"/>
                <w:sz w:val="18"/>
                <w:szCs w:val="18"/>
              </w:rPr>
              <w:t>Changed</w:t>
            </w:r>
            <w:r w:rsidRPr="00624B3F">
              <w:rPr>
                <w:rFonts w:cs="Arial"/>
                <w:sz w:val="18"/>
                <w:szCs w:val="18"/>
              </w:rPr>
              <w:t xml:space="preserve"> the date.</w:t>
            </w:r>
          </w:p>
        </w:tc>
      </w:tr>
      <w:tr w:rsidR="00411444" w:rsidRPr="00624B3F" w14:paraId="4C2BF487" w14:textId="77777777" w:rsidTr="00791D8C">
        <w:trPr>
          <w:trHeight w:val="567"/>
        </w:trPr>
        <w:tc>
          <w:tcPr>
            <w:tcW w:w="862" w:type="pct"/>
          </w:tcPr>
          <w:p w14:paraId="7B8047FA" w14:textId="77777777" w:rsidR="00411444" w:rsidRPr="005349B4" w:rsidRDefault="00411444" w:rsidP="003632AA">
            <w:pPr>
              <w:tabs>
                <w:tab w:val="left" w:pos="240"/>
              </w:tabs>
              <w:spacing w:before="0" w:after="0"/>
              <w:contextualSpacing/>
              <w:rPr>
                <w:rFonts w:cs="Arial"/>
                <w:b/>
                <w:bCs/>
                <w:i/>
                <w:iCs/>
                <w:szCs w:val="20"/>
              </w:rPr>
            </w:pPr>
            <w:r w:rsidRPr="005349B4">
              <w:rPr>
                <w:rFonts w:cs="Arial"/>
                <w:i/>
                <w:iCs/>
                <w:szCs w:val="20"/>
              </w:rPr>
              <w:lastRenderedPageBreak/>
              <w:t>About this version</w:t>
            </w:r>
          </w:p>
        </w:tc>
        <w:tc>
          <w:tcPr>
            <w:tcW w:w="4138" w:type="pct"/>
          </w:tcPr>
          <w:p w14:paraId="1C56E215" w14:textId="1941C075" w:rsidR="00411444" w:rsidRPr="00624B3F" w:rsidRDefault="00411444" w:rsidP="003632AA">
            <w:pPr>
              <w:spacing w:before="0" w:after="0"/>
              <w:contextualSpacing/>
              <w:rPr>
                <w:rFonts w:cs="Arial"/>
                <w:sz w:val="18"/>
                <w:szCs w:val="18"/>
              </w:rPr>
            </w:pPr>
            <w:r>
              <w:rPr>
                <w:rFonts w:cs="Arial"/>
                <w:sz w:val="18"/>
                <w:szCs w:val="18"/>
              </w:rPr>
              <w:t>Updated the date.</w:t>
            </w:r>
          </w:p>
        </w:tc>
      </w:tr>
      <w:tr w:rsidR="00411444" w:rsidRPr="00624B3F" w14:paraId="4534F8E4" w14:textId="77777777" w:rsidTr="00791D8C">
        <w:trPr>
          <w:trHeight w:val="567"/>
        </w:trPr>
        <w:tc>
          <w:tcPr>
            <w:tcW w:w="862" w:type="pct"/>
          </w:tcPr>
          <w:p w14:paraId="4D50C206" w14:textId="77777777" w:rsidR="00411444" w:rsidRPr="005349B4" w:rsidRDefault="00411444" w:rsidP="003632AA">
            <w:pPr>
              <w:tabs>
                <w:tab w:val="left" w:pos="240"/>
              </w:tabs>
              <w:spacing w:before="0" w:after="0"/>
              <w:contextualSpacing/>
              <w:rPr>
                <w:rFonts w:cs="Arial"/>
                <w:b/>
                <w:bCs/>
                <w:i/>
                <w:iCs/>
                <w:szCs w:val="20"/>
              </w:rPr>
            </w:pPr>
            <w:r w:rsidRPr="005349B4">
              <w:rPr>
                <w:rFonts w:cs="Arial"/>
                <w:i/>
                <w:iCs/>
                <w:szCs w:val="20"/>
              </w:rPr>
              <w:t>Table of Contents</w:t>
            </w:r>
          </w:p>
        </w:tc>
        <w:tc>
          <w:tcPr>
            <w:tcW w:w="4138" w:type="pct"/>
          </w:tcPr>
          <w:p w14:paraId="1F84D03A" w14:textId="77777777" w:rsidR="00411444" w:rsidRPr="00624B3F" w:rsidRDefault="00411444" w:rsidP="003632AA">
            <w:pPr>
              <w:spacing w:before="0" w:after="0"/>
              <w:contextualSpacing/>
              <w:rPr>
                <w:rFonts w:cs="Arial"/>
                <w:sz w:val="18"/>
                <w:szCs w:val="18"/>
              </w:rPr>
            </w:pPr>
            <w:r w:rsidRPr="00624B3F">
              <w:rPr>
                <w:rFonts w:cs="Arial"/>
                <w:sz w:val="18"/>
                <w:szCs w:val="18"/>
              </w:rPr>
              <w:t>Updated the table of Contents.</w:t>
            </w:r>
          </w:p>
        </w:tc>
      </w:tr>
      <w:tr w:rsidR="00411444" w:rsidRPr="00624B3F" w14:paraId="67ACCCA6" w14:textId="77777777" w:rsidTr="00791D8C">
        <w:trPr>
          <w:trHeight w:val="567"/>
        </w:trPr>
        <w:tc>
          <w:tcPr>
            <w:tcW w:w="862" w:type="pct"/>
          </w:tcPr>
          <w:p w14:paraId="7F623386" w14:textId="7C0D11E6" w:rsidR="00411444" w:rsidRPr="005349B4" w:rsidRDefault="00411444" w:rsidP="003632AA">
            <w:pPr>
              <w:tabs>
                <w:tab w:val="left" w:pos="240"/>
              </w:tabs>
              <w:spacing w:before="0" w:after="0"/>
              <w:contextualSpacing/>
              <w:rPr>
                <w:rFonts w:cs="Arial"/>
                <w:b/>
                <w:bCs/>
                <w:i/>
                <w:iCs/>
                <w:szCs w:val="20"/>
              </w:rPr>
            </w:pPr>
            <w:r w:rsidRPr="005349B4">
              <w:rPr>
                <w:rFonts w:cs="Arial"/>
                <w:i/>
                <w:iCs/>
                <w:szCs w:val="20"/>
              </w:rPr>
              <w:t>2.1.</w:t>
            </w:r>
            <w:r w:rsidR="00F85B3F">
              <w:rPr>
                <w:rFonts w:cs="Arial"/>
                <w:i/>
                <w:iCs/>
                <w:szCs w:val="20"/>
              </w:rPr>
              <w:t>1</w:t>
            </w:r>
          </w:p>
        </w:tc>
        <w:tc>
          <w:tcPr>
            <w:tcW w:w="4138" w:type="pct"/>
          </w:tcPr>
          <w:p w14:paraId="4C8A10A1" w14:textId="4DF9DC18" w:rsidR="00411444" w:rsidRPr="00624B3F" w:rsidRDefault="00D24AF5" w:rsidP="003632AA">
            <w:pPr>
              <w:spacing w:before="0" w:after="0"/>
              <w:contextualSpacing/>
              <w:rPr>
                <w:rFonts w:cs="Arial"/>
                <w:sz w:val="18"/>
                <w:szCs w:val="18"/>
              </w:rPr>
            </w:pPr>
            <w:r>
              <w:rPr>
                <w:rFonts w:cs="Arial"/>
                <w:sz w:val="18"/>
                <w:szCs w:val="18"/>
              </w:rPr>
              <w:t>C</w:t>
            </w:r>
            <w:r w:rsidR="00531110">
              <w:rPr>
                <w:rFonts w:cs="Arial"/>
                <w:sz w:val="18"/>
                <w:szCs w:val="18"/>
              </w:rPr>
              <w:t>ombined the two</w:t>
            </w:r>
            <w:r w:rsidR="00F85B3F">
              <w:rPr>
                <w:rFonts w:cs="Arial"/>
                <w:sz w:val="18"/>
                <w:szCs w:val="18"/>
              </w:rPr>
              <w:t xml:space="preserve"> definition</w:t>
            </w:r>
            <w:r w:rsidR="00531110">
              <w:rPr>
                <w:rFonts w:cs="Arial"/>
                <w:sz w:val="18"/>
                <w:szCs w:val="18"/>
              </w:rPr>
              <w:t>s</w:t>
            </w:r>
            <w:r w:rsidR="00F85B3F">
              <w:rPr>
                <w:rFonts w:cs="Arial"/>
                <w:sz w:val="18"/>
                <w:szCs w:val="18"/>
              </w:rPr>
              <w:t xml:space="preserve"> of chemical identity holder</w:t>
            </w:r>
            <w:r w:rsidR="00531110">
              <w:rPr>
                <w:rFonts w:cs="Arial"/>
                <w:sz w:val="18"/>
                <w:szCs w:val="18"/>
              </w:rPr>
              <w:t xml:space="preserve"> into one</w:t>
            </w:r>
            <w:r>
              <w:rPr>
                <w:rFonts w:cs="Arial"/>
                <w:sz w:val="18"/>
                <w:szCs w:val="18"/>
              </w:rPr>
              <w:t xml:space="preserve"> and amended the text</w:t>
            </w:r>
            <w:r w:rsidR="00C531BC">
              <w:rPr>
                <w:rFonts w:cs="Arial"/>
                <w:sz w:val="18"/>
                <w:szCs w:val="18"/>
              </w:rPr>
              <w:t>.</w:t>
            </w:r>
          </w:p>
        </w:tc>
      </w:tr>
      <w:tr w:rsidR="00411444" w:rsidRPr="00624B3F" w14:paraId="681463A8" w14:textId="77777777" w:rsidTr="00791D8C">
        <w:trPr>
          <w:trHeight w:val="567"/>
        </w:trPr>
        <w:tc>
          <w:tcPr>
            <w:tcW w:w="862" w:type="pct"/>
          </w:tcPr>
          <w:p w14:paraId="74ABF67C" w14:textId="70D008EE" w:rsidR="00411444" w:rsidRPr="005349B4" w:rsidRDefault="00411444" w:rsidP="003632AA">
            <w:pPr>
              <w:tabs>
                <w:tab w:val="left" w:pos="240"/>
              </w:tabs>
              <w:spacing w:before="0" w:after="0"/>
              <w:contextualSpacing/>
              <w:rPr>
                <w:rFonts w:cs="Arial"/>
                <w:b/>
                <w:bCs/>
                <w:i/>
                <w:iCs/>
                <w:szCs w:val="20"/>
              </w:rPr>
            </w:pPr>
            <w:r w:rsidRPr="005349B4">
              <w:rPr>
                <w:rFonts w:cs="Arial"/>
                <w:i/>
                <w:iCs/>
                <w:szCs w:val="20"/>
              </w:rPr>
              <w:t>2.</w:t>
            </w:r>
            <w:r w:rsidR="00B072FD">
              <w:rPr>
                <w:rFonts w:cs="Arial"/>
                <w:i/>
                <w:iCs/>
                <w:szCs w:val="20"/>
              </w:rPr>
              <w:t>1</w:t>
            </w:r>
            <w:r w:rsidRPr="005349B4">
              <w:rPr>
                <w:rFonts w:cs="Arial"/>
                <w:i/>
                <w:iCs/>
                <w:szCs w:val="20"/>
              </w:rPr>
              <w:t>.</w:t>
            </w:r>
            <w:r w:rsidR="00B072FD">
              <w:rPr>
                <w:rFonts w:cs="Arial"/>
                <w:i/>
                <w:iCs/>
                <w:szCs w:val="20"/>
              </w:rPr>
              <w:t>5</w:t>
            </w:r>
          </w:p>
        </w:tc>
        <w:tc>
          <w:tcPr>
            <w:tcW w:w="4138" w:type="pct"/>
          </w:tcPr>
          <w:p w14:paraId="3F52D724" w14:textId="375F2D71" w:rsidR="00411444" w:rsidRPr="00624B3F" w:rsidRDefault="002E6D60" w:rsidP="003632AA">
            <w:pPr>
              <w:spacing w:before="0" w:after="0"/>
              <w:contextualSpacing/>
              <w:rPr>
                <w:rFonts w:cs="Arial"/>
                <w:sz w:val="18"/>
                <w:szCs w:val="18"/>
              </w:rPr>
            </w:pPr>
            <w:r>
              <w:rPr>
                <w:rFonts w:cs="Arial"/>
                <w:sz w:val="18"/>
                <w:szCs w:val="18"/>
              </w:rPr>
              <w:t>Update</w:t>
            </w:r>
            <w:r w:rsidR="00D24AF5">
              <w:rPr>
                <w:rFonts w:cs="Arial"/>
                <w:sz w:val="18"/>
                <w:szCs w:val="18"/>
              </w:rPr>
              <w:t>d</w:t>
            </w:r>
            <w:r>
              <w:rPr>
                <w:rFonts w:cs="Arial"/>
                <w:sz w:val="18"/>
                <w:szCs w:val="18"/>
              </w:rPr>
              <w:t xml:space="preserve"> the text and link in the second dot point to the latest guidance published by Safe Work Australia.</w:t>
            </w:r>
          </w:p>
        </w:tc>
      </w:tr>
      <w:tr w:rsidR="00411444" w:rsidRPr="00624B3F" w14:paraId="6A72B986" w14:textId="77777777" w:rsidTr="00791D8C">
        <w:trPr>
          <w:trHeight w:val="567"/>
        </w:trPr>
        <w:tc>
          <w:tcPr>
            <w:tcW w:w="862" w:type="pct"/>
          </w:tcPr>
          <w:p w14:paraId="67BAD97D" w14:textId="77777777" w:rsidR="00411444" w:rsidRPr="005349B4" w:rsidRDefault="00411444" w:rsidP="003632AA">
            <w:pPr>
              <w:tabs>
                <w:tab w:val="left" w:pos="240"/>
              </w:tabs>
              <w:spacing w:before="0" w:after="0"/>
              <w:contextualSpacing/>
              <w:rPr>
                <w:rFonts w:cs="Arial"/>
                <w:b/>
                <w:bCs/>
                <w:i/>
                <w:iCs/>
                <w:szCs w:val="20"/>
              </w:rPr>
            </w:pPr>
            <w:r w:rsidRPr="005349B4">
              <w:rPr>
                <w:rFonts w:cs="Arial"/>
                <w:i/>
                <w:iCs/>
                <w:szCs w:val="20"/>
              </w:rPr>
              <w:t>6.1</w:t>
            </w:r>
          </w:p>
        </w:tc>
        <w:tc>
          <w:tcPr>
            <w:tcW w:w="4138" w:type="pct"/>
          </w:tcPr>
          <w:p w14:paraId="3E58A9B1" w14:textId="16AF6413" w:rsidR="00411444" w:rsidRPr="00624B3F" w:rsidRDefault="00311F68" w:rsidP="003632AA">
            <w:pPr>
              <w:spacing w:before="0" w:after="0"/>
              <w:contextualSpacing/>
              <w:rPr>
                <w:rFonts w:cs="Arial"/>
                <w:sz w:val="18"/>
                <w:szCs w:val="18"/>
              </w:rPr>
            </w:pPr>
            <w:r>
              <w:rPr>
                <w:rFonts w:cs="Arial"/>
                <w:sz w:val="18"/>
                <w:szCs w:val="18"/>
              </w:rPr>
              <w:t>Arranged the definitions in alphabetical order.</w:t>
            </w:r>
          </w:p>
        </w:tc>
      </w:tr>
      <w:tr w:rsidR="00AF54A7" w:rsidRPr="00624B3F" w14:paraId="379A5B77" w14:textId="77777777" w:rsidTr="00791D8C">
        <w:trPr>
          <w:trHeight w:val="567"/>
        </w:trPr>
        <w:tc>
          <w:tcPr>
            <w:tcW w:w="862" w:type="pct"/>
          </w:tcPr>
          <w:p w14:paraId="6EC889FA" w14:textId="3BB77818" w:rsidR="00AF54A7" w:rsidRPr="005349B4" w:rsidRDefault="00AF54A7" w:rsidP="003632AA">
            <w:pPr>
              <w:tabs>
                <w:tab w:val="left" w:pos="240"/>
              </w:tabs>
              <w:spacing w:before="0" w:after="0"/>
              <w:contextualSpacing/>
              <w:rPr>
                <w:rFonts w:cs="Arial"/>
                <w:i/>
                <w:iCs/>
                <w:szCs w:val="20"/>
              </w:rPr>
            </w:pPr>
            <w:r>
              <w:rPr>
                <w:rFonts w:cs="Arial"/>
                <w:i/>
                <w:iCs/>
                <w:szCs w:val="20"/>
              </w:rPr>
              <w:t>6.5.2</w:t>
            </w:r>
          </w:p>
        </w:tc>
        <w:tc>
          <w:tcPr>
            <w:tcW w:w="4138" w:type="pct"/>
          </w:tcPr>
          <w:p w14:paraId="1E622E63" w14:textId="2B33C085" w:rsidR="00AF54A7" w:rsidRDefault="00046B0E" w:rsidP="003632AA">
            <w:pPr>
              <w:spacing w:before="0" w:after="0"/>
              <w:contextualSpacing/>
              <w:rPr>
                <w:rFonts w:cs="Arial"/>
                <w:sz w:val="18"/>
                <w:szCs w:val="18"/>
              </w:rPr>
            </w:pPr>
            <w:r>
              <w:rPr>
                <w:rFonts w:cs="Arial"/>
                <w:sz w:val="18"/>
                <w:szCs w:val="18"/>
              </w:rPr>
              <w:t>Added five b</w:t>
            </w:r>
            <w:r w:rsidRPr="00046B0E">
              <w:rPr>
                <w:rFonts w:cs="Arial"/>
                <w:sz w:val="18"/>
                <w:szCs w:val="18"/>
              </w:rPr>
              <w:t>enzotriazole</w:t>
            </w:r>
            <w:r>
              <w:rPr>
                <w:rFonts w:cs="Arial"/>
                <w:sz w:val="18"/>
                <w:szCs w:val="18"/>
              </w:rPr>
              <w:t xml:space="preserve"> chemicals to the </w:t>
            </w:r>
            <w:r w:rsidR="0004093C">
              <w:rPr>
                <w:rFonts w:cs="Arial"/>
                <w:sz w:val="18"/>
                <w:szCs w:val="18"/>
              </w:rPr>
              <w:t>table.</w:t>
            </w:r>
          </w:p>
        </w:tc>
      </w:tr>
      <w:tr w:rsidR="00411444" w:rsidRPr="00624B3F" w14:paraId="2DF7C838" w14:textId="77777777" w:rsidTr="00791D8C">
        <w:trPr>
          <w:trHeight w:val="567"/>
        </w:trPr>
        <w:tc>
          <w:tcPr>
            <w:tcW w:w="862" w:type="pct"/>
          </w:tcPr>
          <w:p w14:paraId="66B63175" w14:textId="77777777" w:rsidR="00411444" w:rsidRPr="005349B4" w:rsidRDefault="00411444" w:rsidP="003632AA">
            <w:pPr>
              <w:tabs>
                <w:tab w:val="left" w:pos="240"/>
              </w:tabs>
              <w:spacing w:before="0" w:after="0"/>
              <w:contextualSpacing/>
              <w:rPr>
                <w:rFonts w:cs="Arial"/>
                <w:b/>
                <w:bCs/>
                <w:i/>
                <w:iCs/>
                <w:szCs w:val="20"/>
              </w:rPr>
            </w:pPr>
            <w:r w:rsidRPr="005349B4">
              <w:rPr>
                <w:rFonts w:cs="Arial"/>
                <w:i/>
                <w:iCs/>
                <w:szCs w:val="20"/>
              </w:rPr>
              <w:t>6.12.2</w:t>
            </w:r>
          </w:p>
        </w:tc>
        <w:tc>
          <w:tcPr>
            <w:tcW w:w="4138" w:type="pct"/>
          </w:tcPr>
          <w:p w14:paraId="71B0FD71" w14:textId="2FA44EDA" w:rsidR="00411444" w:rsidRPr="00624B3F" w:rsidRDefault="009C3F6C" w:rsidP="003632AA">
            <w:pPr>
              <w:spacing w:before="0" w:after="0"/>
              <w:contextualSpacing/>
              <w:rPr>
                <w:rFonts w:cs="Arial"/>
                <w:sz w:val="18"/>
                <w:szCs w:val="18"/>
              </w:rPr>
            </w:pPr>
            <w:r w:rsidRPr="00D24AF5">
              <w:rPr>
                <w:rFonts w:cs="Arial"/>
                <w:sz w:val="18"/>
                <w:szCs w:val="18"/>
              </w:rPr>
              <w:t xml:space="preserve">Added a space </w:t>
            </w:r>
            <w:r w:rsidR="009C4C1D" w:rsidRPr="00D24AF5">
              <w:rPr>
                <w:rFonts w:cs="Arial"/>
                <w:sz w:val="18"/>
                <w:szCs w:val="18"/>
              </w:rPr>
              <w:t xml:space="preserve">after </w:t>
            </w:r>
            <w:r w:rsidR="0050724B">
              <w:rPr>
                <w:rFonts w:cs="Arial"/>
                <w:sz w:val="18"/>
                <w:szCs w:val="18"/>
              </w:rPr>
              <w:t>a</w:t>
            </w:r>
            <w:r w:rsidR="009C4C1D" w:rsidRPr="00D24AF5">
              <w:rPr>
                <w:rFonts w:cs="Arial"/>
                <w:sz w:val="18"/>
                <w:szCs w:val="18"/>
              </w:rPr>
              <w:t xml:space="preserve"> ‘</w:t>
            </w:r>
            <w:r w:rsidR="009C4C1D" w:rsidRPr="005D5C46">
              <w:rPr>
                <w:sz w:val="18"/>
                <w:szCs w:val="18"/>
              </w:rPr>
              <w:t>≥’ sign.</w:t>
            </w:r>
            <w:r>
              <w:rPr>
                <w:rFonts w:cs="Arial"/>
                <w:sz w:val="18"/>
                <w:szCs w:val="18"/>
              </w:rPr>
              <w:t xml:space="preserve"> </w:t>
            </w:r>
          </w:p>
        </w:tc>
      </w:tr>
      <w:tr w:rsidR="00411444" w:rsidRPr="00624B3F" w14:paraId="4C4F54FB" w14:textId="77777777" w:rsidTr="00791D8C">
        <w:trPr>
          <w:trHeight w:val="567"/>
        </w:trPr>
        <w:tc>
          <w:tcPr>
            <w:tcW w:w="862" w:type="pct"/>
          </w:tcPr>
          <w:p w14:paraId="14477FBE" w14:textId="77777777" w:rsidR="00411444" w:rsidRPr="005349B4" w:rsidRDefault="00411444" w:rsidP="003632AA">
            <w:pPr>
              <w:tabs>
                <w:tab w:val="left" w:pos="240"/>
              </w:tabs>
              <w:spacing w:before="0" w:after="0"/>
              <w:contextualSpacing/>
              <w:rPr>
                <w:rFonts w:cs="Arial"/>
                <w:b/>
                <w:bCs/>
                <w:i/>
                <w:iCs/>
                <w:szCs w:val="20"/>
              </w:rPr>
            </w:pPr>
            <w:r w:rsidRPr="005349B4">
              <w:rPr>
                <w:rFonts w:cs="Arial"/>
                <w:i/>
                <w:iCs/>
                <w:szCs w:val="20"/>
              </w:rPr>
              <w:t>6.15.2</w:t>
            </w:r>
          </w:p>
        </w:tc>
        <w:tc>
          <w:tcPr>
            <w:tcW w:w="4138" w:type="pct"/>
          </w:tcPr>
          <w:p w14:paraId="69F738EA" w14:textId="2802EE7A" w:rsidR="00411444" w:rsidRPr="00624B3F" w:rsidRDefault="00BA516E" w:rsidP="003632AA">
            <w:pPr>
              <w:spacing w:before="0" w:after="0"/>
              <w:contextualSpacing/>
              <w:rPr>
                <w:rFonts w:cs="Arial"/>
                <w:sz w:val="18"/>
                <w:szCs w:val="18"/>
              </w:rPr>
            </w:pPr>
            <w:r w:rsidRPr="00D24AF5">
              <w:rPr>
                <w:rFonts w:cs="Arial"/>
                <w:sz w:val="18"/>
                <w:szCs w:val="18"/>
              </w:rPr>
              <w:t>Added space</w:t>
            </w:r>
            <w:r w:rsidR="0050724B">
              <w:rPr>
                <w:rFonts w:cs="Arial"/>
                <w:sz w:val="18"/>
                <w:szCs w:val="18"/>
              </w:rPr>
              <w:t>s</w:t>
            </w:r>
            <w:r w:rsidRPr="00D24AF5">
              <w:rPr>
                <w:rFonts w:cs="Arial"/>
                <w:sz w:val="18"/>
                <w:szCs w:val="18"/>
              </w:rPr>
              <w:t xml:space="preserve"> after ‘</w:t>
            </w:r>
            <w:r w:rsidRPr="005D5C46">
              <w:rPr>
                <w:rFonts w:cs="Arial"/>
                <w:sz w:val="18"/>
                <w:szCs w:val="18"/>
              </w:rPr>
              <w:t>&gt;</w:t>
            </w:r>
            <w:r w:rsidRPr="005D5C46">
              <w:rPr>
                <w:sz w:val="18"/>
                <w:szCs w:val="18"/>
              </w:rPr>
              <w:t>’ sign</w:t>
            </w:r>
            <w:r w:rsidR="0050724B">
              <w:rPr>
                <w:sz w:val="18"/>
                <w:szCs w:val="18"/>
              </w:rPr>
              <w:t>s</w:t>
            </w:r>
            <w:r w:rsidRPr="005D5C46">
              <w:rPr>
                <w:sz w:val="18"/>
                <w:szCs w:val="18"/>
              </w:rPr>
              <w:t xml:space="preserve"> </w:t>
            </w:r>
            <w:r w:rsidR="0050724B">
              <w:rPr>
                <w:sz w:val="18"/>
                <w:szCs w:val="18"/>
              </w:rPr>
              <w:t>in two places</w:t>
            </w:r>
            <w:r w:rsidRPr="005D5C46">
              <w:rPr>
                <w:sz w:val="18"/>
                <w:szCs w:val="18"/>
              </w:rPr>
              <w:t>.</w:t>
            </w:r>
          </w:p>
        </w:tc>
      </w:tr>
      <w:tr w:rsidR="0050724B" w:rsidRPr="00624B3F" w14:paraId="7F9E5FD9" w14:textId="77777777" w:rsidTr="00791D8C">
        <w:trPr>
          <w:trHeight w:val="567"/>
        </w:trPr>
        <w:tc>
          <w:tcPr>
            <w:tcW w:w="862" w:type="pct"/>
          </w:tcPr>
          <w:p w14:paraId="239CE0BE" w14:textId="53BDFE96" w:rsidR="0050724B" w:rsidRPr="005349B4" w:rsidRDefault="0050724B" w:rsidP="003632AA">
            <w:pPr>
              <w:tabs>
                <w:tab w:val="left" w:pos="240"/>
              </w:tabs>
              <w:spacing w:before="0" w:after="0"/>
              <w:contextualSpacing/>
              <w:rPr>
                <w:rFonts w:cs="Arial"/>
                <w:i/>
                <w:iCs/>
                <w:szCs w:val="20"/>
              </w:rPr>
            </w:pPr>
            <w:r>
              <w:rPr>
                <w:rFonts w:cs="Arial"/>
                <w:i/>
                <w:iCs/>
                <w:szCs w:val="20"/>
              </w:rPr>
              <w:t>6.16.2</w:t>
            </w:r>
          </w:p>
        </w:tc>
        <w:tc>
          <w:tcPr>
            <w:tcW w:w="4138" w:type="pct"/>
          </w:tcPr>
          <w:p w14:paraId="54669CE8" w14:textId="6D170FC4" w:rsidR="0050724B" w:rsidRDefault="0050724B" w:rsidP="003632AA">
            <w:pPr>
              <w:spacing w:before="0" w:after="0"/>
              <w:contextualSpacing/>
              <w:rPr>
                <w:rFonts w:cs="Arial"/>
                <w:sz w:val="18"/>
                <w:szCs w:val="18"/>
              </w:rPr>
            </w:pPr>
            <w:r w:rsidRPr="00D24AF5">
              <w:rPr>
                <w:rFonts w:cs="Arial"/>
                <w:sz w:val="18"/>
                <w:szCs w:val="18"/>
              </w:rPr>
              <w:t>Added space</w:t>
            </w:r>
            <w:r>
              <w:rPr>
                <w:rFonts w:cs="Arial"/>
                <w:sz w:val="18"/>
                <w:szCs w:val="18"/>
              </w:rPr>
              <w:t>s</w:t>
            </w:r>
            <w:r w:rsidRPr="00D24AF5">
              <w:rPr>
                <w:rFonts w:cs="Arial"/>
                <w:sz w:val="18"/>
                <w:szCs w:val="18"/>
              </w:rPr>
              <w:t xml:space="preserve"> after ‘</w:t>
            </w:r>
            <w:r w:rsidRPr="00BE470E">
              <w:rPr>
                <w:rFonts w:cs="Arial"/>
                <w:sz w:val="18"/>
                <w:szCs w:val="18"/>
              </w:rPr>
              <w:t>&gt;</w:t>
            </w:r>
            <w:r w:rsidRPr="00BE470E">
              <w:rPr>
                <w:sz w:val="18"/>
                <w:szCs w:val="18"/>
              </w:rPr>
              <w:t>’ sign</w:t>
            </w:r>
            <w:r>
              <w:rPr>
                <w:sz w:val="18"/>
                <w:szCs w:val="18"/>
              </w:rPr>
              <w:t>s</w:t>
            </w:r>
            <w:r w:rsidRPr="00BE470E">
              <w:rPr>
                <w:sz w:val="18"/>
                <w:szCs w:val="18"/>
              </w:rPr>
              <w:t xml:space="preserve"> </w:t>
            </w:r>
            <w:r>
              <w:rPr>
                <w:sz w:val="18"/>
                <w:szCs w:val="18"/>
              </w:rPr>
              <w:t xml:space="preserve">in two places, </w:t>
            </w:r>
            <w:r w:rsidR="006C0B81">
              <w:rPr>
                <w:sz w:val="18"/>
                <w:szCs w:val="18"/>
              </w:rPr>
              <w:t xml:space="preserve">after ‘&lt;’ signs in four places, and </w:t>
            </w:r>
            <w:r w:rsidR="00A21D87">
              <w:rPr>
                <w:sz w:val="18"/>
                <w:szCs w:val="18"/>
              </w:rPr>
              <w:t>after ‘</w:t>
            </w:r>
            <w:r w:rsidR="00A21D87">
              <w:rPr>
                <w:rFonts w:cs="Arial"/>
                <w:sz w:val="18"/>
                <w:szCs w:val="18"/>
              </w:rPr>
              <w:t>≤</w:t>
            </w:r>
            <w:r w:rsidR="00A21D87">
              <w:rPr>
                <w:sz w:val="18"/>
                <w:szCs w:val="18"/>
              </w:rPr>
              <w:t>’ signs in two places</w:t>
            </w:r>
            <w:r w:rsidRPr="00BE470E">
              <w:rPr>
                <w:sz w:val="18"/>
                <w:szCs w:val="18"/>
              </w:rPr>
              <w:t>.</w:t>
            </w:r>
          </w:p>
        </w:tc>
      </w:tr>
      <w:tr w:rsidR="00411444" w:rsidRPr="00624B3F" w14:paraId="5F6A1735" w14:textId="77777777" w:rsidTr="00791D8C">
        <w:trPr>
          <w:trHeight w:val="567"/>
        </w:trPr>
        <w:tc>
          <w:tcPr>
            <w:tcW w:w="862" w:type="pct"/>
          </w:tcPr>
          <w:p w14:paraId="66454A01" w14:textId="59F21DC1" w:rsidR="00411444" w:rsidRPr="005349B4" w:rsidRDefault="00411444" w:rsidP="003632AA">
            <w:pPr>
              <w:tabs>
                <w:tab w:val="left" w:pos="240"/>
              </w:tabs>
              <w:spacing w:before="0" w:after="0"/>
              <w:contextualSpacing/>
              <w:rPr>
                <w:rFonts w:cs="Arial"/>
                <w:b/>
                <w:bCs/>
                <w:i/>
                <w:iCs/>
                <w:szCs w:val="20"/>
              </w:rPr>
            </w:pPr>
            <w:r w:rsidRPr="005349B4">
              <w:rPr>
                <w:rFonts w:cs="Arial"/>
                <w:i/>
                <w:iCs/>
                <w:szCs w:val="20"/>
              </w:rPr>
              <w:t>6.2</w:t>
            </w:r>
            <w:r w:rsidR="00A21D87">
              <w:rPr>
                <w:rFonts w:cs="Arial"/>
                <w:i/>
                <w:iCs/>
                <w:szCs w:val="20"/>
              </w:rPr>
              <w:t>8</w:t>
            </w:r>
            <w:r w:rsidRPr="005349B4">
              <w:rPr>
                <w:rFonts w:cs="Arial"/>
                <w:i/>
                <w:iCs/>
                <w:szCs w:val="20"/>
              </w:rPr>
              <w:t>.</w:t>
            </w:r>
            <w:r w:rsidR="00B62DDF">
              <w:rPr>
                <w:rFonts w:cs="Arial"/>
                <w:i/>
                <w:iCs/>
                <w:szCs w:val="20"/>
              </w:rPr>
              <w:t>1</w:t>
            </w:r>
          </w:p>
        </w:tc>
        <w:tc>
          <w:tcPr>
            <w:tcW w:w="4138" w:type="pct"/>
          </w:tcPr>
          <w:p w14:paraId="572C73FA" w14:textId="32D359B9" w:rsidR="00411444" w:rsidRPr="00624B3F" w:rsidRDefault="00B62DDF" w:rsidP="003632AA">
            <w:pPr>
              <w:spacing w:before="0" w:after="0"/>
              <w:contextualSpacing/>
              <w:rPr>
                <w:rFonts w:cs="Arial"/>
                <w:sz w:val="18"/>
                <w:szCs w:val="18"/>
              </w:rPr>
            </w:pPr>
            <w:r w:rsidRPr="00D24AF5">
              <w:rPr>
                <w:rFonts w:cs="Arial"/>
                <w:sz w:val="18"/>
                <w:szCs w:val="18"/>
              </w:rPr>
              <w:t xml:space="preserve"> Added a space after </w:t>
            </w:r>
            <w:r>
              <w:rPr>
                <w:rFonts w:cs="Arial"/>
                <w:sz w:val="18"/>
                <w:szCs w:val="18"/>
              </w:rPr>
              <w:t>a</w:t>
            </w:r>
            <w:r w:rsidRPr="00D24AF5">
              <w:rPr>
                <w:rFonts w:cs="Arial"/>
                <w:sz w:val="18"/>
                <w:szCs w:val="18"/>
              </w:rPr>
              <w:t xml:space="preserve"> ‘</w:t>
            </w:r>
            <w:r w:rsidRPr="00BE470E">
              <w:rPr>
                <w:sz w:val="18"/>
                <w:szCs w:val="18"/>
              </w:rPr>
              <w:t>≥’ sign.</w:t>
            </w:r>
          </w:p>
        </w:tc>
      </w:tr>
      <w:tr w:rsidR="00B62DDF" w:rsidRPr="00624B3F" w14:paraId="5DFB1D1A" w14:textId="77777777" w:rsidTr="00791D8C">
        <w:trPr>
          <w:trHeight w:val="567"/>
        </w:trPr>
        <w:tc>
          <w:tcPr>
            <w:tcW w:w="862" w:type="pct"/>
          </w:tcPr>
          <w:p w14:paraId="4AE7C03D" w14:textId="6AFD4BEE" w:rsidR="00B62DDF" w:rsidRPr="005349B4" w:rsidRDefault="00B62DDF" w:rsidP="003632AA">
            <w:pPr>
              <w:tabs>
                <w:tab w:val="left" w:pos="240"/>
              </w:tabs>
              <w:spacing w:before="0" w:after="0"/>
              <w:contextualSpacing/>
              <w:rPr>
                <w:rFonts w:cs="Arial"/>
                <w:i/>
                <w:iCs/>
                <w:szCs w:val="20"/>
              </w:rPr>
            </w:pPr>
            <w:r>
              <w:rPr>
                <w:rFonts w:cs="Arial"/>
                <w:i/>
                <w:iCs/>
                <w:szCs w:val="20"/>
              </w:rPr>
              <w:t>6.30.2</w:t>
            </w:r>
          </w:p>
        </w:tc>
        <w:tc>
          <w:tcPr>
            <w:tcW w:w="4138" w:type="pct"/>
          </w:tcPr>
          <w:p w14:paraId="37C6BADA" w14:textId="12364759" w:rsidR="00B62DDF" w:rsidDel="00A21D87" w:rsidRDefault="00B62DDF" w:rsidP="003632AA">
            <w:pPr>
              <w:spacing w:before="0" w:after="0"/>
              <w:contextualSpacing/>
              <w:rPr>
                <w:rFonts w:cs="Arial"/>
                <w:sz w:val="18"/>
                <w:szCs w:val="18"/>
              </w:rPr>
            </w:pPr>
            <w:r w:rsidRPr="00D24AF5">
              <w:rPr>
                <w:rFonts w:cs="Arial"/>
                <w:sz w:val="18"/>
                <w:szCs w:val="18"/>
              </w:rPr>
              <w:t xml:space="preserve">Added a space after </w:t>
            </w:r>
            <w:r>
              <w:rPr>
                <w:rFonts w:cs="Arial"/>
                <w:sz w:val="18"/>
                <w:szCs w:val="18"/>
              </w:rPr>
              <w:t>a</w:t>
            </w:r>
            <w:r w:rsidRPr="00D24AF5">
              <w:rPr>
                <w:rFonts w:cs="Arial"/>
                <w:sz w:val="18"/>
                <w:szCs w:val="18"/>
              </w:rPr>
              <w:t xml:space="preserve"> ‘</w:t>
            </w:r>
            <w:r w:rsidRPr="00BE470E">
              <w:rPr>
                <w:sz w:val="18"/>
                <w:szCs w:val="18"/>
              </w:rPr>
              <w:t>≥’ sign.</w:t>
            </w:r>
          </w:p>
        </w:tc>
      </w:tr>
      <w:tr w:rsidR="00411444" w:rsidRPr="00624B3F" w14:paraId="7D5409EE" w14:textId="77777777" w:rsidTr="00791D8C">
        <w:trPr>
          <w:trHeight w:val="567"/>
        </w:trPr>
        <w:tc>
          <w:tcPr>
            <w:tcW w:w="862" w:type="pct"/>
          </w:tcPr>
          <w:p w14:paraId="074D25A7" w14:textId="77777777" w:rsidR="00411444" w:rsidRPr="005349B4" w:rsidRDefault="00411444" w:rsidP="003632AA">
            <w:pPr>
              <w:tabs>
                <w:tab w:val="left" w:pos="240"/>
              </w:tabs>
              <w:spacing w:before="0" w:after="0"/>
              <w:contextualSpacing/>
              <w:rPr>
                <w:rFonts w:cs="Arial"/>
                <w:b/>
                <w:bCs/>
                <w:i/>
                <w:iCs/>
                <w:szCs w:val="20"/>
              </w:rPr>
            </w:pPr>
            <w:r w:rsidRPr="005349B4">
              <w:rPr>
                <w:i/>
                <w:iCs/>
              </w:rPr>
              <w:t>List of chemicals with high hazards for categorisation</w:t>
            </w:r>
          </w:p>
        </w:tc>
        <w:tc>
          <w:tcPr>
            <w:tcW w:w="4138" w:type="pct"/>
          </w:tcPr>
          <w:p w14:paraId="1F64A4CA" w14:textId="366BA8AB" w:rsidR="00B62DDF" w:rsidRPr="00B62DDF" w:rsidRDefault="00B62DDF" w:rsidP="00B62DDF">
            <w:pPr>
              <w:spacing w:before="0" w:after="0"/>
              <w:contextualSpacing/>
              <w:rPr>
                <w:rFonts w:cs="Arial"/>
                <w:sz w:val="18"/>
                <w:szCs w:val="18"/>
              </w:rPr>
            </w:pPr>
            <w:r w:rsidRPr="00B62DDF">
              <w:rPr>
                <w:rFonts w:cs="Arial"/>
                <w:sz w:val="18"/>
                <w:szCs w:val="18"/>
              </w:rPr>
              <w:t>Add</w:t>
            </w:r>
            <w:r w:rsidR="00486653">
              <w:rPr>
                <w:rFonts w:cs="Arial"/>
                <w:sz w:val="18"/>
                <w:szCs w:val="18"/>
              </w:rPr>
              <w:t>ed</w:t>
            </w:r>
            <w:r w:rsidRPr="00B62DDF">
              <w:rPr>
                <w:rFonts w:cs="Arial"/>
                <w:sz w:val="18"/>
                <w:szCs w:val="18"/>
              </w:rPr>
              <w:t xml:space="preserve"> 293 new entries based on updates to external sources and recent AICIS assessments or evaluations</w:t>
            </w:r>
            <w:r w:rsidR="00486653">
              <w:rPr>
                <w:rFonts w:cs="Arial"/>
                <w:sz w:val="18"/>
                <w:szCs w:val="18"/>
              </w:rPr>
              <w:t xml:space="preserve"> and u</w:t>
            </w:r>
            <w:r w:rsidRPr="00B62DDF">
              <w:rPr>
                <w:rFonts w:cs="Arial"/>
                <w:sz w:val="18"/>
                <w:szCs w:val="18"/>
              </w:rPr>
              <w:t>pdate</w:t>
            </w:r>
            <w:r w:rsidR="00486653">
              <w:rPr>
                <w:rFonts w:cs="Arial"/>
                <w:sz w:val="18"/>
                <w:szCs w:val="18"/>
              </w:rPr>
              <w:t>d</w:t>
            </w:r>
            <w:r w:rsidRPr="00B62DDF">
              <w:rPr>
                <w:rFonts w:cs="Arial"/>
                <w:sz w:val="18"/>
                <w:szCs w:val="18"/>
              </w:rPr>
              <w:t xml:space="preserve"> 122 existing entries to show they have been added to another source of the </w:t>
            </w:r>
            <w:r w:rsidR="005D5C46" w:rsidRPr="00B62DDF">
              <w:rPr>
                <w:rFonts w:cs="Arial"/>
                <w:sz w:val="18"/>
                <w:szCs w:val="18"/>
              </w:rPr>
              <w:t>list or</w:t>
            </w:r>
            <w:r w:rsidRPr="00B62DDF">
              <w:rPr>
                <w:rFonts w:cs="Arial"/>
                <w:sz w:val="18"/>
                <w:szCs w:val="18"/>
              </w:rPr>
              <w:t xml:space="preserve"> </w:t>
            </w:r>
            <w:r w:rsidR="00486653">
              <w:rPr>
                <w:rFonts w:cs="Arial"/>
                <w:sz w:val="18"/>
                <w:szCs w:val="18"/>
              </w:rPr>
              <w:t>have changed</w:t>
            </w:r>
            <w:r w:rsidRPr="00B62DDF">
              <w:rPr>
                <w:rFonts w:cs="Arial"/>
                <w:sz w:val="18"/>
                <w:szCs w:val="18"/>
              </w:rPr>
              <w:t xml:space="preserve"> chemical hazard details.</w:t>
            </w:r>
            <w:r w:rsidR="00486653">
              <w:rPr>
                <w:rFonts w:cs="Arial"/>
                <w:sz w:val="18"/>
                <w:szCs w:val="18"/>
              </w:rPr>
              <w:t xml:space="preserve"> </w:t>
            </w:r>
          </w:p>
          <w:p w14:paraId="7312A6C8" w14:textId="695DE91C" w:rsidR="00B62DDF" w:rsidRPr="00B62DDF" w:rsidRDefault="00B62DDF" w:rsidP="00B62DDF">
            <w:pPr>
              <w:spacing w:before="0" w:after="0"/>
              <w:contextualSpacing/>
              <w:rPr>
                <w:rFonts w:cs="Arial"/>
                <w:sz w:val="18"/>
                <w:szCs w:val="18"/>
              </w:rPr>
            </w:pPr>
            <w:r w:rsidRPr="00B62DDF">
              <w:rPr>
                <w:rFonts w:cs="Arial"/>
                <w:sz w:val="18"/>
                <w:szCs w:val="18"/>
              </w:rPr>
              <w:t>Correct</w:t>
            </w:r>
            <w:r w:rsidR="00486653">
              <w:rPr>
                <w:rFonts w:cs="Arial"/>
                <w:sz w:val="18"/>
                <w:szCs w:val="18"/>
              </w:rPr>
              <w:t>ed</w:t>
            </w:r>
            <w:r w:rsidRPr="00B62DDF">
              <w:rPr>
                <w:rFonts w:cs="Arial"/>
                <w:sz w:val="18"/>
                <w:szCs w:val="18"/>
              </w:rPr>
              <w:t xml:space="preserve"> the CAS number for bis(</w:t>
            </w:r>
            <w:proofErr w:type="spellStart"/>
            <w:r w:rsidRPr="00B62DDF">
              <w:rPr>
                <w:rFonts w:cs="Arial"/>
                <w:sz w:val="18"/>
                <w:szCs w:val="18"/>
              </w:rPr>
              <w:t>pentachlorophenyl</w:t>
            </w:r>
            <w:proofErr w:type="spellEnd"/>
            <w:r w:rsidRPr="00B62DDF">
              <w:rPr>
                <w:rFonts w:cs="Arial"/>
                <w:sz w:val="18"/>
                <w:szCs w:val="18"/>
              </w:rPr>
              <w:t>) carbonate to 7497-08-7.</w:t>
            </w:r>
          </w:p>
          <w:p w14:paraId="70BC27E9" w14:textId="04289BDF" w:rsidR="00411444" w:rsidRPr="00624B3F" w:rsidRDefault="00B62DDF" w:rsidP="00B62DDF">
            <w:pPr>
              <w:spacing w:before="0" w:after="0"/>
              <w:contextualSpacing/>
              <w:rPr>
                <w:rFonts w:cs="Arial"/>
                <w:sz w:val="18"/>
                <w:szCs w:val="18"/>
              </w:rPr>
            </w:pPr>
            <w:r w:rsidRPr="00B62DDF">
              <w:rPr>
                <w:rFonts w:cs="Arial"/>
                <w:sz w:val="18"/>
                <w:szCs w:val="18"/>
              </w:rPr>
              <w:t>Remove</w:t>
            </w:r>
            <w:r w:rsidR="00486653">
              <w:rPr>
                <w:rFonts w:cs="Arial"/>
                <w:sz w:val="18"/>
                <w:szCs w:val="18"/>
              </w:rPr>
              <w:t>d</w:t>
            </w:r>
            <w:r w:rsidRPr="00B62DDF">
              <w:rPr>
                <w:rFonts w:cs="Arial"/>
                <w:sz w:val="18"/>
                <w:szCs w:val="18"/>
              </w:rPr>
              <w:t xml:space="preserve"> 1,1,1-trichloroethane (CAS number 71-55-6) and fluoro(triphenyl)</w:t>
            </w:r>
            <w:proofErr w:type="spellStart"/>
            <w:r w:rsidRPr="00B62DDF">
              <w:rPr>
                <w:rFonts w:cs="Arial"/>
                <w:sz w:val="18"/>
                <w:szCs w:val="18"/>
              </w:rPr>
              <w:t>stannane</w:t>
            </w:r>
            <w:proofErr w:type="spellEnd"/>
            <w:r w:rsidRPr="00B62DDF">
              <w:rPr>
                <w:rFonts w:cs="Arial"/>
                <w:sz w:val="18"/>
                <w:szCs w:val="18"/>
              </w:rPr>
              <w:t xml:space="preserve"> (CAS number 379-52-5)</w:t>
            </w:r>
            <w:r w:rsidR="007F13F6">
              <w:rPr>
                <w:rFonts w:cs="Arial"/>
                <w:sz w:val="18"/>
                <w:szCs w:val="18"/>
              </w:rPr>
              <w:t xml:space="preserve">. </w:t>
            </w:r>
          </w:p>
        </w:tc>
      </w:tr>
      <w:tr w:rsidR="00411444" w:rsidRPr="00624B3F" w14:paraId="1543F940" w14:textId="7393D4AD" w:rsidTr="00791D8C">
        <w:trPr>
          <w:trHeight w:val="567"/>
        </w:trPr>
        <w:tc>
          <w:tcPr>
            <w:tcW w:w="862" w:type="pct"/>
          </w:tcPr>
          <w:p w14:paraId="1C0DEC12" w14:textId="606FBE19" w:rsidR="00411444" w:rsidRPr="005349B4" w:rsidRDefault="00411444" w:rsidP="003632AA">
            <w:pPr>
              <w:tabs>
                <w:tab w:val="left" w:pos="240"/>
              </w:tabs>
              <w:spacing w:before="0" w:after="0"/>
              <w:contextualSpacing/>
              <w:rPr>
                <w:rFonts w:cs="Arial"/>
                <w:b/>
                <w:bCs/>
                <w:i/>
                <w:iCs/>
                <w:szCs w:val="20"/>
              </w:rPr>
            </w:pPr>
            <w:r w:rsidRPr="005349B4">
              <w:rPr>
                <w:rFonts w:cs="Arial"/>
                <w:i/>
                <w:iCs/>
                <w:szCs w:val="20"/>
              </w:rPr>
              <w:t>8.2</w:t>
            </w:r>
          </w:p>
        </w:tc>
        <w:tc>
          <w:tcPr>
            <w:tcW w:w="4138" w:type="pct"/>
          </w:tcPr>
          <w:p w14:paraId="22864CFB" w14:textId="3C3419DD" w:rsidR="00411444" w:rsidRPr="00624B3F" w:rsidRDefault="00B62DDF" w:rsidP="00FE7676">
            <w:pPr>
              <w:spacing w:before="0" w:after="0"/>
              <w:contextualSpacing/>
              <w:rPr>
                <w:rFonts w:cs="Arial"/>
                <w:sz w:val="18"/>
                <w:szCs w:val="18"/>
              </w:rPr>
            </w:pPr>
            <w:r>
              <w:rPr>
                <w:rFonts w:cs="Arial"/>
                <w:sz w:val="18"/>
                <w:szCs w:val="18"/>
              </w:rPr>
              <w:t xml:space="preserve">In the introductory text replaced </w:t>
            </w:r>
            <w:r w:rsidRPr="00B62DDF">
              <w:rPr>
                <w:rFonts w:cs="Arial"/>
                <w:sz w:val="18"/>
                <w:szCs w:val="18"/>
              </w:rPr>
              <w:t>'provide an overview' with 'show'</w:t>
            </w:r>
            <w:r>
              <w:rPr>
                <w:rFonts w:cs="Arial"/>
                <w:sz w:val="18"/>
                <w:szCs w:val="18"/>
              </w:rPr>
              <w:t xml:space="preserve">. </w:t>
            </w:r>
            <w:r>
              <w:rPr>
                <w:rFonts w:cs="Arial"/>
                <w:sz w:val="18"/>
                <w:szCs w:val="18"/>
              </w:rPr>
              <w:br/>
            </w:r>
            <w:r w:rsidR="00D919DA">
              <w:rPr>
                <w:rFonts w:cs="Arial"/>
                <w:sz w:val="18"/>
                <w:szCs w:val="18"/>
              </w:rPr>
              <w:t xml:space="preserve">Updated the website links for the </w:t>
            </w:r>
            <w:r>
              <w:rPr>
                <w:rFonts w:cs="Arial"/>
                <w:sz w:val="18"/>
                <w:szCs w:val="18"/>
              </w:rPr>
              <w:t>Tox21</w:t>
            </w:r>
            <w:r w:rsidR="00D919DA">
              <w:rPr>
                <w:rFonts w:cs="Arial"/>
                <w:sz w:val="18"/>
                <w:szCs w:val="18"/>
              </w:rPr>
              <w:t xml:space="preserve"> in silico model</w:t>
            </w:r>
            <w:r w:rsidR="00FE7676">
              <w:rPr>
                <w:rFonts w:cs="Arial"/>
                <w:sz w:val="18"/>
                <w:szCs w:val="18"/>
              </w:rPr>
              <w:t>.</w:t>
            </w:r>
          </w:p>
        </w:tc>
      </w:tr>
      <w:tr w:rsidR="00411444" w:rsidRPr="00624B3F" w14:paraId="6284BC06" w14:textId="77777777" w:rsidTr="00791D8C">
        <w:trPr>
          <w:trHeight w:val="567"/>
        </w:trPr>
        <w:tc>
          <w:tcPr>
            <w:tcW w:w="862" w:type="pct"/>
          </w:tcPr>
          <w:p w14:paraId="34E85483" w14:textId="77777777" w:rsidR="00411444" w:rsidRPr="005349B4" w:rsidRDefault="00411444" w:rsidP="003632AA">
            <w:pPr>
              <w:tabs>
                <w:tab w:val="left" w:pos="240"/>
              </w:tabs>
              <w:spacing w:before="0" w:after="0"/>
              <w:contextualSpacing/>
              <w:rPr>
                <w:rFonts w:cs="Arial"/>
                <w:b/>
                <w:bCs/>
                <w:i/>
                <w:iCs/>
                <w:szCs w:val="20"/>
              </w:rPr>
            </w:pPr>
            <w:r w:rsidRPr="005349B4">
              <w:rPr>
                <w:rFonts w:cs="Arial"/>
                <w:i/>
                <w:iCs/>
                <w:szCs w:val="20"/>
              </w:rPr>
              <w:t>8.4.1</w:t>
            </w:r>
          </w:p>
        </w:tc>
        <w:tc>
          <w:tcPr>
            <w:tcW w:w="4138" w:type="pct"/>
          </w:tcPr>
          <w:p w14:paraId="402EE7F0" w14:textId="4CC52DE1" w:rsidR="00411444" w:rsidRPr="00624B3F" w:rsidRDefault="00B62DDF" w:rsidP="002E3F00">
            <w:pPr>
              <w:spacing w:before="0" w:after="0"/>
              <w:contextualSpacing/>
              <w:rPr>
                <w:rFonts w:cs="Arial"/>
                <w:sz w:val="18"/>
                <w:szCs w:val="18"/>
              </w:rPr>
            </w:pPr>
            <w:r>
              <w:rPr>
                <w:rFonts w:cs="Arial"/>
                <w:sz w:val="18"/>
                <w:szCs w:val="18"/>
              </w:rPr>
              <w:t>C</w:t>
            </w:r>
            <w:r w:rsidRPr="00B62DDF">
              <w:rPr>
                <w:rFonts w:cs="Arial"/>
                <w:sz w:val="18"/>
                <w:szCs w:val="18"/>
              </w:rPr>
              <w:t>hange</w:t>
            </w:r>
            <w:r>
              <w:rPr>
                <w:rFonts w:cs="Arial"/>
                <w:sz w:val="18"/>
                <w:szCs w:val="18"/>
              </w:rPr>
              <w:t xml:space="preserve">d the </w:t>
            </w:r>
            <w:r w:rsidRPr="00B62DDF">
              <w:rPr>
                <w:rFonts w:cs="Arial"/>
                <w:sz w:val="18"/>
                <w:szCs w:val="18"/>
              </w:rPr>
              <w:t>words</w:t>
            </w:r>
            <w:r>
              <w:rPr>
                <w:rFonts w:cs="Arial"/>
                <w:sz w:val="18"/>
                <w:szCs w:val="18"/>
              </w:rPr>
              <w:t xml:space="preserve"> ‘To’ and ‘For’</w:t>
            </w:r>
            <w:r w:rsidRPr="00B62DDF">
              <w:rPr>
                <w:rFonts w:cs="Arial"/>
                <w:sz w:val="18"/>
                <w:szCs w:val="18"/>
              </w:rPr>
              <w:t xml:space="preserve"> to lowercase in the table row for ‘Acute oral toxicity – in vitro’ in </w:t>
            </w:r>
            <w:r w:rsidR="002E3F00" w:rsidRPr="002E3F00">
              <w:rPr>
                <w:rFonts w:cs="Arial"/>
                <w:sz w:val="18"/>
                <w:szCs w:val="18"/>
              </w:rPr>
              <w:t>the ‘Equivalent test guidelines’ column of the table</w:t>
            </w:r>
            <w:r w:rsidR="002E3F00">
              <w:rPr>
                <w:rFonts w:cs="Arial"/>
                <w:sz w:val="18"/>
                <w:szCs w:val="18"/>
              </w:rPr>
              <w:t>.</w:t>
            </w:r>
          </w:p>
        </w:tc>
      </w:tr>
      <w:tr w:rsidR="00411444" w:rsidRPr="00624B3F" w14:paraId="4EE476F5" w14:textId="77777777" w:rsidTr="00791D8C">
        <w:trPr>
          <w:trHeight w:val="567"/>
        </w:trPr>
        <w:tc>
          <w:tcPr>
            <w:tcW w:w="862" w:type="pct"/>
          </w:tcPr>
          <w:p w14:paraId="1F95DCCD" w14:textId="77777777" w:rsidR="00411444" w:rsidRPr="005349B4" w:rsidRDefault="00411444" w:rsidP="003632AA">
            <w:pPr>
              <w:tabs>
                <w:tab w:val="left" w:pos="240"/>
              </w:tabs>
              <w:spacing w:before="0" w:after="0"/>
              <w:contextualSpacing/>
              <w:rPr>
                <w:rFonts w:cs="Arial"/>
                <w:b/>
                <w:bCs/>
                <w:i/>
                <w:iCs/>
                <w:szCs w:val="20"/>
              </w:rPr>
            </w:pPr>
            <w:r w:rsidRPr="005349B4">
              <w:rPr>
                <w:rFonts w:cs="Arial"/>
                <w:i/>
                <w:iCs/>
                <w:szCs w:val="20"/>
              </w:rPr>
              <w:t>Endnotes</w:t>
            </w:r>
          </w:p>
        </w:tc>
        <w:tc>
          <w:tcPr>
            <w:tcW w:w="4138" w:type="pct"/>
          </w:tcPr>
          <w:p w14:paraId="3311D9FC" w14:textId="57173D34" w:rsidR="00411444" w:rsidRPr="00624B3F" w:rsidRDefault="00411444" w:rsidP="003632AA">
            <w:pPr>
              <w:spacing w:before="0" w:after="0"/>
              <w:contextualSpacing/>
              <w:rPr>
                <w:rFonts w:cs="Arial"/>
                <w:sz w:val="18"/>
                <w:szCs w:val="18"/>
              </w:rPr>
            </w:pPr>
            <w:r>
              <w:rPr>
                <w:rFonts w:cs="Arial"/>
                <w:sz w:val="18"/>
                <w:szCs w:val="18"/>
              </w:rPr>
              <w:t>Updated the endnotes to document the changes in th</w:t>
            </w:r>
            <w:r w:rsidR="00B62DDF">
              <w:rPr>
                <w:rFonts w:cs="Arial"/>
                <w:sz w:val="18"/>
                <w:szCs w:val="18"/>
              </w:rPr>
              <w:t>is</w:t>
            </w:r>
            <w:r>
              <w:rPr>
                <w:rFonts w:cs="Arial"/>
                <w:sz w:val="18"/>
                <w:szCs w:val="18"/>
              </w:rPr>
              <w:t xml:space="preserve"> version.</w:t>
            </w:r>
          </w:p>
        </w:tc>
      </w:tr>
      <w:tr w:rsidR="00F466F1" w:rsidRPr="00624B3F" w14:paraId="05EC33C0" w14:textId="77777777" w:rsidTr="00411444">
        <w:trPr>
          <w:trHeight w:val="567"/>
        </w:trPr>
        <w:tc>
          <w:tcPr>
            <w:tcW w:w="862" w:type="pct"/>
          </w:tcPr>
          <w:p w14:paraId="04C62388" w14:textId="3310EEB6" w:rsidR="00F466F1" w:rsidRPr="005349B4" w:rsidRDefault="00F466F1" w:rsidP="003632AA">
            <w:pPr>
              <w:tabs>
                <w:tab w:val="left" w:pos="240"/>
              </w:tabs>
              <w:spacing w:before="0" w:after="0"/>
              <w:contextualSpacing/>
              <w:rPr>
                <w:rFonts w:cs="Arial"/>
                <w:i/>
                <w:iCs/>
                <w:szCs w:val="20"/>
              </w:rPr>
            </w:pPr>
            <w:r>
              <w:rPr>
                <w:rFonts w:cs="Arial"/>
                <w:i/>
                <w:iCs/>
                <w:szCs w:val="20"/>
              </w:rPr>
              <w:t>Footer</w:t>
            </w:r>
          </w:p>
        </w:tc>
        <w:tc>
          <w:tcPr>
            <w:tcW w:w="4138" w:type="pct"/>
          </w:tcPr>
          <w:p w14:paraId="404DDB8B" w14:textId="6F9721A9" w:rsidR="00F466F1" w:rsidRDefault="00F466F1" w:rsidP="003632AA">
            <w:pPr>
              <w:spacing w:before="0" w:after="0"/>
              <w:contextualSpacing/>
              <w:rPr>
                <w:rFonts w:cs="Arial"/>
                <w:sz w:val="18"/>
                <w:szCs w:val="18"/>
              </w:rPr>
            </w:pPr>
            <w:r>
              <w:rPr>
                <w:rFonts w:cs="Arial"/>
                <w:sz w:val="18"/>
                <w:szCs w:val="18"/>
              </w:rPr>
              <w:t>Updated the version details</w:t>
            </w:r>
          </w:p>
        </w:tc>
      </w:tr>
    </w:tbl>
    <w:p w14:paraId="2DB469C0" w14:textId="77777777" w:rsidR="001D234B" w:rsidRDefault="001D234B" w:rsidP="5E1450C1"/>
    <w:p w14:paraId="7D49AEEE" w14:textId="77777777" w:rsidR="00F84DD8" w:rsidRPr="007D4834" w:rsidRDefault="00F84DD8" w:rsidP="00F84DD8"/>
    <w:p w14:paraId="0EC8EBE8" w14:textId="77777777" w:rsidR="00F84DD8" w:rsidRDefault="00F84DD8" w:rsidP="00F84DD8">
      <w:pPr>
        <w:pStyle w:val="BoxHeadingRED"/>
        <w:sectPr w:rsidR="00F84DD8" w:rsidSect="001A160B">
          <w:headerReference w:type="even" r:id="rId50"/>
          <w:headerReference w:type="default" r:id="rId51"/>
          <w:footerReference w:type="even" r:id="rId52"/>
          <w:footerReference w:type="default" r:id="rId53"/>
          <w:headerReference w:type="first" r:id="rId54"/>
          <w:footerReference w:type="first" r:id="rId55"/>
          <w:pgSz w:w="11906" w:h="16838"/>
          <w:pgMar w:top="1418" w:right="1134" w:bottom="1418" w:left="1134" w:header="709" w:footer="448" w:gutter="0"/>
          <w:pgNumType w:start="1"/>
          <w:cols w:space="708"/>
          <w:titlePg/>
          <w:docGrid w:linePitch="360"/>
        </w:sectPr>
      </w:pPr>
    </w:p>
    <w:p w14:paraId="4D0ED81B" w14:textId="77777777" w:rsidR="00DE31E7" w:rsidRDefault="00DE31E7" w:rsidP="002F24F0"/>
    <w:p w14:paraId="10B9D73B" w14:textId="77777777" w:rsidR="00800F7F" w:rsidRDefault="00800F7F">
      <w:pPr>
        <w:spacing w:before="0" w:beforeAutospacing="0" w:after="160" w:afterAutospacing="0" w:line="259" w:lineRule="auto"/>
      </w:pPr>
    </w:p>
    <w:p w14:paraId="4482A10A" w14:textId="77777777" w:rsidR="00800F7F" w:rsidRDefault="00800F7F">
      <w:pPr>
        <w:spacing w:before="0" w:beforeAutospacing="0" w:after="160" w:afterAutospacing="0" w:line="259" w:lineRule="auto"/>
      </w:pPr>
    </w:p>
    <w:p w14:paraId="6268D5B9" w14:textId="77777777" w:rsidR="00012028" w:rsidRDefault="00012028">
      <w:pPr>
        <w:spacing w:before="0" w:beforeAutospacing="0" w:after="160" w:afterAutospacing="0" w:line="259" w:lineRule="auto"/>
      </w:pPr>
      <w:r>
        <w:br w:type="page"/>
      </w:r>
    </w:p>
    <w:p w14:paraId="6ADBF2EB" w14:textId="77777777" w:rsidR="002F24F0" w:rsidRDefault="002F24F0" w:rsidP="002F24F0"/>
    <w:sectPr w:rsidR="002F24F0" w:rsidSect="00012028">
      <w:footerReference w:type="default" r:id="rId56"/>
      <w:footerReference w:type="first" r:id="rId57"/>
      <w:type w:val="continuous"/>
      <w:pgSz w:w="11906" w:h="16838"/>
      <w:pgMar w:top="1440" w:right="1440" w:bottom="284" w:left="1440" w:header="709"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04D9D" w14:textId="77777777" w:rsidR="00C14F31" w:rsidRDefault="00C14F31" w:rsidP="00D4566B">
      <w:pPr>
        <w:spacing w:before="0" w:after="0"/>
      </w:pPr>
      <w:r>
        <w:separator/>
      </w:r>
    </w:p>
    <w:p w14:paraId="2C2E4ABD" w14:textId="77777777" w:rsidR="00C14F31" w:rsidRDefault="00C14F31"/>
  </w:endnote>
  <w:endnote w:type="continuationSeparator" w:id="0">
    <w:p w14:paraId="2923EFD6" w14:textId="77777777" w:rsidR="00C14F31" w:rsidRDefault="00C14F31" w:rsidP="00D4566B">
      <w:pPr>
        <w:spacing w:before="0" w:after="0"/>
      </w:pPr>
      <w:r>
        <w:continuationSeparator/>
      </w:r>
    </w:p>
    <w:p w14:paraId="62B4B404" w14:textId="77777777" w:rsidR="00C14F31" w:rsidRDefault="00C14F31"/>
  </w:endnote>
  <w:endnote w:type="continuationNotice" w:id="1">
    <w:p w14:paraId="23D4DE48" w14:textId="77777777" w:rsidR="00C14F31" w:rsidRDefault="00C14F31">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78134" w14:textId="2E25239C" w:rsidR="009F3D8E" w:rsidRDefault="009F3D8E">
    <w:pPr>
      <w:pStyle w:val="Footer"/>
    </w:pPr>
    <w:r>
      <w:rPr>
        <w:noProof/>
      </w:rPr>
      <mc:AlternateContent>
        <mc:Choice Requires="wps">
          <w:drawing>
            <wp:anchor distT="0" distB="0" distL="0" distR="0" simplePos="0" relativeHeight="251664384" behindDoc="0" locked="0" layoutInCell="1" allowOverlap="1" wp14:anchorId="61D3E85E" wp14:editId="4F868ABA">
              <wp:simplePos x="635" y="635"/>
              <wp:positionH relativeFrom="page">
                <wp:align>center</wp:align>
              </wp:positionH>
              <wp:positionV relativeFrom="page">
                <wp:align>bottom</wp:align>
              </wp:positionV>
              <wp:extent cx="622300" cy="554355"/>
              <wp:effectExtent l="0" t="0" r="6350" b="0"/>
              <wp:wrapNone/>
              <wp:docPr id="1742793269"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554355"/>
                      </a:xfrm>
                      <a:prstGeom prst="rect">
                        <a:avLst/>
                      </a:prstGeom>
                      <a:noFill/>
                      <a:ln>
                        <a:noFill/>
                      </a:ln>
                    </wps:spPr>
                    <wps:txbx>
                      <w:txbxContent>
                        <w:p w14:paraId="749A126B" w14:textId="55C18CA1" w:rsidR="009F3D8E" w:rsidRPr="009F3D8E" w:rsidRDefault="009F3D8E" w:rsidP="009F3D8E">
                          <w:pPr>
                            <w:spacing w:after="0"/>
                            <w:rPr>
                              <w:rFonts w:ascii="Aptos" w:eastAsia="Aptos" w:hAnsi="Aptos" w:cs="Aptos"/>
                              <w:noProof/>
                              <w:color w:val="FF0000"/>
                              <w:sz w:val="24"/>
                            </w:rPr>
                          </w:pPr>
                          <w:r w:rsidRPr="009F3D8E">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1D3E85E" id="_x0000_t202" coordsize="21600,21600" o:spt="202" path="m,l,21600r21600,l21600,xe">
              <v:stroke joinstyle="miter"/>
              <v:path gradientshapeok="t" o:connecttype="rect"/>
            </v:shapetype>
            <v:shape id="Text Box 7" o:spid="_x0000_s1028" type="#_x0000_t202" alt="OFFICIAL" style="position:absolute;margin-left:0;margin-top:0;width:49pt;height:43.6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" filled="f" stroked="f">
              <v:textbox style="mso-fit-shape-to-text:t" inset="0,0,0,15pt">
                <w:txbxContent>
                  <w:p w14:paraId="749A126B" w14:textId="55C18CA1" w:rsidR="009F3D8E" w:rsidRPr="009F3D8E" w:rsidRDefault="009F3D8E" w:rsidP="009F3D8E">
                    <w:pPr>
                      <w:spacing w:after="0"/>
                      <w:rPr>
                        <w:rFonts w:ascii="Aptos" w:eastAsia="Aptos" w:hAnsi="Aptos" w:cs="Aptos"/>
                        <w:noProof/>
                        <w:color w:val="FF0000"/>
                        <w:sz w:val="24"/>
                      </w:rPr>
                    </w:pPr>
                    <w:r w:rsidRPr="009F3D8E">
                      <w:rPr>
                        <w:rFonts w:ascii="Aptos" w:eastAsia="Aptos" w:hAnsi="Aptos" w:cs="Aptos"/>
                        <w:noProof/>
                        <w:color w:val="FF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B2712" w14:textId="023ECCA6" w:rsidR="00F84DD8" w:rsidRPr="007B05F2" w:rsidRDefault="009F3D8E" w:rsidP="00116C4C">
    <w:pPr>
      <w:pStyle w:val="Footer"/>
      <w:tabs>
        <w:tab w:val="clear" w:pos="4513"/>
        <w:tab w:val="clear" w:pos="9026"/>
        <w:tab w:val="right" w:pos="9638"/>
      </w:tabs>
      <w:spacing w:before="100" w:after="100"/>
      <w:rPr>
        <w:sz w:val="18"/>
        <w:szCs w:val="18"/>
      </w:rPr>
    </w:pPr>
    <w:r>
      <w:rPr>
        <w:noProof/>
        <w:sz w:val="18"/>
        <w:szCs w:val="18"/>
      </w:rPr>
      <mc:AlternateContent>
        <mc:Choice Requires="wps">
          <w:drawing>
            <wp:anchor distT="0" distB="0" distL="0" distR="0" simplePos="0" relativeHeight="251665408" behindDoc="0" locked="0" layoutInCell="1" allowOverlap="1" wp14:anchorId="22FE9E60" wp14:editId="581EF929">
              <wp:simplePos x="720725" y="10099040"/>
              <wp:positionH relativeFrom="page">
                <wp:align>center</wp:align>
              </wp:positionH>
              <wp:positionV relativeFrom="page">
                <wp:align>bottom</wp:align>
              </wp:positionV>
              <wp:extent cx="622300" cy="554355"/>
              <wp:effectExtent l="0" t="0" r="6350" b="0"/>
              <wp:wrapNone/>
              <wp:docPr id="1909854562"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554355"/>
                      </a:xfrm>
                      <a:prstGeom prst="rect">
                        <a:avLst/>
                      </a:prstGeom>
                      <a:noFill/>
                      <a:ln>
                        <a:noFill/>
                      </a:ln>
                    </wps:spPr>
                    <wps:txbx>
                      <w:txbxContent>
                        <w:p w14:paraId="568E2741" w14:textId="2684DB7B" w:rsidR="009F3D8E" w:rsidRPr="009F3D8E" w:rsidRDefault="009F3D8E" w:rsidP="009F3D8E">
                          <w:pPr>
                            <w:spacing w:after="0"/>
                            <w:rPr>
                              <w:rFonts w:ascii="Aptos" w:eastAsia="Aptos" w:hAnsi="Aptos" w:cs="Aptos"/>
                              <w:noProof/>
                              <w:color w:val="FF0000"/>
                              <w:sz w:val="24"/>
                            </w:rPr>
                          </w:pPr>
                          <w:r w:rsidRPr="009F3D8E">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2FE9E60" id="_x0000_t202" coordsize="21600,21600" o:spt="202" path="m,l,21600r21600,l21600,xe">
              <v:stroke joinstyle="miter"/>
              <v:path gradientshapeok="t" o:connecttype="rect"/>
            </v:shapetype>
            <v:shape id="Text Box 8" o:spid="_x0000_s1029" type="#_x0000_t202" alt="OFFICIAL" style="position:absolute;margin-left:0;margin-top:0;width:49pt;height:43.65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" filled="f" stroked="f">
              <v:textbox style="mso-fit-shape-to-text:t" inset="0,0,0,15pt">
                <w:txbxContent>
                  <w:p w14:paraId="568E2741" w14:textId="2684DB7B" w:rsidR="009F3D8E" w:rsidRPr="009F3D8E" w:rsidRDefault="009F3D8E" w:rsidP="009F3D8E">
                    <w:pPr>
                      <w:spacing w:after="0"/>
                      <w:rPr>
                        <w:rFonts w:ascii="Aptos" w:eastAsia="Aptos" w:hAnsi="Aptos" w:cs="Aptos"/>
                        <w:noProof/>
                        <w:color w:val="FF0000"/>
                        <w:sz w:val="24"/>
                      </w:rPr>
                    </w:pPr>
                    <w:r w:rsidRPr="009F3D8E">
                      <w:rPr>
                        <w:rFonts w:ascii="Aptos" w:eastAsia="Aptos" w:hAnsi="Aptos" w:cs="Aptos"/>
                        <w:noProof/>
                        <w:color w:val="FF0000"/>
                        <w:sz w:val="24"/>
                      </w:rPr>
                      <w:t>OFFICIAL</w:t>
                    </w:r>
                  </w:p>
                </w:txbxContent>
              </v:textbox>
              <w10:wrap anchorx="page" anchory="page"/>
            </v:shape>
          </w:pict>
        </mc:Fallback>
      </mc:AlternateContent>
    </w:r>
    <w:r w:rsidR="00F84DD8" w:rsidRPr="007B05F2">
      <w:rPr>
        <w:sz w:val="18"/>
        <w:szCs w:val="18"/>
      </w:rPr>
      <w:t xml:space="preserve">Industrial Chemicals Categorisation Guidelines </w:t>
    </w:r>
    <w:r w:rsidR="00D701BA">
      <w:rPr>
        <w:sz w:val="18"/>
        <w:szCs w:val="18"/>
      </w:rPr>
      <w:t>01 September 202</w:t>
    </w:r>
    <w:r w:rsidR="00F85B3F">
      <w:rPr>
        <w:sz w:val="18"/>
        <w:szCs w:val="18"/>
      </w:rPr>
      <w:t>6</w:t>
    </w:r>
    <w:r w:rsidR="00F84DD8" w:rsidRPr="007B05F2">
      <w:rPr>
        <w:sz w:val="18"/>
        <w:szCs w:val="18"/>
      </w:rPr>
      <w:tab/>
      <w:t xml:space="preserve">Page </w:t>
    </w:r>
    <w:r w:rsidR="00F84DD8" w:rsidRPr="007B05F2">
      <w:rPr>
        <w:sz w:val="18"/>
        <w:szCs w:val="18"/>
      </w:rPr>
      <w:fldChar w:fldCharType="begin"/>
    </w:r>
    <w:r w:rsidR="00F84DD8" w:rsidRPr="007B05F2">
      <w:rPr>
        <w:sz w:val="18"/>
        <w:szCs w:val="18"/>
      </w:rPr>
      <w:instrText xml:space="preserve"> PAGE   \* MERGEFORMAT </w:instrText>
    </w:r>
    <w:r w:rsidR="00F84DD8" w:rsidRPr="007B05F2">
      <w:rPr>
        <w:sz w:val="18"/>
        <w:szCs w:val="18"/>
      </w:rPr>
      <w:fldChar w:fldCharType="separate"/>
    </w:r>
    <w:r w:rsidR="00F84DD8" w:rsidRPr="007B05F2">
      <w:rPr>
        <w:noProof/>
        <w:sz w:val="18"/>
        <w:szCs w:val="18"/>
      </w:rPr>
      <w:t>4</w:t>
    </w:r>
    <w:r w:rsidR="00F84DD8" w:rsidRPr="007B05F2">
      <w:rPr>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7020556B" w14:paraId="33254734" w14:textId="77777777" w:rsidTr="7020556B">
      <w:trPr>
        <w:trHeight w:val="300"/>
      </w:trPr>
      <w:tc>
        <w:tcPr>
          <w:tcW w:w="3020" w:type="dxa"/>
        </w:tcPr>
        <w:p w14:paraId="750BEB2F" w14:textId="3CA50234" w:rsidR="7020556B" w:rsidRDefault="009F3D8E" w:rsidP="7020556B">
          <w:pPr>
            <w:pStyle w:val="Header"/>
            <w:ind w:left="-115"/>
          </w:pPr>
          <w:r>
            <w:rPr>
              <w:noProof/>
            </w:rPr>
            <mc:AlternateContent>
              <mc:Choice Requires="wps">
                <w:drawing>
                  <wp:anchor distT="0" distB="0" distL="0" distR="0" simplePos="0" relativeHeight="251663360" behindDoc="0" locked="0" layoutInCell="1" allowOverlap="1" wp14:anchorId="215257B0" wp14:editId="20F9CB1A">
                    <wp:simplePos x="792480" y="9715500"/>
                    <wp:positionH relativeFrom="page">
                      <wp:align>center</wp:align>
                    </wp:positionH>
                    <wp:positionV relativeFrom="page">
                      <wp:align>bottom</wp:align>
                    </wp:positionV>
                    <wp:extent cx="622300" cy="554355"/>
                    <wp:effectExtent l="0" t="0" r="6350" b="0"/>
                    <wp:wrapNone/>
                    <wp:docPr id="1783738062"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554355"/>
                            </a:xfrm>
                            <a:prstGeom prst="rect">
                              <a:avLst/>
                            </a:prstGeom>
                            <a:noFill/>
                            <a:ln>
                              <a:noFill/>
                            </a:ln>
                          </wps:spPr>
                          <wps:txbx>
                            <w:txbxContent>
                              <w:p w14:paraId="78E6BA44" w14:textId="4684AD8D" w:rsidR="009F3D8E" w:rsidRPr="009F3D8E" w:rsidRDefault="009F3D8E" w:rsidP="009F3D8E">
                                <w:pPr>
                                  <w:spacing w:after="0"/>
                                  <w:rPr>
                                    <w:rFonts w:ascii="Aptos" w:eastAsia="Aptos" w:hAnsi="Aptos" w:cs="Aptos"/>
                                    <w:noProof/>
                                    <w:color w:val="FF0000"/>
                                    <w:sz w:val="24"/>
                                  </w:rPr>
                                </w:pPr>
                                <w:r w:rsidRPr="009F3D8E">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15257B0" id="_x0000_t202" coordsize="21600,21600" o:spt="202" path="m,l,21600r21600,l21600,xe">
                    <v:stroke joinstyle="miter"/>
                    <v:path gradientshapeok="t" o:connecttype="rect"/>
                  </v:shapetype>
                  <v:shape id="Text Box 6" o:spid="_x0000_s1031" type="#_x0000_t202" alt="OFFICIAL" style="position:absolute;left:0;text-align:left;margin-left:0;margin-top:0;width:49pt;height:43.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" filled="f" stroked="f">
                    <v:textbox style="mso-fit-shape-to-text:t" inset="0,0,0,15pt">
                      <w:txbxContent>
                        <w:p w14:paraId="78E6BA44" w14:textId="4684AD8D" w:rsidR="009F3D8E" w:rsidRPr="009F3D8E" w:rsidRDefault="009F3D8E" w:rsidP="009F3D8E">
                          <w:pPr>
                            <w:spacing w:after="0"/>
                            <w:rPr>
                              <w:rFonts w:ascii="Aptos" w:eastAsia="Aptos" w:hAnsi="Aptos" w:cs="Aptos"/>
                              <w:noProof/>
                              <w:color w:val="FF0000"/>
                              <w:sz w:val="24"/>
                            </w:rPr>
                          </w:pPr>
                          <w:r w:rsidRPr="009F3D8E">
                            <w:rPr>
                              <w:rFonts w:ascii="Aptos" w:eastAsia="Aptos" w:hAnsi="Aptos" w:cs="Aptos"/>
                              <w:noProof/>
                              <w:color w:val="FF0000"/>
                              <w:sz w:val="24"/>
                            </w:rPr>
                            <w:t>OFFICIAL</w:t>
                          </w:r>
                        </w:p>
                      </w:txbxContent>
                    </v:textbox>
                    <w10:wrap anchorx="page" anchory="page"/>
                  </v:shape>
                </w:pict>
              </mc:Fallback>
            </mc:AlternateContent>
          </w:r>
        </w:p>
      </w:tc>
      <w:tc>
        <w:tcPr>
          <w:tcW w:w="3020" w:type="dxa"/>
        </w:tcPr>
        <w:p w14:paraId="654A5E23" w14:textId="77777777" w:rsidR="7020556B" w:rsidRDefault="7020556B" w:rsidP="7020556B">
          <w:pPr>
            <w:pStyle w:val="Header"/>
            <w:jc w:val="center"/>
          </w:pPr>
        </w:p>
      </w:tc>
      <w:tc>
        <w:tcPr>
          <w:tcW w:w="3020" w:type="dxa"/>
        </w:tcPr>
        <w:p w14:paraId="710A4C7D" w14:textId="77777777" w:rsidR="7020556B" w:rsidRDefault="7020556B" w:rsidP="7020556B">
          <w:pPr>
            <w:pStyle w:val="Header"/>
            <w:ind w:right="-115"/>
            <w:jc w:val="right"/>
          </w:pPr>
        </w:p>
      </w:tc>
    </w:tr>
  </w:tbl>
  <w:p w14:paraId="38297008" w14:textId="77777777" w:rsidR="000143BA" w:rsidRDefault="000143B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BCE2C" w14:textId="3157735E" w:rsidR="00012028" w:rsidRPr="00012028" w:rsidRDefault="009F3D8E" w:rsidP="003632AA">
    <w:pPr>
      <w:pStyle w:val="Footer"/>
      <w:spacing w:before="100" w:after="100"/>
      <w:ind w:left="-1134"/>
    </w:pPr>
    <w:r>
      <w:rPr>
        <w:noProof/>
        <w:lang w:eastAsia="en-AU"/>
      </w:rPr>
      <mc:AlternateContent>
        <mc:Choice Requires="wps">
          <w:drawing>
            <wp:anchor distT="0" distB="0" distL="0" distR="0" simplePos="0" relativeHeight="251669504" behindDoc="0" locked="0" layoutInCell="1" allowOverlap="1" wp14:anchorId="02F19FEA" wp14:editId="753FFB22">
              <wp:simplePos x="635" y="635"/>
              <wp:positionH relativeFrom="page">
                <wp:align>center</wp:align>
              </wp:positionH>
              <wp:positionV relativeFrom="page">
                <wp:align>bottom</wp:align>
              </wp:positionV>
              <wp:extent cx="622300" cy="554355"/>
              <wp:effectExtent l="0" t="0" r="6350" b="0"/>
              <wp:wrapNone/>
              <wp:docPr id="1392395214"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554355"/>
                      </a:xfrm>
                      <a:prstGeom prst="rect">
                        <a:avLst/>
                      </a:prstGeom>
                      <a:noFill/>
                      <a:ln>
                        <a:noFill/>
                      </a:ln>
                    </wps:spPr>
                    <wps:txbx>
                      <w:txbxContent>
                        <w:p w14:paraId="72920F15" w14:textId="68597CE1" w:rsidR="009F3D8E" w:rsidRPr="009F3D8E" w:rsidRDefault="009F3D8E" w:rsidP="009F3D8E">
                          <w:pPr>
                            <w:spacing w:after="0"/>
                            <w:rPr>
                              <w:rFonts w:ascii="Aptos" w:eastAsia="Aptos" w:hAnsi="Aptos" w:cs="Aptos"/>
                              <w:noProof/>
                              <w:color w:val="FF0000"/>
                              <w:sz w:val="24"/>
                            </w:rPr>
                          </w:pPr>
                          <w:r w:rsidRPr="009F3D8E">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2F19FEA" id="_x0000_t202" coordsize="21600,21600" o:spt="202" path="m,l,21600r21600,l21600,xe">
              <v:stroke joinstyle="miter"/>
              <v:path gradientshapeok="t" o:connecttype="rect"/>
            </v:shapetype>
            <v:shape id="Text Box 12" o:spid="_x0000_s1032" type="#_x0000_t202" alt="OFFICIAL" style="position:absolute;left:0;text-align:left;margin-left:0;margin-top:0;width:49pt;height:43.65pt;z-index:251669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" filled="f" stroked="f">
              <v:textbox style="mso-fit-shape-to-text:t" inset="0,0,0,15pt">
                <w:txbxContent>
                  <w:p w14:paraId="72920F15" w14:textId="68597CE1" w:rsidR="009F3D8E" w:rsidRPr="009F3D8E" w:rsidRDefault="009F3D8E" w:rsidP="009F3D8E">
                    <w:pPr>
                      <w:spacing w:after="0"/>
                      <w:rPr>
                        <w:rFonts w:ascii="Aptos" w:eastAsia="Aptos" w:hAnsi="Aptos" w:cs="Aptos"/>
                        <w:noProof/>
                        <w:color w:val="FF0000"/>
                        <w:sz w:val="24"/>
                      </w:rPr>
                    </w:pPr>
                    <w:r w:rsidRPr="009F3D8E">
                      <w:rPr>
                        <w:rFonts w:ascii="Aptos" w:eastAsia="Aptos" w:hAnsi="Aptos" w:cs="Aptos"/>
                        <w:noProof/>
                        <w:color w:val="FF0000"/>
                        <w:sz w:val="24"/>
                      </w:rPr>
                      <w:t>OFFICIAL</w:t>
                    </w:r>
                  </w:p>
                </w:txbxContent>
              </v:textbox>
              <w10:wrap anchorx="page" anchory="page"/>
            </v:shape>
          </w:pict>
        </mc:Fallback>
      </mc:AlternateContent>
    </w:r>
    <w:r w:rsidR="00012028">
      <w:rPr>
        <w:noProof/>
        <w:lang w:eastAsia="en-AU"/>
      </w:rPr>
      <w:drawing>
        <wp:inline distT="0" distB="0" distL="0" distR="0" wp14:anchorId="3413F401" wp14:editId="7C848BFF">
          <wp:extent cx="7167600" cy="6976800"/>
          <wp:effectExtent l="0" t="0" r="0" b="0"/>
          <wp:docPr id="1094483334" name="Picture 1094483334" descr="Decorative image of blue hexagons" titl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ICIS A4 long document back page imag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167600" cy="6976800"/>
                  </a:xfrm>
                  <a:prstGeom prst="rect">
                    <a:avLst/>
                  </a:prstGeom>
                </pic:spPr>
              </pic:pic>
            </a:graphicData>
          </a:graphic>
        </wp:inline>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020556B" w14:paraId="2F057B36" w14:textId="77777777" w:rsidTr="7020556B">
      <w:trPr>
        <w:trHeight w:val="300"/>
      </w:trPr>
      <w:tc>
        <w:tcPr>
          <w:tcW w:w="3005" w:type="dxa"/>
        </w:tcPr>
        <w:p w14:paraId="3A2562CF" w14:textId="2D6019A4" w:rsidR="7020556B" w:rsidRDefault="009F3D8E" w:rsidP="7020556B">
          <w:pPr>
            <w:pStyle w:val="Header"/>
            <w:ind w:left="-115"/>
          </w:pPr>
          <w:r>
            <w:rPr>
              <w:noProof/>
            </w:rPr>
            <mc:AlternateContent>
              <mc:Choice Requires="wps">
                <w:drawing>
                  <wp:anchor distT="0" distB="0" distL="0" distR="0" simplePos="0" relativeHeight="251668480" behindDoc="0" locked="0" layoutInCell="1" allowOverlap="1" wp14:anchorId="5AC469EA" wp14:editId="1C44006E">
                    <wp:simplePos x="635" y="635"/>
                    <wp:positionH relativeFrom="page">
                      <wp:align>center</wp:align>
                    </wp:positionH>
                    <wp:positionV relativeFrom="page">
                      <wp:align>bottom</wp:align>
                    </wp:positionV>
                    <wp:extent cx="622300" cy="554355"/>
                    <wp:effectExtent l="0" t="0" r="6350" b="0"/>
                    <wp:wrapNone/>
                    <wp:docPr id="1172325767"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554355"/>
                            </a:xfrm>
                            <a:prstGeom prst="rect">
                              <a:avLst/>
                            </a:prstGeom>
                            <a:noFill/>
                            <a:ln>
                              <a:noFill/>
                            </a:ln>
                          </wps:spPr>
                          <wps:txbx>
                            <w:txbxContent>
                              <w:p w14:paraId="226D5865" w14:textId="57E4E252" w:rsidR="009F3D8E" w:rsidRPr="009F3D8E" w:rsidRDefault="009F3D8E" w:rsidP="009F3D8E">
                                <w:pPr>
                                  <w:spacing w:after="0"/>
                                  <w:rPr>
                                    <w:rFonts w:ascii="Aptos" w:eastAsia="Aptos" w:hAnsi="Aptos" w:cs="Aptos"/>
                                    <w:noProof/>
                                    <w:color w:val="FF0000"/>
                                    <w:sz w:val="24"/>
                                  </w:rPr>
                                </w:pPr>
                                <w:r w:rsidRPr="009F3D8E">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AC469EA" id="_x0000_t202" coordsize="21600,21600" o:spt="202" path="m,l,21600r21600,l21600,xe">
                    <v:stroke joinstyle="miter"/>
                    <v:path gradientshapeok="t" o:connecttype="rect"/>
                  </v:shapetype>
                  <v:shape id="Text Box 11" o:spid="_x0000_s1033" type="#_x0000_t202" alt="OFFICIAL" style="position:absolute;left:0;text-align:left;margin-left:0;margin-top:0;width:49pt;height:43.65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" filled="f" stroked="f">
                    <v:textbox style="mso-fit-shape-to-text:t" inset="0,0,0,15pt">
                      <w:txbxContent>
                        <w:p w14:paraId="226D5865" w14:textId="57E4E252" w:rsidR="009F3D8E" w:rsidRPr="009F3D8E" w:rsidRDefault="009F3D8E" w:rsidP="009F3D8E">
                          <w:pPr>
                            <w:spacing w:after="0"/>
                            <w:rPr>
                              <w:rFonts w:ascii="Aptos" w:eastAsia="Aptos" w:hAnsi="Aptos" w:cs="Aptos"/>
                              <w:noProof/>
                              <w:color w:val="FF0000"/>
                              <w:sz w:val="24"/>
                            </w:rPr>
                          </w:pPr>
                          <w:r w:rsidRPr="009F3D8E">
                            <w:rPr>
                              <w:rFonts w:ascii="Aptos" w:eastAsia="Aptos" w:hAnsi="Aptos" w:cs="Aptos"/>
                              <w:noProof/>
                              <w:color w:val="FF0000"/>
                              <w:sz w:val="24"/>
                            </w:rPr>
                            <w:t>OFFICIAL</w:t>
                          </w:r>
                        </w:p>
                      </w:txbxContent>
                    </v:textbox>
                    <w10:wrap anchorx="page" anchory="page"/>
                  </v:shape>
                </w:pict>
              </mc:Fallback>
            </mc:AlternateContent>
          </w:r>
        </w:p>
      </w:tc>
      <w:tc>
        <w:tcPr>
          <w:tcW w:w="3005" w:type="dxa"/>
        </w:tcPr>
        <w:p w14:paraId="474C7AC3" w14:textId="77777777" w:rsidR="7020556B" w:rsidRDefault="7020556B" w:rsidP="7020556B">
          <w:pPr>
            <w:pStyle w:val="Header"/>
            <w:jc w:val="center"/>
          </w:pPr>
        </w:p>
      </w:tc>
      <w:tc>
        <w:tcPr>
          <w:tcW w:w="3005" w:type="dxa"/>
        </w:tcPr>
        <w:p w14:paraId="5C0E6354" w14:textId="77777777" w:rsidR="7020556B" w:rsidRDefault="7020556B" w:rsidP="7020556B">
          <w:pPr>
            <w:pStyle w:val="Header"/>
            <w:ind w:right="-115"/>
            <w:jc w:val="right"/>
          </w:pPr>
        </w:p>
      </w:tc>
    </w:tr>
  </w:tbl>
  <w:p w14:paraId="00549D77" w14:textId="77777777" w:rsidR="000143BA" w:rsidRDefault="000143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64A6B" w14:textId="77777777" w:rsidR="00C14F31" w:rsidRDefault="00C14F31" w:rsidP="00D4566B">
      <w:pPr>
        <w:spacing w:before="0" w:after="0"/>
      </w:pPr>
      <w:r>
        <w:separator/>
      </w:r>
    </w:p>
    <w:p w14:paraId="54B1BAE5" w14:textId="77777777" w:rsidR="00C14F31" w:rsidRDefault="00C14F31"/>
  </w:footnote>
  <w:footnote w:type="continuationSeparator" w:id="0">
    <w:p w14:paraId="77642E18" w14:textId="77777777" w:rsidR="00C14F31" w:rsidRDefault="00C14F31" w:rsidP="00D4566B">
      <w:pPr>
        <w:spacing w:before="0" w:after="0"/>
      </w:pPr>
      <w:r>
        <w:continuationSeparator/>
      </w:r>
    </w:p>
    <w:p w14:paraId="59493897" w14:textId="77777777" w:rsidR="00C14F31" w:rsidRDefault="00C14F31"/>
  </w:footnote>
  <w:footnote w:type="continuationNotice" w:id="1">
    <w:p w14:paraId="2FC75CA0" w14:textId="77777777" w:rsidR="00C14F31" w:rsidRDefault="00C14F31">
      <w:pPr>
        <w:spacing w:before="0" w:after="0"/>
      </w:pPr>
    </w:p>
  </w:footnote>
  <w:footnote w:id="2">
    <w:p w14:paraId="03FBBA57" w14:textId="1E63CE2B" w:rsidR="00C37435" w:rsidRDefault="00C37435" w:rsidP="00791D8C">
      <w:pPr>
        <w:pStyle w:val="FootnoteText"/>
        <w:spacing w:before="100" w:after="100"/>
      </w:pPr>
      <w:r>
        <w:rPr>
          <w:rStyle w:val="FootnoteReference"/>
        </w:rPr>
        <w:footnoteRef/>
      </w:r>
      <w:r>
        <w:t xml:space="preserve"> Published on the OECD website page </w:t>
      </w:r>
      <w:hyperlink r:id="rId1" w:history="1">
        <w:r w:rsidR="00B6004B" w:rsidRPr="00695948">
          <w:rPr>
            <w:rStyle w:val="Hyperlink"/>
          </w:rPr>
          <w:t>https://one.oecd.org/document/ENV/JM/MONO(2012)26/en/pdf</w:t>
        </w:r>
      </w:hyperlink>
      <w:r w:rsidR="00B6004B">
        <w:t xml:space="preserve"> </w:t>
      </w:r>
    </w:p>
  </w:footnote>
  <w:footnote w:id="3">
    <w:p w14:paraId="6B284317" w14:textId="77777777" w:rsidR="00D710B1" w:rsidRDefault="00D710B1">
      <w:pPr>
        <w:pStyle w:val="FootnoteText"/>
      </w:pPr>
      <w:r>
        <w:rPr>
          <w:rStyle w:val="FootnoteReference"/>
        </w:rPr>
        <w:footnoteRef/>
      </w:r>
      <w:r>
        <w:t xml:space="preserve"> </w:t>
      </w:r>
      <w:r w:rsidR="00580223" w:rsidRPr="00580223">
        <w:t>EFSA (European Food Safety Authority), Guidance on the use of the Threshold of Toxicological Concern approach in food safety assessment, EFSA Journal 2019;17(6):5708</w:t>
      </w:r>
    </w:p>
  </w:footnote>
  <w:footnote w:id="4">
    <w:p w14:paraId="02A2BEFF" w14:textId="77777777" w:rsidR="003A2F44" w:rsidRDefault="003A2F44" w:rsidP="00C950E0">
      <w:pPr>
        <w:pStyle w:val="FootnoteText"/>
      </w:pPr>
      <w:r>
        <w:rPr>
          <w:rStyle w:val="FootnoteReference"/>
        </w:rPr>
        <w:footnoteRef/>
      </w:r>
      <w:r>
        <w:t xml:space="preserve"> </w:t>
      </w:r>
      <w:r w:rsidR="00C950E0">
        <w:t>Consistent with the entry in the Poisons Standard [Therapeutic Goods (Poisons Standard – February 2023) Instrument 2023</w:t>
      </w:r>
    </w:p>
  </w:footnote>
  <w:footnote w:id="5">
    <w:p w14:paraId="3885F702" w14:textId="356F48BD" w:rsidR="0016690D" w:rsidRDefault="0016690D" w:rsidP="0065251B">
      <w:r>
        <w:rPr>
          <w:rStyle w:val="FootnoteReference"/>
        </w:rPr>
        <w:footnoteRef/>
      </w:r>
      <w:r>
        <w:t xml:space="preserve"> </w:t>
      </w:r>
      <w:r w:rsidR="00764B42">
        <w:t xml:space="preserve">European Chemical Agency (ECHA) and European Food Safety Authority (EFSA) with the technical support of the Joint Research Centre (JRC), Andersson, N., Arena, M., Auteri, D., Barmaz, S., </w:t>
      </w:r>
      <w:r w:rsidR="00B335BD">
        <w:t>G</w:t>
      </w:r>
      <w:r w:rsidR="00764B42">
        <w:t xml:space="preserve">rignard, E., Kienzler, A., Lepper, P., Lostia, A.M., Munn, S. and Parra Morte, J.M. (2018) ‘Guidance for the identification of endocrine disruptors in the context of Regulations (EU) No 528/2012 and (EC) No 1107/2009’ EFSA Journal 16.6 (2018): e05311. Accessed </w:t>
      </w:r>
      <w:hyperlink r:id="rId2" w:history="1">
        <w:r w:rsidR="00764B42" w:rsidRPr="00121331">
          <w:rPr>
            <w:rStyle w:val="Hyperlink"/>
          </w:rPr>
          <w:t>here</w:t>
        </w:r>
      </w:hyperlink>
      <w:r w:rsidR="00764B42">
        <w:t>.</w:t>
      </w:r>
    </w:p>
  </w:footnote>
  <w:footnote w:id="6">
    <w:p w14:paraId="0661CE51" w14:textId="77777777" w:rsidR="00C652A6" w:rsidRDefault="00C652A6" w:rsidP="0065251B">
      <w:pPr>
        <w:pStyle w:val="FootnoteText"/>
      </w:pPr>
      <w:r>
        <w:rPr>
          <w:rStyle w:val="FootnoteReference"/>
        </w:rPr>
        <w:footnoteRef/>
      </w:r>
      <w:r>
        <w:t xml:space="preserve"> </w:t>
      </w:r>
      <w:r w:rsidR="0065251B">
        <w:t xml:space="preserve"> OECD (2018) ‘OECD Series on Testing and Assessment, No. 150 - Revised Guidance Document 150 on Standardised Test Guidelines for Evaluating Chemicals for Endocrine Disruption.’ OECD, OECD Series on Testing and Assessment, No. 150. Accessed </w:t>
      </w:r>
      <w:hyperlink r:id="rId3" w:history="1">
        <w:r w:rsidR="0065251B" w:rsidRPr="00B3792C">
          <w:rPr>
            <w:rStyle w:val="Hyperlink"/>
          </w:rPr>
          <w:t>here</w:t>
        </w:r>
      </w:hyperlink>
    </w:p>
  </w:footnote>
  <w:footnote w:id="7">
    <w:p w14:paraId="7134A196" w14:textId="77777777" w:rsidR="0068714E" w:rsidRDefault="0068714E" w:rsidP="0068714E">
      <w:r>
        <w:rPr>
          <w:rStyle w:val="FootnoteReference"/>
        </w:rPr>
        <w:footnoteRef/>
      </w:r>
      <w:r>
        <w:t xml:space="preserve"> The information can include that the chemical is an enzyme or a polymer that contains one or more free isocyanate groups.</w:t>
      </w:r>
    </w:p>
    <w:p w14:paraId="0B27DF1F" w14:textId="77777777" w:rsidR="0068714E" w:rsidRDefault="0068714E">
      <w:pPr>
        <w:pStyle w:val="FootnoteText"/>
      </w:pPr>
    </w:p>
  </w:footnote>
  <w:footnote w:id="8">
    <w:p w14:paraId="13A763D5" w14:textId="77777777" w:rsidR="00945AA8" w:rsidRDefault="00945AA8">
      <w:pPr>
        <w:pStyle w:val="FootnoteText"/>
      </w:pPr>
      <w:r>
        <w:rPr>
          <w:rStyle w:val="FootnoteReference"/>
        </w:rPr>
        <w:footnoteRef/>
      </w:r>
      <w:r>
        <w:t xml:space="preserve"> </w:t>
      </w:r>
      <w:r w:rsidR="000E34D3">
        <w:t>This option is available for introductions in human health exposure bands 3 or 4</w:t>
      </w:r>
    </w:p>
  </w:footnote>
  <w:footnote w:id="9">
    <w:p w14:paraId="55D9CF7F" w14:textId="6B70526A" w:rsidR="0074168E" w:rsidRDefault="0074168E">
      <w:pPr>
        <w:pStyle w:val="FootnoteText"/>
      </w:pPr>
      <w:r>
        <w:rPr>
          <w:rStyle w:val="FootnoteReference"/>
        </w:rPr>
        <w:footnoteRef/>
      </w:r>
      <w:r>
        <w:t xml:space="preserve"> This option is available for introductions in human health exposure bands 3 or 4</w:t>
      </w:r>
    </w:p>
  </w:footnote>
  <w:footnote w:id="10">
    <w:p w14:paraId="17ADA55E" w14:textId="77777777" w:rsidR="000E34D3" w:rsidRDefault="000E34D3" w:rsidP="009665B2">
      <w:pPr>
        <w:pStyle w:val="FootnoteText"/>
        <w:spacing w:before="120" w:beforeAutospacing="0" w:after="120" w:afterAutospacing="0"/>
      </w:pPr>
      <w:r>
        <w:rPr>
          <w:rStyle w:val="FootnoteReference"/>
        </w:rPr>
        <w:footnoteRef/>
      </w:r>
      <w:r>
        <w:t xml:space="preserve"> </w:t>
      </w:r>
      <w:r w:rsidR="00D740BE">
        <w:t>This option is only available for introductions in human health exposure band 3</w:t>
      </w:r>
    </w:p>
  </w:footnote>
  <w:footnote w:id="11">
    <w:p w14:paraId="626A2E71" w14:textId="2FA19EB0" w:rsidR="00410301" w:rsidRDefault="00410301">
      <w:pPr>
        <w:pStyle w:val="FootnoteText"/>
      </w:pPr>
      <w:r>
        <w:rPr>
          <w:rStyle w:val="FootnoteReference"/>
        </w:rPr>
        <w:footnoteRef/>
      </w:r>
      <w:r>
        <w:t xml:space="preserve"> This option is available for introductions in human health exposure bands 3 or 4</w:t>
      </w:r>
    </w:p>
  </w:footnote>
  <w:footnote w:id="12">
    <w:p w14:paraId="5BDA1AD9" w14:textId="1790486F" w:rsidR="00F7498D" w:rsidRDefault="00F7498D" w:rsidP="00F7498D">
      <w:pPr>
        <w:pStyle w:val="FootnoteText"/>
      </w:pPr>
      <w:r>
        <w:rPr>
          <w:rStyle w:val="FootnoteReference"/>
        </w:rPr>
        <w:footnoteRef/>
      </w:r>
      <w:r>
        <w:t xml:space="preserve"> This option is available for introductions in human health exposure band 3</w:t>
      </w:r>
    </w:p>
  </w:footnote>
  <w:footnote w:id="13">
    <w:p w14:paraId="43A69E62" w14:textId="77777777" w:rsidR="00C0682F" w:rsidRDefault="00C0682F">
      <w:pPr>
        <w:pStyle w:val="FootnoteText"/>
      </w:pPr>
      <w:r>
        <w:rPr>
          <w:rStyle w:val="FootnoteReference"/>
        </w:rPr>
        <w:footnoteRef/>
      </w:r>
      <w:r>
        <w:t xml:space="preserve"> This option is available for introductions in human health exposure bands 3 or 4</w:t>
      </w:r>
    </w:p>
  </w:footnote>
  <w:footnote w:id="14">
    <w:p w14:paraId="6A16FA9A" w14:textId="77777777" w:rsidR="00C0682F" w:rsidRDefault="00C0682F">
      <w:pPr>
        <w:pStyle w:val="FootnoteText"/>
      </w:pPr>
      <w:r>
        <w:rPr>
          <w:rStyle w:val="FootnoteReference"/>
        </w:rPr>
        <w:footnoteRef/>
      </w:r>
      <w:r>
        <w:t xml:space="preserve"> Low concern reactive functional groups are listed in subclause 2(7) of Schedule 2, Part 1 of the IC General Rules</w:t>
      </w:r>
    </w:p>
  </w:footnote>
  <w:footnote w:id="15">
    <w:p w14:paraId="0E98E075" w14:textId="77777777" w:rsidR="00F82F55" w:rsidRDefault="00F82F55">
      <w:pPr>
        <w:pStyle w:val="FootnoteText"/>
      </w:pPr>
      <w:r>
        <w:rPr>
          <w:rStyle w:val="FootnoteReference"/>
        </w:rPr>
        <w:footnoteRef/>
      </w:r>
      <w:r>
        <w:t xml:space="preserve"> </w:t>
      </w:r>
      <w:r w:rsidR="00B068BA">
        <w:t>Moderate concern reactive functional groups are listed in subclause 2(5) of Schedule 2, Part 1 of the IC General Rules</w:t>
      </w:r>
    </w:p>
  </w:footnote>
  <w:footnote w:id="16">
    <w:p w14:paraId="19E79B4F" w14:textId="77777777" w:rsidR="00370072" w:rsidRDefault="00370072">
      <w:pPr>
        <w:pStyle w:val="FootnoteText"/>
      </w:pPr>
      <w:r>
        <w:rPr>
          <w:rStyle w:val="FootnoteReference"/>
        </w:rPr>
        <w:footnoteRef/>
      </w:r>
      <w:r>
        <w:t xml:space="preserve"> Note that negative results only with key event 1 and key event 2 adverse outcome pathway (AOP) assays will not rule out skin sensitisation potential for some weak skin sensitisers and pre-/pro-hapten fragrance chemicals when using the "2 out of 3" (2o3) defined approach and hence this should be considered when determining an appropriate testing methodology. For further information see: ENV/CBC/MONO(2021)11. </w:t>
      </w:r>
      <w:r w:rsidRPr="00791D8C">
        <w:rPr>
          <w:i/>
          <w:iCs/>
        </w:rPr>
        <w:t>Supporting Document to the OECD Guideline 497 on Defined Approaches for Skin Sensitisation</w:t>
      </w:r>
      <w:r>
        <w:t xml:space="preserve"> </w:t>
      </w:r>
      <w:hyperlink r:id="rId4" w:history="1">
        <w:r w:rsidRPr="00FA059B">
          <w:rPr>
            <w:rStyle w:val="Hyperlink"/>
          </w:rPr>
          <w:t>https://one.oecd.org/document/ENV/CBC/MONO(2021)11/en/pdf</w:t>
        </w:r>
      </w:hyperlink>
    </w:p>
  </w:footnote>
  <w:footnote w:id="17">
    <w:p w14:paraId="653DDF04" w14:textId="77777777" w:rsidR="007B330A" w:rsidRDefault="007B330A" w:rsidP="00D053ED">
      <w:pPr>
        <w:pStyle w:val="FootnoteText"/>
      </w:pPr>
      <w:r>
        <w:rPr>
          <w:rStyle w:val="FootnoteReference"/>
        </w:rPr>
        <w:footnoteRef/>
      </w:r>
      <w:r>
        <w:t xml:space="preserve"> </w:t>
      </w:r>
      <w:r w:rsidR="00B976A3">
        <w:t>This option is only available for introductions in human health exposure band 3</w:t>
      </w:r>
    </w:p>
  </w:footnote>
  <w:footnote w:id="18">
    <w:p w14:paraId="11A19AEF" w14:textId="77777777" w:rsidR="002F7C1D" w:rsidRDefault="002F7C1D" w:rsidP="00D053ED">
      <w:pPr>
        <w:pStyle w:val="FootnoteText"/>
      </w:pPr>
      <w:r>
        <w:rPr>
          <w:rStyle w:val="FootnoteReference"/>
        </w:rPr>
        <w:footnoteRef/>
      </w:r>
      <w:r>
        <w:t xml:space="preserve"> This</w:t>
      </w:r>
      <w:r w:rsidR="00D053ED">
        <w:t xml:space="preserve"> option</w:t>
      </w:r>
      <w:r>
        <w:t xml:space="preserve"> is available for introductions in human health exposure bands 3 or 4</w:t>
      </w:r>
    </w:p>
  </w:footnote>
  <w:footnote w:id="19">
    <w:p w14:paraId="2DF6EC10" w14:textId="5C93A0F4" w:rsidR="00EB6F1A" w:rsidRDefault="00EB6F1A">
      <w:pPr>
        <w:pStyle w:val="FootnoteText"/>
      </w:pPr>
      <w:r>
        <w:rPr>
          <w:rStyle w:val="FootnoteReference"/>
        </w:rPr>
        <w:footnoteRef/>
      </w:r>
      <w:r>
        <w:t xml:space="preserve"> This option is available for introductions in human health exposure bands 3 or 4</w:t>
      </w:r>
    </w:p>
  </w:footnote>
  <w:footnote w:id="20">
    <w:p w14:paraId="2355565F" w14:textId="77777777" w:rsidR="0040022B" w:rsidRDefault="0040022B">
      <w:pPr>
        <w:pStyle w:val="FootnoteText"/>
      </w:pPr>
      <w:r>
        <w:rPr>
          <w:rStyle w:val="FootnoteReference"/>
        </w:rPr>
        <w:footnoteRef/>
      </w:r>
      <w:r>
        <w:t xml:space="preserve"> </w:t>
      </w:r>
      <w:r w:rsidR="00FA3B3A">
        <w:t>This option is only available for introductions in human health exposure band 3</w:t>
      </w:r>
    </w:p>
  </w:footnote>
  <w:footnote w:id="21">
    <w:p w14:paraId="1BDF321C" w14:textId="77777777" w:rsidR="00FA3B3A" w:rsidRDefault="00FA3B3A">
      <w:pPr>
        <w:pStyle w:val="FootnoteText"/>
      </w:pPr>
      <w:r>
        <w:rPr>
          <w:rStyle w:val="FootnoteReference"/>
        </w:rPr>
        <w:footnoteRef/>
      </w:r>
      <w:r>
        <w:t xml:space="preserve"> </w:t>
      </w:r>
      <w:r w:rsidR="00F379C4">
        <w:t>This option is available for introductions in human health exposure bands 3 or 4</w:t>
      </w:r>
    </w:p>
  </w:footnote>
  <w:footnote w:id="22">
    <w:p w14:paraId="5C922D78" w14:textId="77777777" w:rsidR="003B1C9A" w:rsidRDefault="003B1C9A">
      <w:pPr>
        <w:pStyle w:val="FootnoteText"/>
      </w:pPr>
      <w:r>
        <w:rPr>
          <w:rStyle w:val="FootnoteReference"/>
        </w:rPr>
        <w:footnoteRef/>
      </w:r>
      <w:r>
        <w:t xml:space="preserve"> </w:t>
      </w:r>
      <w:r w:rsidR="00DE2C77">
        <w:t>This option is only available for introductions in human health exposure band 3</w:t>
      </w:r>
    </w:p>
  </w:footnote>
  <w:footnote w:id="23">
    <w:p w14:paraId="6EE73181" w14:textId="77777777" w:rsidR="00DE2C77" w:rsidRDefault="00DE2C77">
      <w:pPr>
        <w:pStyle w:val="FootnoteText"/>
      </w:pPr>
      <w:r>
        <w:rPr>
          <w:rStyle w:val="FootnoteReference"/>
        </w:rPr>
        <w:footnoteRef/>
      </w:r>
      <w:r>
        <w:t xml:space="preserve"> </w:t>
      </w:r>
      <w:r w:rsidR="0049640F">
        <w:t>This option is available for introductions in human health exposure bands 3 or 4</w:t>
      </w:r>
    </w:p>
  </w:footnote>
  <w:footnote w:id="24">
    <w:p w14:paraId="0FB7EA9F" w14:textId="77777777" w:rsidR="00472DA3" w:rsidRDefault="00472DA3">
      <w:pPr>
        <w:pStyle w:val="FootnoteText"/>
      </w:pPr>
      <w:r>
        <w:rPr>
          <w:rStyle w:val="FootnoteReference"/>
        </w:rPr>
        <w:footnoteRef/>
      </w:r>
      <w:r>
        <w:t xml:space="preserve"> </w:t>
      </w:r>
      <w:r w:rsidR="0069676F">
        <w:t>This option is available for introductions in human health exposure bands 3 or 4</w:t>
      </w:r>
    </w:p>
  </w:footnote>
  <w:footnote w:id="25">
    <w:p w14:paraId="1A28C857" w14:textId="77777777" w:rsidR="00CB3B12" w:rsidRDefault="00CB3B12">
      <w:pPr>
        <w:pStyle w:val="FootnoteText"/>
      </w:pPr>
      <w:r>
        <w:rPr>
          <w:rStyle w:val="FootnoteReference"/>
        </w:rPr>
        <w:footnoteRef/>
      </w:r>
      <w:r>
        <w:t xml:space="preserve"> </w:t>
      </w:r>
      <w:r w:rsidR="00AC3DCF" w:rsidRPr="008F4E1D">
        <w:t xml:space="preserve">European Chemical Agency (ECHA) and European Food Safety Authority (EFSA) with the technical support of the Joint Research Centre (JRC), Andersson, N., Arena, M., Auteri, D., Barmaz, S., Grignard, E., Kienzler, A., Lepper, P., Lostia, A.M., Munn, S. and Parra Morte, J.M., (2018). ‘Guidance for the identification of endocrine disruptors in the context of Regulations (EU) No 528/2012 and (EC) No 1107/2009.’, </w:t>
      </w:r>
      <w:r w:rsidR="00AC3DCF" w:rsidRPr="008F4E1D">
        <w:rPr>
          <w:i/>
          <w:iCs/>
        </w:rPr>
        <w:t>EFSA Journal</w:t>
      </w:r>
      <w:r w:rsidR="00AC3DCF" w:rsidRPr="008F4E1D">
        <w:t>, 16(6), p.e05311.</w:t>
      </w:r>
      <w:r w:rsidR="00AC3DCF" w:rsidRPr="00045961">
        <w:t xml:space="preserve"> Accessed </w:t>
      </w:r>
      <w:hyperlink r:id="rId5" w:tgtFrame="_blank" w:tooltip="Opens in a new tab/window" w:history="1">
        <w:r w:rsidR="00AC3DCF" w:rsidRPr="00045961">
          <w:rPr>
            <w:rStyle w:val="Hyperlink"/>
          </w:rPr>
          <w:t>here</w:t>
        </w:r>
      </w:hyperlink>
      <w:r w:rsidR="00AC3DCF" w:rsidRPr="00045961">
        <w:t>.</w:t>
      </w:r>
    </w:p>
  </w:footnote>
  <w:footnote w:id="26">
    <w:p w14:paraId="299A7D23" w14:textId="77777777" w:rsidR="00AC3DCF" w:rsidRDefault="00AC3DCF">
      <w:pPr>
        <w:pStyle w:val="FootnoteText"/>
      </w:pPr>
      <w:r>
        <w:rPr>
          <w:rStyle w:val="FootnoteReference"/>
        </w:rPr>
        <w:footnoteRef/>
      </w:r>
      <w:r>
        <w:t xml:space="preserve"> </w:t>
      </w:r>
      <w:r w:rsidR="00984679" w:rsidRPr="00344A36">
        <w:t>OECD (2018)</w:t>
      </w:r>
      <w:r w:rsidR="00984679">
        <w:t xml:space="preserve"> ‘</w:t>
      </w:r>
      <w:r w:rsidR="00984679" w:rsidRPr="00344A36">
        <w:t>OECD Series on Testing and Assessment, No. 150 - Revised Guidance Document 150 on Standardised Test Guidelines for Evaluating Chemicals for Endocrine Disruption.</w:t>
      </w:r>
      <w:r w:rsidR="00984679">
        <w:t xml:space="preserve">’ </w:t>
      </w:r>
      <w:r w:rsidR="00984679" w:rsidRPr="00344A36">
        <w:t xml:space="preserve"> </w:t>
      </w:r>
      <w:r w:rsidR="00984679" w:rsidRPr="006449D8">
        <w:rPr>
          <w:i/>
          <w:iCs/>
        </w:rPr>
        <w:t>OECD</w:t>
      </w:r>
      <w:r w:rsidR="00984679">
        <w:rPr>
          <w:i/>
          <w:iCs/>
        </w:rPr>
        <w:t xml:space="preserve">, </w:t>
      </w:r>
      <w:r w:rsidR="00984679">
        <w:t>OECD</w:t>
      </w:r>
      <w:r w:rsidR="00984679" w:rsidRPr="006449D8">
        <w:rPr>
          <w:i/>
          <w:iCs/>
        </w:rPr>
        <w:t xml:space="preserve"> </w:t>
      </w:r>
      <w:r w:rsidR="00984679" w:rsidRPr="006F1212">
        <w:t>Series on Testing and Assessment, No. 150</w:t>
      </w:r>
      <w:r w:rsidR="00984679">
        <w:t>.</w:t>
      </w:r>
      <w:r w:rsidR="00984679" w:rsidRPr="00045961">
        <w:t xml:space="preserve"> Accessed </w:t>
      </w:r>
      <w:hyperlink r:id="rId6" w:tgtFrame="_blank" w:tooltip="Opens in a new tab/window" w:history="1">
        <w:r w:rsidR="00984679" w:rsidRPr="00045961">
          <w:rPr>
            <w:rStyle w:val="Hyperlink"/>
          </w:rPr>
          <w:t>here</w:t>
        </w:r>
      </w:hyperlink>
      <w:r w:rsidR="00984679" w:rsidRPr="00045961">
        <w:t>.</w:t>
      </w:r>
    </w:p>
  </w:footnote>
  <w:footnote w:id="27">
    <w:p w14:paraId="2ADA554B" w14:textId="77777777" w:rsidR="00E50F37" w:rsidRDefault="00E50F37" w:rsidP="0081100E">
      <w:pPr>
        <w:pStyle w:val="FootnoteText"/>
      </w:pPr>
      <w:r>
        <w:rPr>
          <w:rStyle w:val="FootnoteReference"/>
        </w:rPr>
        <w:footnoteRef/>
      </w:r>
      <w:r>
        <w:t xml:space="preserve"> </w:t>
      </w:r>
      <w:r w:rsidR="005C0D61">
        <w:t xml:space="preserve">If the chemical </w:t>
      </w:r>
      <w:r w:rsidR="005C0D61" w:rsidRPr="0081100E">
        <w:rPr>
          <w:i/>
          <w:iCs/>
        </w:rPr>
        <w:t>is</w:t>
      </w:r>
      <w:r w:rsidR="005C0D61">
        <w:t xml:space="preserve"> a highly branched organic chemical, in silico predictions and read across information cannot be used to demonstrate that the chemical does not have the persistence aspect of the persistent, bioaccumulative and toxic hazard characteristic – only studies on the chemical itself, as described in the next dot point, are acceptable</w:t>
      </w:r>
    </w:p>
  </w:footnote>
  <w:footnote w:id="28">
    <w:p w14:paraId="42F5E8E1" w14:textId="77777777" w:rsidR="00437620" w:rsidRDefault="00437620" w:rsidP="0081100E">
      <w:pPr>
        <w:pStyle w:val="FootnoteText"/>
      </w:pPr>
      <w:r>
        <w:rPr>
          <w:rStyle w:val="FootnoteReference"/>
        </w:rPr>
        <w:footnoteRef/>
      </w:r>
      <w:r>
        <w:t xml:space="preserve"> </w:t>
      </w:r>
      <w:r w:rsidR="00F46447">
        <w:t xml:space="preserve">If the chemical </w:t>
      </w:r>
      <w:r w:rsidR="00F46447" w:rsidRPr="18BCD895">
        <w:rPr>
          <w:i/>
          <w:iCs/>
        </w:rPr>
        <w:t>is</w:t>
      </w:r>
      <w:r w:rsidR="00F46447">
        <w:t xml:space="preserve"> a biocidal active or a persistent, highly branched organic chemical, in silico predictions cannot be used to demonstrate that the chemical does not have the toxicity aspect of the persistent, bioaccumulative and toxic hazard characteristic – only in vivo chronic aquatic toxicity studies, as described in the next dot point, are acceptable.</w:t>
      </w:r>
    </w:p>
  </w:footnote>
  <w:footnote w:id="29">
    <w:p w14:paraId="6EF3C771" w14:textId="77777777" w:rsidR="000A7556" w:rsidRDefault="003152CC" w:rsidP="0081100E">
      <w:pPr>
        <w:pStyle w:val="FootnoteText"/>
      </w:pPr>
      <w:r>
        <w:rPr>
          <w:rStyle w:val="FootnoteReference"/>
        </w:rPr>
        <w:footnoteRef/>
      </w:r>
      <w:r>
        <w:t xml:space="preserve"> </w:t>
      </w:r>
      <w:bookmarkStart w:id="60" w:name="_Hlk161866558"/>
      <w:r w:rsidR="000A7556">
        <w:rPr>
          <w:lang w:val="en-US"/>
        </w:rPr>
        <w:t xml:space="preserve">A combination of the following acute and chronic aquatic toxicity endpoints can be used. </w:t>
      </w:r>
      <w:r w:rsidR="000A7556" w:rsidRPr="007A0B3D">
        <w:rPr>
          <w:lang w:val="en-US"/>
        </w:rPr>
        <w:t>There must be at least one acceptable endpoint for each trophic level.</w:t>
      </w:r>
      <w:bookmarkEnd w:id="60"/>
    </w:p>
    <w:p w14:paraId="193733BD" w14:textId="77777777" w:rsidR="003152CC" w:rsidRDefault="003152CC">
      <w:pPr>
        <w:pStyle w:val="FootnoteText"/>
      </w:pPr>
    </w:p>
  </w:footnote>
  <w:footnote w:id="30">
    <w:p w14:paraId="75C88C89" w14:textId="77777777" w:rsidR="0078341D" w:rsidRDefault="0078341D">
      <w:pPr>
        <w:pStyle w:val="FootnoteText"/>
      </w:pPr>
      <w:r>
        <w:rPr>
          <w:rStyle w:val="FootnoteReference"/>
        </w:rPr>
        <w:footnoteRef/>
      </w:r>
      <w:r>
        <w:t xml:space="preserve"> </w:t>
      </w:r>
      <w:r w:rsidR="009601B3">
        <w:t xml:space="preserve">If the chemical </w:t>
      </w:r>
      <w:r w:rsidR="009601B3" w:rsidRPr="18BCD895">
        <w:rPr>
          <w:i/>
          <w:iCs/>
        </w:rPr>
        <w:t>is</w:t>
      </w:r>
      <w:r w:rsidR="009601B3">
        <w:t xml:space="preserve"> a biocidal active or a persistent, highly branched organic chemical, in silico predictions cannot be used to demonstrate that the chemical does not have the very toxic to any aquatic life hazard characteristic – only in vivo chronic aquatic toxicity studies, as described in the next dot point, are acceptable</w:t>
      </w:r>
    </w:p>
  </w:footnote>
  <w:footnote w:id="31">
    <w:p w14:paraId="29C44A6C" w14:textId="77777777" w:rsidR="005B0269" w:rsidRDefault="009601B3" w:rsidP="005B0269">
      <w:pPr>
        <w:pStyle w:val="FootnoteText"/>
      </w:pPr>
      <w:r>
        <w:rPr>
          <w:rStyle w:val="FootnoteReference"/>
        </w:rPr>
        <w:footnoteRef/>
      </w:r>
      <w:r>
        <w:t xml:space="preserve"> </w:t>
      </w:r>
      <w:r w:rsidR="005B0269">
        <w:rPr>
          <w:lang w:val="en-US"/>
        </w:rPr>
        <w:t xml:space="preserve">A combination of the following acute and chronic aquatic toxicity endpoints can be used. </w:t>
      </w:r>
      <w:r w:rsidR="005B0269" w:rsidRPr="007A0B3D">
        <w:rPr>
          <w:lang w:val="en-US"/>
        </w:rPr>
        <w:t>There must be at least one acceptable endpoint for each trophic level.</w:t>
      </w:r>
    </w:p>
    <w:p w14:paraId="6A67E560" w14:textId="77777777" w:rsidR="009601B3" w:rsidRDefault="009601B3">
      <w:pPr>
        <w:pStyle w:val="FootnoteText"/>
      </w:pPr>
    </w:p>
  </w:footnote>
  <w:footnote w:id="32">
    <w:p w14:paraId="2ED79368" w14:textId="77777777" w:rsidR="0099768F" w:rsidRDefault="0099768F">
      <w:pPr>
        <w:pStyle w:val="FootnoteText"/>
      </w:pPr>
      <w:r>
        <w:rPr>
          <w:rStyle w:val="FootnoteReference"/>
        </w:rPr>
        <w:footnoteRef/>
      </w:r>
      <w:r>
        <w:t xml:space="preserve"> </w:t>
      </w:r>
      <w:r w:rsidR="00180A8D">
        <w:t xml:space="preserve">If the chemical </w:t>
      </w:r>
      <w:r w:rsidR="00180A8D" w:rsidRPr="18BCD895">
        <w:rPr>
          <w:i/>
          <w:iCs/>
        </w:rPr>
        <w:t>is</w:t>
      </w:r>
      <w:r w:rsidR="00180A8D">
        <w:t xml:space="preserve"> a highly branched organic chemical, in silico predictions and read across information cannot be used to demonstrate that the chemical does not have the persistence aspect of the persistent and bioaccumulative hazard characteristic – only studies on the chemical itself, as described in the next dot point, are acceptable</w:t>
      </w:r>
    </w:p>
  </w:footnote>
  <w:footnote w:id="33">
    <w:p w14:paraId="1F3EB61B" w14:textId="77777777" w:rsidR="0006117F" w:rsidRDefault="0095422D" w:rsidP="0006117F">
      <w:pPr>
        <w:pStyle w:val="FootnoteText"/>
      </w:pPr>
      <w:r>
        <w:rPr>
          <w:rStyle w:val="FootnoteReference"/>
        </w:rPr>
        <w:footnoteRef/>
      </w:r>
      <w:r>
        <w:t xml:space="preserve"> </w:t>
      </w:r>
      <w:r w:rsidR="0006117F">
        <w:t xml:space="preserve">If the chemical </w:t>
      </w:r>
      <w:r w:rsidR="0006117F" w:rsidRPr="18BCD895">
        <w:rPr>
          <w:i/>
          <w:iCs/>
        </w:rPr>
        <w:t>is</w:t>
      </w:r>
      <w:r w:rsidR="0006117F">
        <w:t xml:space="preserve"> a highly branched organic chemical, in silico predictions and read across information cannot be used to demonstrate that the chemical does not have the persistence aspect of the persistent and bioaccumulative hazard characteristic – only studies on the chemical itself, as described in the next dot point, are acceptable</w:t>
      </w:r>
    </w:p>
    <w:p w14:paraId="43DCDB90" w14:textId="77777777" w:rsidR="0095422D" w:rsidRDefault="0095422D">
      <w:pPr>
        <w:pStyle w:val="FootnoteText"/>
      </w:pPr>
    </w:p>
  </w:footnote>
  <w:footnote w:id="34">
    <w:p w14:paraId="0ADFEE2B" w14:textId="77777777" w:rsidR="005F5CC6" w:rsidRDefault="005F5CC6">
      <w:pPr>
        <w:pStyle w:val="FootnoteText"/>
      </w:pPr>
      <w:r>
        <w:rPr>
          <w:rStyle w:val="FootnoteReference"/>
        </w:rPr>
        <w:footnoteRef/>
      </w:r>
      <w:r>
        <w:t xml:space="preserve"> </w:t>
      </w:r>
      <w:r w:rsidR="00150010">
        <w:t xml:space="preserve">If the chemical </w:t>
      </w:r>
      <w:r w:rsidR="00150010" w:rsidRPr="18BCD895">
        <w:rPr>
          <w:i/>
          <w:iCs/>
        </w:rPr>
        <w:t>is</w:t>
      </w:r>
      <w:r w:rsidR="00150010">
        <w:t xml:space="preserve"> a biocidal active or a persistent, highly branched organic chemical, in silico predictions cannot be used to demonstrate that the chemical does not have the toxic to any aquatic life hazard characteristic – only in vivo chronic aquatic toxicity studies, as described in the next dot point, are acceptable</w:t>
      </w:r>
    </w:p>
  </w:footnote>
  <w:footnote w:id="35">
    <w:p w14:paraId="4BC0ACB4" w14:textId="77777777" w:rsidR="00017B2F" w:rsidRDefault="00017B2F">
      <w:pPr>
        <w:pStyle w:val="FootnoteText"/>
      </w:pPr>
      <w:r>
        <w:rPr>
          <w:rStyle w:val="FootnoteReference"/>
        </w:rPr>
        <w:footnoteRef/>
      </w:r>
      <w:r>
        <w:t xml:space="preserve"> </w:t>
      </w:r>
      <w:r w:rsidR="00EB5358">
        <w:t xml:space="preserve">If the chemical </w:t>
      </w:r>
      <w:r w:rsidR="00EB5358" w:rsidRPr="18BCD895">
        <w:rPr>
          <w:i/>
          <w:iCs/>
        </w:rPr>
        <w:t>is</w:t>
      </w:r>
      <w:r w:rsidR="00EB5358">
        <w:t xml:space="preserve"> a highly branched organic chemical, in silico predictions and read across information cannot be used to demonstrate that the chemical does not have the hazard characteristic, industrial chemical (other than a polymer) that does not meet the criteria for ready biodegradability – only studies on the chemical itself, as described in the next dot point, are acceptable</w:t>
      </w:r>
    </w:p>
  </w:footnote>
  <w:footnote w:id="36">
    <w:p w14:paraId="39AE615D" w14:textId="77777777" w:rsidR="00465BB0" w:rsidRDefault="00465BB0">
      <w:pPr>
        <w:pStyle w:val="FootnoteText"/>
      </w:pPr>
      <w:r>
        <w:rPr>
          <w:rStyle w:val="FootnoteReference"/>
        </w:rPr>
        <w:footnoteRef/>
      </w:r>
      <w:r>
        <w:t xml:space="preserve"> </w:t>
      </w:r>
      <w:r w:rsidR="00D36BA2">
        <w:t xml:space="preserve">If the chemical </w:t>
      </w:r>
      <w:r w:rsidR="00D36BA2" w:rsidRPr="18BCD895">
        <w:rPr>
          <w:i/>
          <w:iCs/>
        </w:rPr>
        <w:t>is</w:t>
      </w:r>
      <w:r w:rsidR="00D36BA2">
        <w:t xml:space="preserve"> a biocidal active or a persistent, highly branched organic chemical, in silico predictions cannot be used to demonstrate that the chemical does not have the harmful to any aquatic life hazard characteristic – only in vivo chronic aquatic toxicity studies, as described in the next dot point, are acceptable</w:t>
      </w:r>
    </w:p>
  </w:footnote>
  <w:footnote w:id="37">
    <w:p w14:paraId="52C46ABD" w14:textId="77777777" w:rsidR="00E52B0F" w:rsidRDefault="00E52B0F" w:rsidP="00E52B0F">
      <w:pPr>
        <w:pStyle w:val="FootnoteText"/>
      </w:pPr>
      <w:r>
        <w:rPr>
          <w:rStyle w:val="FootnoteReference"/>
        </w:rPr>
        <w:footnoteRef/>
      </w:r>
      <w:r>
        <w:t xml:space="preserve"> Only for the purposes of part 6.5.1 of these Guidelines</w:t>
      </w:r>
    </w:p>
  </w:footnote>
  <w:footnote w:id="38">
    <w:p w14:paraId="543FB0E5" w14:textId="77777777" w:rsidR="00E52B0F" w:rsidRDefault="00E52B0F" w:rsidP="00E52B0F">
      <w:pPr>
        <w:pStyle w:val="FootnoteText"/>
      </w:pPr>
      <w:r>
        <w:rPr>
          <w:rStyle w:val="FootnoteReference"/>
        </w:rPr>
        <w:footnoteRef/>
      </w:r>
      <w:r>
        <w:t xml:space="preserve"> Only for the purposes of part 6.4.1 of these Guidelines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646C4" w14:textId="1230BCB1" w:rsidR="009F3D8E" w:rsidRDefault="009F3D8E">
    <w:pPr>
      <w:pStyle w:val="Header"/>
    </w:pPr>
    <w:r>
      <w:rPr>
        <w:noProof/>
      </w:rPr>
      <mc:AlternateContent>
        <mc:Choice Requires="wps">
          <w:drawing>
            <wp:anchor distT="0" distB="0" distL="0" distR="0" simplePos="0" relativeHeight="251659264" behindDoc="0" locked="0" layoutInCell="1" allowOverlap="1" wp14:anchorId="72C38480" wp14:editId="33ED0B27">
              <wp:simplePos x="635" y="635"/>
              <wp:positionH relativeFrom="page">
                <wp:align>center</wp:align>
              </wp:positionH>
              <wp:positionV relativeFrom="page">
                <wp:align>top</wp:align>
              </wp:positionV>
              <wp:extent cx="622300" cy="554355"/>
              <wp:effectExtent l="0" t="0" r="6350" b="17145"/>
              <wp:wrapNone/>
              <wp:docPr id="150626233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554355"/>
                      </a:xfrm>
                      <a:prstGeom prst="rect">
                        <a:avLst/>
                      </a:prstGeom>
                      <a:noFill/>
                      <a:ln>
                        <a:noFill/>
                      </a:ln>
                    </wps:spPr>
                    <wps:txbx>
                      <w:txbxContent>
                        <w:p w14:paraId="3378DCE9" w14:textId="3EBFB3C8" w:rsidR="009F3D8E" w:rsidRPr="009F3D8E" w:rsidRDefault="009F3D8E" w:rsidP="009F3D8E">
                          <w:pPr>
                            <w:spacing w:after="0"/>
                            <w:rPr>
                              <w:rFonts w:ascii="Aptos" w:eastAsia="Aptos" w:hAnsi="Aptos" w:cs="Aptos"/>
                              <w:noProof/>
                              <w:color w:val="FF0000"/>
                              <w:sz w:val="24"/>
                            </w:rPr>
                          </w:pPr>
                          <w:r w:rsidRPr="009F3D8E">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2C38480" id="_x0000_t202" coordsize="21600,21600" o:spt="202" path="m,l,21600r21600,l21600,xe">
              <v:stroke joinstyle="miter"/>
              <v:path gradientshapeok="t" o:connecttype="rect"/>
            </v:shapetype>
            <v:shape id="Text Box 2" o:spid="_x0000_s1026" type="#_x0000_t202" alt="OFFICIAL" style="position:absolute;margin-left:0;margin-top:0;width:49pt;height:43.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" filled="f" stroked="f">
              <v:textbox style="mso-fit-shape-to-text:t" inset="0,15pt,0,0">
                <w:txbxContent>
                  <w:p w14:paraId="3378DCE9" w14:textId="3EBFB3C8" w:rsidR="009F3D8E" w:rsidRPr="009F3D8E" w:rsidRDefault="009F3D8E" w:rsidP="009F3D8E">
                    <w:pPr>
                      <w:spacing w:after="0"/>
                      <w:rPr>
                        <w:rFonts w:ascii="Aptos" w:eastAsia="Aptos" w:hAnsi="Aptos" w:cs="Aptos"/>
                        <w:noProof/>
                        <w:color w:val="FF0000"/>
                        <w:sz w:val="24"/>
                      </w:rPr>
                    </w:pPr>
                    <w:r w:rsidRPr="009F3D8E">
                      <w:rPr>
                        <w:rFonts w:ascii="Aptos" w:eastAsia="Aptos" w:hAnsi="Aptos" w:cs="Aptos"/>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2DC14" w14:textId="3094E184" w:rsidR="00F84DD8" w:rsidRDefault="009F3D8E" w:rsidP="00A72FB6">
    <w:pPr>
      <w:pStyle w:val="Header"/>
      <w:spacing w:before="100" w:after="100"/>
      <w:ind w:left="-1134"/>
    </w:pPr>
    <w:r>
      <w:rPr>
        <w:noProof/>
      </w:rPr>
      <mc:AlternateContent>
        <mc:Choice Requires="wps">
          <w:drawing>
            <wp:anchor distT="0" distB="0" distL="0" distR="0" simplePos="0" relativeHeight="251660288" behindDoc="0" locked="0" layoutInCell="1" allowOverlap="1" wp14:anchorId="5A9C4624" wp14:editId="37BF5662">
              <wp:simplePos x="720725" y="450850"/>
              <wp:positionH relativeFrom="page">
                <wp:align>center</wp:align>
              </wp:positionH>
              <wp:positionV relativeFrom="page">
                <wp:align>top</wp:align>
              </wp:positionV>
              <wp:extent cx="622300" cy="554355"/>
              <wp:effectExtent l="0" t="0" r="6350" b="17145"/>
              <wp:wrapNone/>
              <wp:docPr id="9356792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554355"/>
                      </a:xfrm>
                      <a:prstGeom prst="rect">
                        <a:avLst/>
                      </a:prstGeom>
                      <a:noFill/>
                      <a:ln>
                        <a:noFill/>
                      </a:ln>
                    </wps:spPr>
                    <wps:txbx>
                      <w:txbxContent>
                        <w:p w14:paraId="2D879ADB" w14:textId="464C9707" w:rsidR="009F3D8E" w:rsidRPr="009F3D8E" w:rsidRDefault="009F3D8E" w:rsidP="009F3D8E">
                          <w:pPr>
                            <w:spacing w:after="0"/>
                            <w:rPr>
                              <w:rFonts w:ascii="Aptos" w:eastAsia="Aptos" w:hAnsi="Aptos" w:cs="Aptos"/>
                              <w:noProof/>
                              <w:color w:val="FF0000"/>
                              <w:sz w:val="24"/>
                            </w:rPr>
                          </w:pPr>
                          <w:r w:rsidRPr="009F3D8E">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A9C4624"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43.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" filled="f" stroked="f">
              <v:textbox style="mso-fit-shape-to-text:t" inset="0,15pt,0,0">
                <w:txbxContent>
                  <w:p w14:paraId="2D879ADB" w14:textId="464C9707" w:rsidR="009F3D8E" w:rsidRPr="009F3D8E" w:rsidRDefault="009F3D8E" w:rsidP="009F3D8E">
                    <w:pPr>
                      <w:spacing w:after="0"/>
                      <w:rPr>
                        <w:rFonts w:ascii="Aptos" w:eastAsia="Aptos" w:hAnsi="Aptos" w:cs="Aptos"/>
                        <w:noProof/>
                        <w:color w:val="FF0000"/>
                        <w:sz w:val="24"/>
                      </w:rPr>
                    </w:pPr>
                    <w:r w:rsidRPr="009F3D8E">
                      <w:rPr>
                        <w:rFonts w:ascii="Aptos" w:eastAsia="Aptos" w:hAnsi="Aptos" w:cs="Aptos"/>
                        <w:noProof/>
                        <w:color w:val="FF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47594" w14:textId="1510C869" w:rsidR="00F84DD8" w:rsidRDefault="009F3D8E" w:rsidP="00B27E4F">
    <w:pPr>
      <w:pStyle w:val="Header"/>
    </w:pPr>
    <w:r>
      <w:rPr>
        <w:noProof/>
        <w:lang w:eastAsia="en-AU"/>
      </w:rPr>
      <mc:AlternateContent>
        <mc:Choice Requires="wps">
          <w:drawing>
            <wp:anchor distT="0" distB="0" distL="0" distR="0" simplePos="0" relativeHeight="251658240" behindDoc="0" locked="0" layoutInCell="1" allowOverlap="1" wp14:anchorId="66A8001A" wp14:editId="6E1CB92E">
              <wp:simplePos x="723900" y="449580"/>
              <wp:positionH relativeFrom="page">
                <wp:align>center</wp:align>
              </wp:positionH>
              <wp:positionV relativeFrom="page">
                <wp:align>top</wp:align>
              </wp:positionV>
              <wp:extent cx="622300" cy="554355"/>
              <wp:effectExtent l="0" t="0" r="6350" b="17145"/>
              <wp:wrapNone/>
              <wp:docPr id="195691793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554355"/>
                      </a:xfrm>
                      <a:prstGeom prst="rect">
                        <a:avLst/>
                      </a:prstGeom>
                      <a:noFill/>
                      <a:ln>
                        <a:noFill/>
                      </a:ln>
                    </wps:spPr>
                    <wps:txbx>
                      <w:txbxContent>
                        <w:p w14:paraId="71AC3705" w14:textId="76C79EEB" w:rsidR="009F3D8E" w:rsidRPr="009F3D8E" w:rsidRDefault="009F3D8E" w:rsidP="009F3D8E">
                          <w:pPr>
                            <w:spacing w:after="0"/>
                            <w:rPr>
                              <w:rFonts w:ascii="Aptos" w:eastAsia="Aptos" w:hAnsi="Aptos" w:cs="Aptos"/>
                              <w:noProof/>
                              <w:color w:val="FF0000"/>
                              <w:sz w:val="24"/>
                            </w:rPr>
                          </w:pPr>
                          <w:r w:rsidRPr="009F3D8E">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6A8001A" id="_x0000_t202" coordsize="21600,21600" o:spt="202" path="m,l,21600r21600,l21600,xe">
              <v:stroke joinstyle="miter"/>
              <v:path gradientshapeok="t" o:connecttype="rect"/>
            </v:shapetype>
            <v:shape id="Text Box 1" o:spid="_x0000_s1030" type="#_x0000_t202" alt="OFFICIAL" style="position:absolute;margin-left:0;margin-top:0;width:49pt;height:43.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" filled="f" stroked="f">
              <v:textbox style="mso-fit-shape-to-text:t" inset="0,15pt,0,0">
                <w:txbxContent>
                  <w:p w14:paraId="71AC3705" w14:textId="76C79EEB" w:rsidR="009F3D8E" w:rsidRPr="009F3D8E" w:rsidRDefault="009F3D8E" w:rsidP="009F3D8E">
                    <w:pPr>
                      <w:spacing w:after="0"/>
                      <w:rPr>
                        <w:rFonts w:ascii="Aptos" w:eastAsia="Aptos" w:hAnsi="Aptos" w:cs="Aptos"/>
                        <w:noProof/>
                        <w:color w:val="FF0000"/>
                        <w:sz w:val="24"/>
                      </w:rPr>
                    </w:pPr>
                    <w:r w:rsidRPr="009F3D8E">
                      <w:rPr>
                        <w:rFonts w:ascii="Aptos" w:eastAsia="Aptos" w:hAnsi="Aptos" w:cs="Aptos"/>
                        <w:noProof/>
                        <w:color w:val="FF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22AFE20"/>
    <w:lvl w:ilvl="0">
      <w:start w:val="1"/>
      <w:numFmt w:val="bullet"/>
      <w:pStyle w:val="ListBullet"/>
      <w:lvlText w:val=""/>
      <w:lvlJc w:val="left"/>
      <w:pPr>
        <w:ind w:left="717" w:hanging="360"/>
      </w:pPr>
      <w:rPr>
        <w:rFonts w:ascii="Symbol" w:hAnsi="Symbol" w:hint="default"/>
        <w:color w:val="0F66B3"/>
      </w:rPr>
    </w:lvl>
  </w:abstractNum>
  <w:abstractNum w:abstractNumId="1" w15:restartNumberingAfterBreak="0">
    <w:nsid w:val="09361591"/>
    <w:multiLevelType w:val="hybridMultilevel"/>
    <w:tmpl w:val="23B8A638"/>
    <w:lvl w:ilvl="0" w:tplc="67C67C46">
      <w:start w:val="1"/>
      <w:numFmt w:val="bullet"/>
      <w:pStyle w:val="List"/>
      <w:lvlText w:val=""/>
      <w:lvlJc w:val="left"/>
      <w:pPr>
        <w:ind w:left="720" w:hanging="360"/>
      </w:pPr>
      <w:rPr>
        <w:rFonts w:ascii="Symbol" w:hAnsi="Symbol" w:hint="default"/>
        <w:color w:val="0F66B3"/>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BBB2592"/>
    <w:multiLevelType w:val="hybridMultilevel"/>
    <w:tmpl w:val="FE9EAF5A"/>
    <w:lvl w:ilvl="0" w:tplc="2F2E6242">
      <w:start w:val="1"/>
      <w:numFmt w:val="decimal"/>
      <w:pStyle w:val="ListParagraph"/>
      <w:lvlText w:val="%1."/>
      <w:lvlJc w:val="left"/>
      <w:pPr>
        <w:ind w:left="1440" w:hanging="360"/>
      </w:pPr>
      <w:rPr>
        <w:rFonts w:hint="default"/>
        <w:color w:val="0563C1" w:themeColor="accent2"/>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 w15:restartNumberingAfterBreak="0">
    <w:nsid w:val="15389847"/>
    <w:multiLevelType w:val="hybridMultilevel"/>
    <w:tmpl w:val="E67E15B8"/>
    <w:lvl w:ilvl="0" w:tplc="777079DE">
      <w:start w:val="1"/>
      <w:numFmt w:val="bullet"/>
      <w:lvlText w:val="o"/>
      <w:lvlJc w:val="left"/>
      <w:pPr>
        <w:ind w:left="1080" w:hanging="360"/>
      </w:pPr>
      <w:rPr>
        <w:rFonts w:ascii="Courier New" w:hAnsi="Courier New" w:hint="default"/>
      </w:rPr>
    </w:lvl>
    <w:lvl w:ilvl="1" w:tplc="D96A4D4A">
      <w:start w:val="1"/>
      <w:numFmt w:val="bullet"/>
      <w:lvlText w:val="o"/>
      <w:lvlJc w:val="left"/>
      <w:pPr>
        <w:ind w:left="1800" w:hanging="360"/>
      </w:pPr>
      <w:rPr>
        <w:rFonts w:ascii="Courier New" w:hAnsi="Courier New" w:hint="default"/>
      </w:rPr>
    </w:lvl>
    <w:lvl w:ilvl="2" w:tplc="9C329C64">
      <w:start w:val="1"/>
      <w:numFmt w:val="bullet"/>
      <w:lvlText w:val=""/>
      <w:lvlJc w:val="left"/>
      <w:pPr>
        <w:ind w:left="2520" w:hanging="360"/>
      </w:pPr>
      <w:rPr>
        <w:rFonts w:ascii="Wingdings" w:hAnsi="Wingdings" w:hint="default"/>
      </w:rPr>
    </w:lvl>
    <w:lvl w:ilvl="3" w:tplc="49FA8320">
      <w:start w:val="1"/>
      <w:numFmt w:val="bullet"/>
      <w:lvlText w:val=""/>
      <w:lvlJc w:val="left"/>
      <w:pPr>
        <w:ind w:left="3240" w:hanging="360"/>
      </w:pPr>
      <w:rPr>
        <w:rFonts w:ascii="Symbol" w:hAnsi="Symbol" w:hint="default"/>
      </w:rPr>
    </w:lvl>
    <w:lvl w:ilvl="4" w:tplc="E4402AF2">
      <w:start w:val="1"/>
      <w:numFmt w:val="bullet"/>
      <w:lvlText w:val="o"/>
      <w:lvlJc w:val="left"/>
      <w:pPr>
        <w:ind w:left="3960" w:hanging="360"/>
      </w:pPr>
      <w:rPr>
        <w:rFonts w:ascii="Courier New" w:hAnsi="Courier New" w:hint="default"/>
      </w:rPr>
    </w:lvl>
    <w:lvl w:ilvl="5" w:tplc="D4A0A3DE">
      <w:start w:val="1"/>
      <w:numFmt w:val="bullet"/>
      <w:lvlText w:val=""/>
      <w:lvlJc w:val="left"/>
      <w:pPr>
        <w:ind w:left="4680" w:hanging="360"/>
      </w:pPr>
      <w:rPr>
        <w:rFonts w:ascii="Wingdings" w:hAnsi="Wingdings" w:hint="default"/>
      </w:rPr>
    </w:lvl>
    <w:lvl w:ilvl="6" w:tplc="E8B02CF8">
      <w:start w:val="1"/>
      <w:numFmt w:val="bullet"/>
      <w:lvlText w:val=""/>
      <w:lvlJc w:val="left"/>
      <w:pPr>
        <w:ind w:left="5400" w:hanging="360"/>
      </w:pPr>
      <w:rPr>
        <w:rFonts w:ascii="Symbol" w:hAnsi="Symbol" w:hint="default"/>
      </w:rPr>
    </w:lvl>
    <w:lvl w:ilvl="7" w:tplc="A0544A8C">
      <w:start w:val="1"/>
      <w:numFmt w:val="bullet"/>
      <w:lvlText w:val="o"/>
      <w:lvlJc w:val="left"/>
      <w:pPr>
        <w:ind w:left="6120" w:hanging="360"/>
      </w:pPr>
      <w:rPr>
        <w:rFonts w:ascii="Courier New" w:hAnsi="Courier New" w:hint="default"/>
      </w:rPr>
    </w:lvl>
    <w:lvl w:ilvl="8" w:tplc="66F07186">
      <w:start w:val="1"/>
      <w:numFmt w:val="bullet"/>
      <w:lvlText w:val=""/>
      <w:lvlJc w:val="left"/>
      <w:pPr>
        <w:ind w:left="6840" w:hanging="360"/>
      </w:pPr>
      <w:rPr>
        <w:rFonts w:ascii="Wingdings" w:hAnsi="Wingdings" w:hint="default"/>
      </w:rPr>
    </w:lvl>
  </w:abstractNum>
  <w:abstractNum w:abstractNumId="4" w15:restartNumberingAfterBreak="0">
    <w:nsid w:val="319C9D6E"/>
    <w:multiLevelType w:val="hybridMultilevel"/>
    <w:tmpl w:val="1FCC2118"/>
    <w:lvl w:ilvl="0" w:tplc="191EDC1C">
      <w:start w:val="1"/>
      <w:numFmt w:val="bullet"/>
      <w:lvlText w:val="o"/>
      <w:lvlJc w:val="left"/>
      <w:pPr>
        <w:ind w:left="1080" w:hanging="360"/>
      </w:pPr>
      <w:rPr>
        <w:rFonts w:ascii="Courier New" w:hAnsi="Courier New" w:hint="default"/>
      </w:rPr>
    </w:lvl>
    <w:lvl w:ilvl="1" w:tplc="B0ECE74A">
      <w:start w:val="1"/>
      <w:numFmt w:val="bullet"/>
      <w:lvlText w:val="o"/>
      <w:lvlJc w:val="left"/>
      <w:pPr>
        <w:ind w:left="1800" w:hanging="360"/>
      </w:pPr>
      <w:rPr>
        <w:rFonts w:ascii="Courier New" w:hAnsi="Courier New" w:hint="default"/>
      </w:rPr>
    </w:lvl>
    <w:lvl w:ilvl="2" w:tplc="AEB02DA2">
      <w:start w:val="1"/>
      <w:numFmt w:val="bullet"/>
      <w:lvlText w:val=""/>
      <w:lvlJc w:val="left"/>
      <w:pPr>
        <w:ind w:left="2520" w:hanging="360"/>
      </w:pPr>
      <w:rPr>
        <w:rFonts w:ascii="Wingdings" w:hAnsi="Wingdings" w:hint="default"/>
      </w:rPr>
    </w:lvl>
    <w:lvl w:ilvl="3" w:tplc="FDCE775C">
      <w:start w:val="1"/>
      <w:numFmt w:val="bullet"/>
      <w:lvlText w:val=""/>
      <w:lvlJc w:val="left"/>
      <w:pPr>
        <w:ind w:left="3240" w:hanging="360"/>
      </w:pPr>
      <w:rPr>
        <w:rFonts w:ascii="Symbol" w:hAnsi="Symbol" w:hint="default"/>
      </w:rPr>
    </w:lvl>
    <w:lvl w:ilvl="4" w:tplc="96E8BACA">
      <w:start w:val="1"/>
      <w:numFmt w:val="bullet"/>
      <w:lvlText w:val="o"/>
      <w:lvlJc w:val="left"/>
      <w:pPr>
        <w:ind w:left="3960" w:hanging="360"/>
      </w:pPr>
      <w:rPr>
        <w:rFonts w:ascii="Courier New" w:hAnsi="Courier New" w:hint="default"/>
      </w:rPr>
    </w:lvl>
    <w:lvl w:ilvl="5" w:tplc="7E96C206">
      <w:start w:val="1"/>
      <w:numFmt w:val="bullet"/>
      <w:lvlText w:val=""/>
      <w:lvlJc w:val="left"/>
      <w:pPr>
        <w:ind w:left="4680" w:hanging="360"/>
      </w:pPr>
      <w:rPr>
        <w:rFonts w:ascii="Wingdings" w:hAnsi="Wingdings" w:hint="default"/>
      </w:rPr>
    </w:lvl>
    <w:lvl w:ilvl="6" w:tplc="174C35FA">
      <w:start w:val="1"/>
      <w:numFmt w:val="bullet"/>
      <w:lvlText w:val=""/>
      <w:lvlJc w:val="left"/>
      <w:pPr>
        <w:ind w:left="5400" w:hanging="360"/>
      </w:pPr>
      <w:rPr>
        <w:rFonts w:ascii="Symbol" w:hAnsi="Symbol" w:hint="default"/>
      </w:rPr>
    </w:lvl>
    <w:lvl w:ilvl="7" w:tplc="2BE8C99A">
      <w:start w:val="1"/>
      <w:numFmt w:val="bullet"/>
      <w:lvlText w:val="o"/>
      <w:lvlJc w:val="left"/>
      <w:pPr>
        <w:ind w:left="6120" w:hanging="360"/>
      </w:pPr>
      <w:rPr>
        <w:rFonts w:ascii="Courier New" w:hAnsi="Courier New" w:hint="default"/>
      </w:rPr>
    </w:lvl>
    <w:lvl w:ilvl="8" w:tplc="9A52CE0E">
      <w:start w:val="1"/>
      <w:numFmt w:val="bullet"/>
      <w:lvlText w:val=""/>
      <w:lvlJc w:val="left"/>
      <w:pPr>
        <w:ind w:left="6840" w:hanging="360"/>
      </w:pPr>
      <w:rPr>
        <w:rFonts w:ascii="Wingdings" w:hAnsi="Wingdings" w:hint="default"/>
      </w:rPr>
    </w:lvl>
  </w:abstractNum>
  <w:abstractNum w:abstractNumId="5" w15:restartNumberingAfterBreak="0">
    <w:nsid w:val="41192278"/>
    <w:multiLevelType w:val="hybridMultilevel"/>
    <w:tmpl w:val="B9BAAA9E"/>
    <w:lvl w:ilvl="0" w:tplc="08C01826">
      <w:start w:val="1"/>
      <w:numFmt w:val="bullet"/>
      <w:pStyle w:val="Bulletlist4"/>
      <w:lvlText w:val=""/>
      <w:lvlJc w:val="left"/>
      <w:pPr>
        <w:ind w:left="2345" w:hanging="360"/>
      </w:pPr>
      <w:rPr>
        <w:rFonts w:ascii="Symbol" w:hAnsi="Symbol" w:hint="default"/>
      </w:rPr>
    </w:lvl>
    <w:lvl w:ilvl="1" w:tplc="0C090003" w:tentative="1">
      <w:start w:val="1"/>
      <w:numFmt w:val="bullet"/>
      <w:lvlText w:val="o"/>
      <w:lvlJc w:val="left"/>
      <w:pPr>
        <w:ind w:left="3065" w:hanging="360"/>
      </w:pPr>
      <w:rPr>
        <w:rFonts w:ascii="Courier New" w:hAnsi="Courier New" w:cs="Courier New" w:hint="default"/>
      </w:rPr>
    </w:lvl>
    <w:lvl w:ilvl="2" w:tplc="0C090005" w:tentative="1">
      <w:start w:val="1"/>
      <w:numFmt w:val="bullet"/>
      <w:lvlText w:val=""/>
      <w:lvlJc w:val="left"/>
      <w:pPr>
        <w:ind w:left="3785" w:hanging="360"/>
      </w:pPr>
      <w:rPr>
        <w:rFonts w:ascii="Wingdings" w:hAnsi="Wingdings" w:hint="default"/>
      </w:rPr>
    </w:lvl>
    <w:lvl w:ilvl="3" w:tplc="0C090001" w:tentative="1">
      <w:start w:val="1"/>
      <w:numFmt w:val="bullet"/>
      <w:lvlText w:val=""/>
      <w:lvlJc w:val="left"/>
      <w:pPr>
        <w:ind w:left="4505" w:hanging="360"/>
      </w:pPr>
      <w:rPr>
        <w:rFonts w:ascii="Symbol" w:hAnsi="Symbol" w:hint="default"/>
      </w:rPr>
    </w:lvl>
    <w:lvl w:ilvl="4" w:tplc="0C090003" w:tentative="1">
      <w:start w:val="1"/>
      <w:numFmt w:val="bullet"/>
      <w:lvlText w:val="o"/>
      <w:lvlJc w:val="left"/>
      <w:pPr>
        <w:ind w:left="5225" w:hanging="360"/>
      </w:pPr>
      <w:rPr>
        <w:rFonts w:ascii="Courier New" w:hAnsi="Courier New" w:cs="Courier New" w:hint="default"/>
      </w:rPr>
    </w:lvl>
    <w:lvl w:ilvl="5" w:tplc="0C090005" w:tentative="1">
      <w:start w:val="1"/>
      <w:numFmt w:val="bullet"/>
      <w:lvlText w:val=""/>
      <w:lvlJc w:val="left"/>
      <w:pPr>
        <w:ind w:left="5945" w:hanging="360"/>
      </w:pPr>
      <w:rPr>
        <w:rFonts w:ascii="Wingdings" w:hAnsi="Wingdings" w:hint="default"/>
      </w:rPr>
    </w:lvl>
    <w:lvl w:ilvl="6" w:tplc="0C090001" w:tentative="1">
      <w:start w:val="1"/>
      <w:numFmt w:val="bullet"/>
      <w:lvlText w:val=""/>
      <w:lvlJc w:val="left"/>
      <w:pPr>
        <w:ind w:left="6665" w:hanging="360"/>
      </w:pPr>
      <w:rPr>
        <w:rFonts w:ascii="Symbol" w:hAnsi="Symbol" w:hint="default"/>
      </w:rPr>
    </w:lvl>
    <w:lvl w:ilvl="7" w:tplc="0C090003" w:tentative="1">
      <w:start w:val="1"/>
      <w:numFmt w:val="bullet"/>
      <w:lvlText w:val="o"/>
      <w:lvlJc w:val="left"/>
      <w:pPr>
        <w:ind w:left="7385" w:hanging="360"/>
      </w:pPr>
      <w:rPr>
        <w:rFonts w:ascii="Courier New" w:hAnsi="Courier New" w:cs="Courier New" w:hint="default"/>
      </w:rPr>
    </w:lvl>
    <w:lvl w:ilvl="8" w:tplc="0C090005" w:tentative="1">
      <w:start w:val="1"/>
      <w:numFmt w:val="bullet"/>
      <w:lvlText w:val=""/>
      <w:lvlJc w:val="left"/>
      <w:pPr>
        <w:ind w:left="8105" w:hanging="360"/>
      </w:pPr>
      <w:rPr>
        <w:rFonts w:ascii="Wingdings" w:hAnsi="Wingdings" w:hint="default"/>
      </w:rPr>
    </w:lvl>
  </w:abstractNum>
  <w:abstractNum w:abstractNumId="6" w15:restartNumberingAfterBreak="0">
    <w:nsid w:val="534D024C"/>
    <w:multiLevelType w:val="hybridMultilevel"/>
    <w:tmpl w:val="65CA5E3A"/>
    <w:lvl w:ilvl="0" w:tplc="FFFFFFFF">
      <w:start w:val="1"/>
      <w:numFmt w:val="bullet"/>
      <w:lvlText w:val=""/>
      <w:lvlJc w:val="left"/>
      <w:pPr>
        <w:ind w:left="473" w:hanging="360"/>
      </w:pPr>
      <w:rPr>
        <w:rFonts w:ascii="Symbol" w:hAnsi="Symbol" w:hint="default"/>
        <w:color w:val="0F66B3"/>
      </w:rPr>
    </w:lvl>
    <w:lvl w:ilvl="1" w:tplc="0C090001">
      <w:start w:val="1"/>
      <w:numFmt w:val="bullet"/>
      <w:lvlText w:val=""/>
      <w:lvlJc w:val="left"/>
      <w:pPr>
        <w:ind w:left="1553" w:hanging="360"/>
      </w:pPr>
      <w:rPr>
        <w:rFonts w:ascii="Symbol" w:hAnsi="Symbol" w:hint="default"/>
      </w:rPr>
    </w:lvl>
    <w:lvl w:ilvl="2" w:tplc="FFFFFFFF">
      <w:start w:val="1"/>
      <w:numFmt w:val="bullet"/>
      <w:lvlText w:val=""/>
      <w:lvlJc w:val="left"/>
      <w:pPr>
        <w:ind w:left="2273" w:hanging="360"/>
      </w:pPr>
      <w:rPr>
        <w:rFonts w:ascii="Wingdings" w:hAnsi="Wingdings" w:hint="default"/>
      </w:rPr>
    </w:lvl>
    <w:lvl w:ilvl="3" w:tplc="793678A0">
      <w:start w:val="1"/>
      <w:numFmt w:val="bullet"/>
      <w:lvlText w:val=""/>
      <w:lvlJc w:val="left"/>
      <w:pPr>
        <w:ind w:left="2993" w:hanging="360"/>
      </w:pPr>
      <w:rPr>
        <w:rFonts w:ascii="Symbol" w:hAnsi="Symbol" w:hint="default"/>
      </w:rPr>
    </w:lvl>
    <w:lvl w:ilvl="4" w:tplc="FFFFFFFF" w:tentative="1">
      <w:start w:val="1"/>
      <w:numFmt w:val="bullet"/>
      <w:lvlText w:val="o"/>
      <w:lvlJc w:val="left"/>
      <w:pPr>
        <w:ind w:left="3713" w:hanging="360"/>
      </w:pPr>
      <w:rPr>
        <w:rFonts w:ascii="Courier New" w:hAnsi="Courier New" w:cs="Courier New" w:hint="default"/>
      </w:rPr>
    </w:lvl>
    <w:lvl w:ilvl="5" w:tplc="FFFFFFFF" w:tentative="1">
      <w:start w:val="1"/>
      <w:numFmt w:val="bullet"/>
      <w:lvlText w:val=""/>
      <w:lvlJc w:val="left"/>
      <w:pPr>
        <w:ind w:left="4433" w:hanging="360"/>
      </w:pPr>
      <w:rPr>
        <w:rFonts w:ascii="Wingdings" w:hAnsi="Wingdings" w:hint="default"/>
      </w:rPr>
    </w:lvl>
    <w:lvl w:ilvl="6" w:tplc="FFFFFFFF" w:tentative="1">
      <w:start w:val="1"/>
      <w:numFmt w:val="bullet"/>
      <w:lvlText w:val=""/>
      <w:lvlJc w:val="left"/>
      <w:pPr>
        <w:ind w:left="5153" w:hanging="360"/>
      </w:pPr>
      <w:rPr>
        <w:rFonts w:ascii="Symbol" w:hAnsi="Symbol" w:hint="default"/>
      </w:rPr>
    </w:lvl>
    <w:lvl w:ilvl="7" w:tplc="FFFFFFFF" w:tentative="1">
      <w:start w:val="1"/>
      <w:numFmt w:val="bullet"/>
      <w:lvlText w:val="o"/>
      <w:lvlJc w:val="left"/>
      <w:pPr>
        <w:ind w:left="5873" w:hanging="360"/>
      </w:pPr>
      <w:rPr>
        <w:rFonts w:ascii="Courier New" w:hAnsi="Courier New" w:cs="Courier New" w:hint="default"/>
      </w:rPr>
    </w:lvl>
    <w:lvl w:ilvl="8" w:tplc="FFFFFFFF" w:tentative="1">
      <w:start w:val="1"/>
      <w:numFmt w:val="bullet"/>
      <w:lvlText w:val=""/>
      <w:lvlJc w:val="left"/>
      <w:pPr>
        <w:ind w:left="6593" w:hanging="360"/>
      </w:pPr>
      <w:rPr>
        <w:rFonts w:ascii="Wingdings" w:hAnsi="Wingdings" w:hint="default"/>
      </w:rPr>
    </w:lvl>
  </w:abstractNum>
  <w:abstractNum w:abstractNumId="7" w15:restartNumberingAfterBreak="0">
    <w:nsid w:val="5E7A2BB1"/>
    <w:multiLevelType w:val="multilevel"/>
    <w:tmpl w:val="AB740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0057A14"/>
    <w:multiLevelType w:val="multilevel"/>
    <w:tmpl w:val="60DEB0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057333C"/>
    <w:multiLevelType w:val="hybridMultilevel"/>
    <w:tmpl w:val="0D164DC6"/>
    <w:lvl w:ilvl="0" w:tplc="28F0C8E2">
      <w:start w:val="1"/>
      <w:numFmt w:val="decimal"/>
      <w:pStyle w:val="Heading1"/>
      <w:lvlText w:val="%1."/>
      <w:lvlJc w:val="left"/>
      <w:pPr>
        <w:ind w:left="644"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10" w15:restartNumberingAfterBreak="0">
    <w:nsid w:val="75B56AB5"/>
    <w:multiLevelType w:val="hybridMultilevel"/>
    <w:tmpl w:val="E036245C"/>
    <w:lvl w:ilvl="0" w:tplc="1F4C2B1E">
      <w:start w:val="1"/>
      <w:numFmt w:val="bullet"/>
      <w:pStyle w:val="Bulletlist"/>
      <w:lvlText w:val=""/>
      <w:lvlJc w:val="left"/>
      <w:pPr>
        <w:ind w:left="1920" w:hanging="360"/>
      </w:pPr>
      <w:rPr>
        <w:rFonts w:ascii="Symbol" w:hAnsi="Symbol" w:hint="default"/>
        <w:color w:val="0F66B3"/>
      </w:rPr>
    </w:lvl>
    <w:lvl w:ilvl="1" w:tplc="3F2497FC">
      <w:start w:val="1"/>
      <w:numFmt w:val="bullet"/>
      <w:pStyle w:val="Bulletlist2"/>
      <w:lvlText w:val="o"/>
      <w:lvlJc w:val="left"/>
      <w:pPr>
        <w:ind w:left="1553" w:hanging="360"/>
      </w:pPr>
      <w:rPr>
        <w:rFonts w:ascii="Courier New" w:hAnsi="Courier New" w:cs="Courier New" w:hint="default"/>
      </w:rPr>
    </w:lvl>
    <w:lvl w:ilvl="2" w:tplc="2B523ABC">
      <w:start w:val="1"/>
      <w:numFmt w:val="bullet"/>
      <w:pStyle w:val="Bulletlist3"/>
      <w:lvlText w:val=""/>
      <w:lvlJc w:val="left"/>
      <w:pPr>
        <w:ind w:left="2273" w:hanging="360"/>
      </w:pPr>
      <w:rPr>
        <w:rFonts w:ascii="Wingdings" w:hAnsi="Wingdings" w:hint="default"/>
      </w:rPr>
    </w:lvl>
    <w:lvl w:ilvl="3" w:tplc="0C09000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num w:numId="1" w16cid:durableId="1859852764">
    <w:abstractNumId w:val="0"/>
  </w:num>
  <w:num w:numId="2" w16cid:durableId="1213924384">
    <w:abstractNumId w:val="1"/>
  </w:num>
  <w:num w:numId="3" w16cid:durableId="1928687123">
    <w:abstractNumId w:val="2"/>
  </w:num>
  <w:num w:numId="4" w16cid:durableId="560940811">
    <w:abstractNumId w:val="10"/>
  </w:num>
  <w:num w:numId="5" w16cid:durableId="159007046">
    <w:abstractNumId w:val="9"/>
  </w:num>
  <w:num w:numId="6" w16cid:durableId="894049216">
    <w:abstractNumId w:val="3"/>
  </w:num>
  <w:num w:numId="7" w16cid:durableId="1329165282">
    <w:abstractNumId w:val="4"/>
  </w:num>
  <w:num w:numId="8" w16cid:durableId="1206865102">
    <w:abstractNumId w:val="6"/>
  </w:num>
  <w:num w:numId="9" w16cid:durableId="1925185987">
    <w:abstractNumId w:val="5"/>
  </w:num>
  <w:num w:numId="10" w16cid:durableId="421724465">
    <w:abstractNumId w:val="9"/>
    <w:lvlOverride w:ilvl="0">
      <w:startOverride w:val="1"/>
    </w:lvlOverride>
  </w:num>
  <w:num w:numId="11" w16cid:durableId="1148322255">
    <w:abstractNumId w:val="7"/>
  </w:num>
  <w:num w:numId="12" w16cid:durableId="245648005">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0A03"/>
    <w:rsid w:val="000000B9"/>
    <w:rsid w:val="000007C0"/>
    <w:rsid w:val="000011FC"/>
    <w:rsid w:val="0000143D"/>
    <w:rsid w:val="00002E89"/>
    <w:rsid w:val="00004E06"/>
    <w:rsid w:val="0000651E"/>
    <w:rsid w:val="00007D32"/>
    <w:rsid w:val="000103B3"/>
    <w:rsid w:val="000103CD"/>
    <w:rsid w:val="00010FDA"/>
    <w:rsid w:val="00012028"/>
    <w:rsid w:val="0001417A"/>
    <w:rsid w:val="000141F0"/>
    <w:rsid w:val="000143BA"/>
    <w:rsid w:val="00014B36"/>
    <w:rsid w:val="0001587B"/>
    <w:rsid w:val="00017B16"/>
    <w:rsid w:val="00017B2F"/>
    <w:rsid w:val="00017C63"/>
    <w:rsid w:val="00020043"/>
    <w:rsid w:val="0002175F"/>
    <w:rsid w:val="0002336E"/>
    <w:rsid w:val="000233FC"/>
    <w:rsid w:val="00024534"/>
    <w:rsid w:val="000245B2"/>
    <w:rsid w:val="00024AC0"/>
    <w:rsid w:val="00024B0D"/>
    <w:rsid w:val="00025078"/>
    <w:rsid w:val="00025F0E"/>
    <w:rsid w:val="000264A5"/>
    <w:rsid w:val="0002727E"/>
    <w:rsid w:val="000280A4"/>
    <w:rsid w:val="00030917"/>
    <w:rsid w:val="00030CC3"/>
    <w:rsid w:val="00033B3D"/>
    <w:rsid w:val="00036E32"/>
    <w:rsid w:val="00037B3A"/>
    <w:rsid w:val="0004093C"/>
    <w:rsid w:val="000410DA"/>
    <w:rsid w:val="00041C5F"/>
    <w:rsid w:val="0004494F"/>
    <w:rsid w:val="00044D9A"/>
    <w:rsid w:val="00046B0E"/>
    <w:rsid w:val="000502CD"/>
    <w:rsid w:val="00051FE0"/>
    <w:rsid w:val="00057DB9"/>
    <w:rsid w:val="00060E77"/>
    <w:rsid w:val="0006117F"/>
    <w:rsid w:val="00062C35"/>
    <w:rsid w:val="00066E41"/>
    <w:rsid w:val="00072E4D"/>
    <w:rsid w:val="00072F28"/>
    <w:rsid w:val="00074708"/>
    <w:rsid w:val="00074E41"/>
    <w:rsid w:val="0007533C"/>
    <w:rsid w:val="00081ACA"/>
    <w:rsid w:val="00082C3D"/>
    <w:rsid w:val="00082FB8"/>
    <w:rsid w:val="00083CD4"/>
    <w:rsid w:val="00086C22"/>
    <w:rsid w:val="0009120F"/>
    <w:rsid w:val="0009247D"/>
    <w:rsid w:val="00093F41"/>
    <w:rsid w:val="00094276"/>
    <w:rsid w:val="0009513D"/>
    <w:rsid w:val="00096522"/>
    <w:rsid w:val="000A15A5"/>
    <w:rsid w:val="000A1C77"/>
    <w:rsid w:val="000A1F9F"/>
    <w:rsid w:val="000A2F8C"/>
    <w:rsid w:val="000A3526"/>
    <w:rsid w:val="000A4093"/>
    <w:rsid w:val="000A4B4C"/>
    <w:rsid w:val="000A5B68"/>
    <w:rsid w:val="000A65B0"/>
    <w:rsid w:val="000A7556"/>
    <w:rsid w:val="000A77AA"/>
    <w:rsid w:val="000B38D6"/>
    <w:rsid w:val="000B4C40"/>
    <w:rsid w:val="000B55F6"/>
    <w:rsid w:val="000B6357"/>
    <w:rsid w:val="000B7E9A"/>
    <w:rsid w:val="000C03FA"/>
    <w:rsid w:val="000C04BD"/>
    <w:rsid w:val="000C27DF"/>
    <w:rsid w:val="000C491A"/>
    <w:rsid w:val="000C6064"/>
    <w:rsid w:val="000C6D53"/>
    <w:rsid w:val="000D2E39"/>
    <w:rsid w:val="000D46A0"/>
    <w:rsid w:val="000D49BB"/>
    <w:rsid w:val="000D4BAB"/>
    <w:rsid w:val="000D4E06"/>
    <w:rsid w:val="000D5816"/>
    <w:rsid w:val="000D6D0C"/>
    <w:rsid w:val="000E151E"/>
    <w:rsid w:val="000E2186"/>
    <w:rsid w:val="000E2588"/>
    <w:rsid w:val="000E2844"/>
    <w:rsid w:val="000E34D3"/>
    <w:rsid w:val="000E64E1"/>
    <w:rsid w:val="000F0300"/>
    <w:rsid w:val="000F12C6"/>
    <w:rsid w:val="000F45F0"/>
    <w:rsid w:val="000F483B"/>
    <w:rsid w:val="000F4931"/>
    <w:rsid w:val="000F54E1"/>
    <w:rsid w:val="000F6068"/>
    <w:rsid w:val="000F7715"/>
    <w:rsid w:val="000F7AF2"/>
    <w:rsid w:val="00103519"/>
    <w:rsid w:val="0010435F"/>
    <w:rsid w:val="0010657F"/>
    <w:rsid w:val="0010680E"/>
    <w:rsid w:val="00110A66"/>
    <w:rsid w:val="001139A8"/>
    <w:rsid w:val="001149E8"/>
    <w:rsid w:val="00114FD1"/>
    <w:rsid w:val="00116C4C"/>
    <w:rsid w:val="0011700E"/>
    <w:rsid w:val="00117BA7"/>
    <w:rsid w:val="00121331"/>
    <w:rsid w:val="001240D8"/>
    <w:rsid w:val="001258AD"/>
    <w:rsid w:val="00130CE9"/>
    <w:rsid w:val="00131F51"/>
    <w:rsid w:val="0013201C"/>
    <w:rsid w:val="001331EE"/>
    <w:rsid w:val="00134A6B"/>
    <w:rsid w:val="00134A8F"/>
    <w:rsid w:val="00135FCD"/>
    <w:rsid w:val="00136333"/>
    <w:rsid w:val="00136E2F"/>
    <w:rsid w:val="00140E69"/>
    <w:rsid w:val="00141523"/>
    <w:rsid w:val="00142144"/>
    <w:rsid w:val="00142328"/>
    <w:rsid w:val="001424CE"/>
    <w:rsid w:val="00142659"/>
    <w:rsid w:val="00147965"/>
    <w:rsid w:val="00147F5A"/>
    <w:rsid w:val="0015000A"/>
    <w:rsid w:val="00150010"/>
    <w:rsid w:val="001507F8"/>
    <w:rsid w:val="001512D4"/>
    <w:rsid w:val="001540C9"/>
    <w:rsid w:val="001562E1"/>
    <w:rsid w:val="001565FA"/>
    <w:rsid w:val="001601B9"/>
    <w:rsid w:val="00160611"/>
    <w:rsid w:val="00161DB8"/>
    <w:rsid w:val="00163080"/>
    <w:rsid w:val="00163F37"/>
    <w:rsid w:val="00164771"/>
    <w:rsid w:val="0016496D"/>
    <w:rsid w:val="00164D26"/>
    <w:rsid w:val="00165DCF"/>
    <w:rsid w:val="001661C6"/>
    <w:rsid w:val="00166345"/>
    <w:rsid w:val="0016690D"/>
    <w:rsid w:val="0016695A"/>
    <w:rsid w:val="00167E84"/>
    <w:rsid w:val="001708EA"/>
    <w:rsid w:val="00171702"/>
    <w:rsid w:val="00172B3D"/>
    <w:rsid w:val="00173B00"/>
    <w:rsid w:val="00173F2C"/>
    <w:rsid w:val="0017478B"/>
    <w:rsid w:val="00175939"/>
    <w:rsid w:val="00176AD4"/>
    <w:rsid w:val="001803D9"/>
    <w:rsid w:val="0018051C"/>
    <w:rsid w:val="00180A8D"/>
    <w:rsid w:val="00180DC6"/>
    <w:rsid w:val="00180E37"/>
    <w:rsid w:val="00184BF8"/>
    <w:rsid w:val="001856EB"/>
    <w:rsid w:val="00192E25"/>
    <w:rsid w:val="00193F86"/>
    <w:rsid w:val="001953B9"/>
    <w:rsid w:val="00196033"/>
    <w:rsid w:val="00196BF6"/>
    <w:rsid w:val="001975B2"/>
    <w:rsid w:val="001A160B"/>
    <w:rsid w:val="001A1761"/>
    <w:rsid w:val="001A5291"/>
    <w:rsid w:val="001A6ABA"/>
    <w:rsid w:val="001A6EAE"/>
    <w:rsid w:val="001B0A44"/>
    <w:rsid w:val="001B1F7F"/>
    <w:rsid w:val="001B2B6C"/>
    <w:rsid w:val="001B2EC8"/>
    <w:rsid w:val="001B2FD6"/>
    <w:rsid w:val="001B585C"/>
    <w:rsid w:val="001B5975"/>
    <w:rsid w:val="001B5F25"/>
    <w:rsid w:val="001B7503"/>
    <w:rsid w:val="001C04E8"/>
    <w:rsid w:val="001C08AB"/>
    <w:rsid w:val="001C1EA4"/>
    <w:rsid w:val="001C213E"/>
    <w:rsid w:val="001C6F61"/>
    <w:rsid w:val="001C7D7C"/>
    <w:rsid w:val="001D0609"/>
    <w:rsid w:val="001D0BF6"/>
    <w:rsid w:val="001D234B"/>
    <w:rsid w:val="001D31D0"/>
    <w:rsid w:val="001D57A4"/>
    <w:rsid w:val="001D5CAE"/>
    <w:rsid w:val="001D6472"/>
    <w:rsid w:val="001D7356"/>
    <w:rsid w:val="001E0635"/>
    <w:rsid w:val="001E09E0"/>
    <w:rsid w:val="001E0EB7"/>
    <w:rsid w:val="001E14D9"/>
    <w:rsid w:val="001E14EF"/>
    <w:rsid w:val="001E2A6D"/>
    <w:rsid w:val="001E4A0F"/>
    <w:rsid w:val="001E5DF0"/>
    <w:rsid w:val="001F1787"/>
    <w:rsid w:val="001F192F"/>
    <w:rsid w:val="001F1A0D"/>
    <w:rsid w:val="001F47E8"/>
    <w:rsid w:val="001F62C3"/>
    <w:rsid w:val="001F6B58"/>
    <w:rsid w:val="001F7FF6"/>
    <w:rsid w:val="0020092F"/>
    <w:rsid w:val="00200B44"/>
    <w:rsid w:val="0020658B"/>
    <w:rsid w:val="002107F9"/>
    <w:rsid w:val="00210C38"/>
    <w:rsid w:val="002119C1"/>
    <w:rsid w:val="00211FC7"/>
    <w:rsid w:val="00212152"/>
    <w:rsid w:val="00213676"/>
    <w:rsid w:val="00214446"/>
    <w:rsid w:val="00215386"/>
    <w:rsid w:val="002155E9"/>
    <w:rsid w:val="002179C6"/>
    <w:rsid w:val="00220F21"/>
    <w:rsid w:val="002210C6"/>
    <w:rsid w:val="00221416"/>
    <w:rsid w:val="00221FD9"/>
    <w:rsid w:val="002220C8"/>
    <w:rsid w:val="002226EB"/>
    <w:rsid w:val="00222FB8"/>
    <w:rsid w:val="0022439B"/>
    <w:rsid w:val="002249B7"/>
    <w:rsid w:val="00224E0E"/>
    <w:rsid w:val="00225391"/>
    <w:rsid w:val="00226813"/>
    <w:rsid w:val="002273C9"/>
    <w:rsid w:val="00227DFE"/>
    <w:rsid w:val="00230FBF"/>
    <w:rsid w:val="00236656"/>
    <w:rsid w:val="0024217E"/>
    <w:rsid w:val="00243424"/>
    <w:rsid w:val="00245ACF"/>
    <w:rsid w:val="00246428"/>
    <w:rsid w:val="0024689B"/>
    <w:rsid w:val="00246A8B"/>
    <w:rsid w:val="0024725C"/>
    <w:rsid w:val="002472D3"/>
    <w:rsid w:val="00247B66"/>
    <w:rsid w:val="002511B4"/>
    <w:rsid w:val="00252766"/>
    <w:rsid w:val="002534E2"/>
    <w:rsid w:val="00254866"/>
    <w:rsid w:val="00254B1B"/>
    <w:rsid w:val="00256FC8"/>
    <w:rsid w:val="002574C2"/>
    <w:rsid w:val="00260162"/>
    <w:rsid w:val="00260994"/>
    <w:rsid w:val="00261319"/>
    <w:rsid w:val="00266BF9"/>
    <w:rsid w:val="00267016"/>
    <w:rsid w:val="002677CA"/>
    <w:rsid w:val="0026E2BB"/>
    <w:rsid w:val="00277D33"/>
    <w:rsid w:val="00280050"/>
    <w:rsid w:val="00283B09"/>
    <w:rsid w:val="00283E03"/>
    <w:rsid w:val="0028749E"/>
    <w:rsid w:val="00287520"/>
    <w:rsid w:val="00287E20"/>
    <w:rsid w:val="00287F32"/>
    <w:rsid w:val="00287FA9"/>
    <w:rsid w:val="00291FDE"/>
    <w:rsid w:val="00292842"/>
    <w:rsid w:val="00293410"/>
    <w:rsid w:val="0029511F"/>
    <w:rsid w:val="00295747"/>
    <w:rsid w:val="00295FCD"/>
    <w:rsid w:val="00297B82"/>
    <w:rsid w:val="00297E5F"/>
    <w:rsid w:val="002A0726"/>
    <w:rsid w:val="002A299A"/>
    <w:rsid w:val="002A2C2C"/>
    <w:rsid w:val="002A47A8"/>
    <w:rsid w:val="002A5D1C"/>
    <w:rsid w:val="002A6473"/>
    <w:rsid w:val="002A7551"/>
    <w:rsid w:val="002B009D"/>
    <w:rsid w:val="002B428A"/>
    <w:rsid w:val="002B650C"/>
    <w:rsid w:val="002C0551"/>
    <w:rsid w:val="002C0C0C"/>
    <w:rsid w:val="002C0D34"/>
    <w:rsid w:val="002C2906"/>
    <w:rsid w:val="002C364D"/>
    <w:rsid w:val="002C3AEB"/>
    <w:rsid w:val="002C513C"/>
    <w:rsid w:val="002C6381"/>
    <w:rsid w:val="002C6F2C"/>
    <w:rsid w:val="002C7034"/>
    <w:rsid w:val="002C73FE"/>
    <w:rsid w:val="002D02AE"/>
    <w:rsid w:val="002D0D7B"/>
    <w:rsid w:val="002D2C3F"/>
    <w:rsid w:val="002D4036"/>
    <w:rsid w:val="002D4A5A"/>
    <w:rsid w:val="002D720E"/>
    <w:rsid w:val="002E1A05"/>
    <w:rsid w:val="002E3021"/>
    <w:rsid w:val="002E3771"/>
    <w:rsid w:val="002E3F00"/>
    <w:rsid w:val="002E4ADA"/>
    <w:rsid w:val="002E6D60"/>
    <w:rsid w:val="002E704F"/>
    <w:rsid w:val="002F1B66"/>
    <w:rsid w:val="002F1BC0"/>
    <w:rsid w:val="002F1E0B"/>
    <w:rsid w:val="002F21DC"/>
    <w:rsid w:val="002F24F0"/>
    <w:rsid w:val="002F3191"/>
    <w:rsid w:val="002F3F3F"/>
    <w:rsid w:val="002F6173"/>
    <w:rsid w:val="002F7C1D"/>
    <w:rsid w:val="00303511"/>
    <w:rsid w:val="00305706"/>
    <w:rsid w:val="00306B88"/>
    <w:rsid w:val="00306C20"/>
    <w:rsid w:val="0031017D"/>
    <w:rsid w:val="00311434"/>
    <w:rsid w:val="00311F68"/>
    <w:rsid w:val="00311FE8"/>
    <w:rsid w:val="003131A6"/>
    <w:rsid w:val="00313D72"/>
    <w:rsid w:val="0031496E"/>
    <w:rsid w:val="00314BA3"/>
    <w:rsid w:val="003152CC"/>
    <w:rsid w:val="00315B54"/>
    <w:rsid w:val="00316A20"/>
    <w:rsid w:val="00316D46"/>
    <w:rsid w:val="00320046"/>
    <w:rsid w:val="00321A11"/>
    <w:rsid w:val="003228D9"/>
    <w:rsid w:val="00323747"/>
    <w:rsid w:val="00324814"/>
    <w:rsid w:val="0033352A"/>
    <w:rsid w:val="003335B3"/>
    <w:rsid w:val="00333715"/>
    <w:rsid w:val="00333BCE"/>
    <w:rsid w:val="00333EF5"/>
    <w:rsid w:val="0033594F"/>
    <w:rsid w:val="00335E32"/>
    <w:rsid w:val="00335F67"/>
    <w:rsid w:val="003405BF"/>
    <w:rsid w:val="00341018"/>
    <w:rsid w:val="00342D8D"/>
    <w:rsid w:val="003448CC"/>
    <w:rsid w:val="00345BB7"/>
    <w:rsid w:val="00345C24"/>
    <w:rsid w:val="00347CF2"/>
    <w:rsid w:val="003503EF"/>
    <w:rsid w:val="00350510"/>
    <w:rsid w:val="003511EE"/>
    <w:rsid w:val="00353180"/>
    <w:rsid w:val="00353841"/>
    <w:rsid w:val="00355C84"/>
    <w:rsid w:val="00356AD6"/>
    <w:rsid w:val="0035708E"/>
    <w:rsid w:val="0035740D"/>
    <w:rsid w:val="00357C4B"/>
    <w:rsid w:val="00357FAB"/>
    <w:rsid w:val="00360031"/>
    <w:rsid w:val="00362F05"/>
    <w:rsid w:val="0036301C"/>
    <w:rsid w:val="00363046"/>
    <w:rsid w:val="003632AA"/>
    <w:rsid w:val="0036407C"/>
    <w:rsid w:val="003644B6"/>
    <w:rsid w:val="00364580"/>
    <w:rsid w:val="003652B2"/>
    <w:rsid w:val="00365376"/>
    <w:rsid w:val="0036601B"/>
    <w:rsid w:val="00367738"/>
    <w:rsid w:val="00370072"/>
    <w:rsid w:val="00370816"/>
    <w:rsid w:val="003711B1"/>
    <w:rsid w:val="00373C34"/>
    <w:rsid w:val="003744A9"/>
    <w:rsid w:val="00374E8F"/>
    <w:rsid w:val="00376094"/>
    <w:rsid w:val="00377ED5"/>
    <w:rsid w:val="00382FA9"/>
    <w:rsid w:val="003848D1"/>
    <w:rsid w:val="0038742F"/>
    <w:rsid w:val="00387DD8"/>
    <w:rsid w:val="00387EFC"/>
    <w:rsid w:val="00390A5A"/>
    <w:rsid w:val="003913EF"/>
    <w:rsid w:val="00391830"/>
    <w:rsid w:val="0039451D"/>
    <w:rsid w:val="00395FDC"/>
    <w:rsid w:val="00396C67"/>
    <w:rsid w:val="00397189"/>
    <w:rsid w:val="003972E4"/>
    <w:rsid w:val="003975D3"/>
    <w:rsid w:val="003A0D02"/>
    <w:rsid w:val="003A2F44"/>
    <w:rsid w:val="003A4127"/>
    <w:rsid w:val="003A50D0"/>
    <w:rsid w:val="003A72B5"/>
    <w:rsid w:val="003B0260"/>
    <w:rsid w:val="003B1C41"/>
    <w:rsid w:val="003B1C9A"/>
    <w:rsid w:val="003B79C2"/>
    <w:rsid w:val="003C14A0"/>
    <w:rsid w:val="003C2D36"/>
    <w:rsid w:val="003C314F"/>
    <w:rsid w:val="003C4682"/>
    <w:rsid w:val="003C5A1E"/>
    <w:rsid w:val="003C66F6"/>
    <w:rsid w:val="003D04CC"/>
    <w:rsid w:val="003D0E6E"/>
    <w:rsid w:val="003D1705"/>
    <w:rsid w:val="003D243F"/>
    <w:rsid w:val="003D4F73"/>
    <w:rsid w:val="003D5E69"/>
    <w:rsid w:val="003D70D6"/>
    <w:rsid w:val="003D7F92"/>
    <w:rsid w:val="003E0484"/>
    <w:rsid w:val="003E1159"/>
    <w:rsid w:val="003E1C71"/>
    <w:rsid w:val="003E1F33"/>
    <w:rsid w:val="003E263A"/>
    <w:rsid w:val="003E484F"/>
    <w:rsid w:val="003E5830"/>
    <w:rsid w:val="003E59A8"/>
    <w:rsid w:val="003E6300"/>
    <w:rsid w:val="003E7605"/>
    <w:rsid w:val="003F6081"/>
    <w:rsid w:val="003F6E33"/>
    <w:rsid w:val="0040022B"/>
    <w:rsid w:val="004008EE"/>
    <w:rsid w:val="00401647"/>
    <w:rsid w:val="00401756"/>
    <w:rsid w:val="00401A19"/>
    <w:rsid w:val="00402CBB"/>
    <w:rsid w:val="004036BE"/>
    <w:rsid w:val="00403F70"/>
    <w:rsid w:val="00404B7A"/>
    <w:rsid w:val="004057DC"/>
    <w:rsid w:val="00410180"/>
    <w:rsid w:val="00410301"/>
    <w:rsid w:val="00411005"/>
    <w:rsid w:val="00411444"/>
    <w:rsid w:val="00415E52"/>
    <w:rsid w:val="0042246C"/>
    <w:rsid w:val="004226F1"/>
    <w:rsid w:val="00423583"/>
    <w:rsid w:val="0042501C"/>
    <w:rsid w:val="004266A7"/>
    <w:rsid w:val="00427616"/>
    <w:rsid w:val="00430FFE"/>
    <w:rsid w:val="00431D5B"/>
    <w:rsid w:val="004328E8"/>
    <w:rsid w:val="00433DA4"/>
    <w:rsid w:val="0043530C"/>
    <w:rsid w:val="00436346"/>
    <w:rsid w:val="004364DB"/>
    <w:rsid w:val="00436513"/>
    <w:rsid w:val="004375AF"/>
    <w:rsid w:val="004375E5"/>
    <w:rsid w:val="00437620"/>
    <w:rsid w:val="00437F44"/>
    <w:rsid w:val="0044008A"/>
    <w:rsid w:val="004412AC"/>
    <w:rsid w:val="00442599"/>
    <w:rsid w:val="00443C16"/>
    <w:rsid w:val="00443CDF"/>
    <w:rsid w:val="00451C57"/>
    <w:rsid w:val="00452C68"/>
    <w:rsid w:val="0045410E"/>
    <w:rsid w:val="00455FA4"/>
    <w:rsid w:val="004601BB"/>
    <w:rsid w:val="00460B95"/>
    <w:rsid w:val="004625A2"/>
    <w:rsid w:val="00465BB0"/>
    <w:rsid w:val="00465CA6"/>
    <w:rsid w:val="00465D37"/>
    <w:rsid w:val="00467019"/>
    <w:rsid w:val="004675A0"/>
    <w:rsid w:val="00467CD5"/>
    <w:rsid w:val="00467EE8"/>
    <w:rsid w:val="004701DE"/>
    <w:rsid w:val="00471B80"/>
    <w:rsid w:val="00471C39"/>
    <w:rsid w:val="00472D72"/>
    <w:rsid w:val="00472DA3"/>
    <w:rsid w:val="00472ED0"/>
    <w:rsid w:val="004734C5"/>
    <w:rsid w:val="00474092"/>
    <w:rsid w:val="00477573"/>
    <w:rsid w:val="004776F2"/>
    <w:rsid w:val="00477949"/>
    <w:rsid w:val="00480104"/>
    <w:rsid w:val="00485980"/>
    <w:rsid w:val="00486653"/>
    <w:rsid w:val="00486F1D"/>
    <w:rsid w:val="00490F82"/>
    <w:rsid w:val="004926DF"/>
    <w:rsid w:val="0049388F"/>
    <w:rsid w:val="004942A4"/>
    <w:rsid w:val="00495164"/>
    <w:rsid w:val="004954EA"/>
    <w:rsid w:val="00495FDC"/>
    <w:rsid w:val="0049640F"/>
    <w:rsid w:val="004A1936"/>
    <w:rsid w:val="004A3147"/>
    <w:rsid w:val="004A3D92"/>
    <w:rsid w:val="004A3EF4"/>
    <w:rsid w:val="004A711C"/>
    <w:rsid w:val="004A7672"/>
    <w:rsid w:val="004B0E1C"/>
    <w:rsid w:val="004B1A0E"/>
    <w:rsid w:val="004B3E86"/>
    <w:rsid w:val="004C0F33"/>
    <w:rsid w:val="004C1651"/>
    <w:rsid w:val="004C3DCA"/>
    <w:rsid w:val="004C4A79"/>
    <w:rsid w:val="004C5D6D"/>
    <w:rsid w:val="004C7015"/>
    <w:rsid w:val="004C704C"/>
    <w:rsid w:val="004D056D"/>
    <w:rsid w:val="004D101A"/>
    <w:rsid w:val="004D1062"/>
    <w:rsid w:val="004D1C8F"/>
    <w:rsid w:val="004D224D"/>
    <w:rsid w:val="004D3C07"/>
    <w:rsid w:val="004D481A"/>
    <w:rsid w:val="004D543E"/>
    <w:rsid w:val="004D54CD"/>
    <w:rsid w:val="004D5A24"/>
    <w:rsid w:val="004D63F4"/>
    <w:rsid w:val="004D63FE"/>
    <w:rsid w:val="004D75A3"/>
    <w:rsid w:val="004E1234"/>
    <w:rsid w:val="004E1C81"/>
    <w:rsid w:val="004E33DD"/>
    <w:rsid w:val="004E5800"/>
    <w:rsid w:val="004E6B8A"/>
    <w:rsid w:val="004E799C"/>
    <w:rsid w:val="004F0E1E"/>
    <w:rsid w:val="004F10BF"/>
    <w:rsid w:val="004F1D14"/>
    <w:rsid w:val="004F232F"/>
    <w:rsid w:val="004F2353"/>
    <w:rsid w:val="004F411C"/>
    <w:rsid w:val="005009FD"/>
    <w:rsid w:val="00502E4D"/>
    <w:rsid w:val="00503796"/>
    <w:rsid w:val="0050680B"/>
    <w:rsid w:val="0050724B"/>
    <w:rsid w:val="0050726C"/>
    <w:rsid w:val="00507AEE"/>
    <w:rsid w:val="00507D80"/>
    <w:rsid w:val="005104E7"/>
    <w:rsid w:val="00513A1B"/>
    <w:rsid w:val="00515437"/>
    <w:rsid w:val="00515BD9"/>
    <w:rsid w:val="00515DA0"/>
    <w:rsid w:val="005163B4"/>
    <w:rsid w:val="00516E8A"/>
    <w:rsid w:val="00520218"/>
    <w:rsid w:val="00520928"/>
    <w:rsid w:val="00520ABA"/>
    <w:rsid w:val="005210C0"/>
    <w:rsid w:val="00521DEE"/>
    <w:rsid w:val="00522663"/>
    <w:rsid w:val="00524517"/>
    <w:rsid w:val="0052495B"/>
    <w:rsid w:val="00525AC9"/>
    <w:rsid w:val="00526872"/>
    <w:rsid w:val="00531110"/>
    <w:rsid w:val="005316C3"/>
    <w:rsid w:val="00531DFB"/>
    <w:rsid w:val="0053252E"/>
    <w:rsid w:val="00532827"/>
    <w:rsid w:val="00533697"/>
    <w:rsid w:val="005368A5"/>
    <w:rsid w:val="00540269"/>
    <w:rsid w:val="00540C4F"/>
    <w:rsid w:val="00541FBF"/>
    <w:rsid w:val="00542027"/>
    <w:rsid w:val="0054429E"/>
    <w:rsid w:val="005443C1"/>
    <w:rsid w:val="005456C5"/>
    <w:rsid w:val="00546A41"/>
    <w:rsid w:val="005523C1"/>
    <w:rsid w:val="00552CC6"/>
    <w:rsid w:val="00553C0B"/>
    <w:rsid w:val="0055659A"/>
    <w:rsid w:val="00556CF4"/>
    <w:rsid w:val="00557200"/>
    <w:rsid w:val="00560503"/>
    <w:rsid w:val="00560E3D"/>
    <w:rsid w:val="00561F56"/>
    <w:rsid w:val="00563B76"/>
    <w:rsid w:val="00563EAF"/>
    <w:rsid w:val="00564C71"/>
    <w:rsid w:val="00566642"/>
    <w:rsid w:val="00571B63"/>
    <w:rsid w:val="00574DC1"/>
    <w:rsid w:val="005753D3"/>
    <w:rsid w:val="00575BD2"/>
    <w:rsid w:val="00576FAD"/>
    <w:rsid w:val="0057734E"/>
    <w:rsid w:val="00577377"/>
    <w:rsid w:val="005775B8"/>
    <w:rsid w:val="005776A6"/>
    <w:rsid w:val="0057772D"/>
    <w:rsid w:val="005778DD"/>
    <w:rsid w:val="005778EC"/>
    <w:rsid w:val="00580223"/>
    <w:rsid w:val="0058047E"/>
    <w:rsid w:val="00580BB2"/>
    <w:rsid w:val="00581884"/>
    <w:rsid w:val="00582AB9"/>
    <w:rsid w:val="00583207"/>
    <w:rsid w:val="00583854"/>
    <w:rsid w:val="005850C3"/>
    <w:rsid w:val="00586A9C"/>
    <w:rsid w:val="00587A31"/>
    <w:rsid w:val="0059008E"/>
    <w:rsid w:val="00590C4C"/>
    <w:rsid w:val="005965BC"/>
    <w:rsid w:val="00596B77"/>
    <w:rsid w:val="00596D4C"/>
    <w:rsid w:val="005973F0"/>
    <w:rsid w:val="00597622"/>
    <w:rsid w:val="005977A4"/>
    <w:rsid w:val="005A1D0A"/>
    <w:rsid w:val="005A35A6"/>
    <w:rsid w:val="005A5985"/>
    <w:rsid w:val="005A5E0D"/>
    <w:rsid w:val="005B0230"/>
    <w:rsid w:val="005B0269"/>
    <w:rsid w:val="005B22BA"/>
    <w:rsid w:val="005B231D"/>
    <w:rsid w:val="005B2524"/>
    <w:rsid w:val="005B28F7"/>
    <w:rsid w:val="005B29CA"/>
    <w:rsid w:val="005B2DFC"/>
    <w:rsid w:val="005B380E"/>
    <w:rsid w:val="005B3B46"/>
    <w:rsid w:val="005B4302"/>
    <w:rsid w:val="005B4352"/>
    <w:rsid w:val="005B479A"/>
    <w:rsid w:val="005B4DC2"/>
    <w:rsid w:val="005B5F07"/>
    <w:rsid w:val="005B6633"/>
    <w:rsid w:val="005B697D"/>
    <w:rsid w:val="005B771B"/>
    <w:rsid w:val="005B7888"/>
    <w:rsid w:val="005B7E03"/>
    <w:rsid w:val="005C0573"/>
    <w:rsid w:val="005C0D61"/>
    <w:rsid w:val="005C410B"/>
    <w:rsid w:val="005C7D41"/>
    <w:rsid w:val="005D217B"/>
    <w:rsid w:val="005D2874"/>
    <w:rsid w:val="005D2919"/>
    <w:rsid w:val="005D331B"/>
    <w:rsid w:val="005D4146"/>
    <w:rsid w:val="005D44D9"/>
    <w:rsid w:val="005D5C46"/>
    <w:rsid w:val="005E1301"/>
    <w:rsid w:val="005E172A"/>
    <w:rsid w:val="005E1CCD"/>
    <w:rsid w:val="005E2120"/>
    <w:rsid w:val="005E3F1A"/>
    <w:rsid w:val="005E479E"/>
    <w:rsid w:val="005E7146"/>
    <w:rsid w:val="005F0075"/>
    <w:rsid w:val="005F0B42"/>
    <w:rsid w:val="005F1935"/>
    <w:rsid w:val="005F206A"/>
    <w:rsid w:val="005F3754"/>
    <w:rsid w:val="005F5419"/>
    <w:rsid w:val="005F5CC6"/>
    <w:rsid w:val="005F7680"/>
    <w:rsid w:val="00600476"/>
    <w:rsid w:val="0060108E"/>
    <w:rsid w:val="00602743"/>
    <w:rsid w:val="006028BF"/>
    <w:rsid w:val="0060338E"/>
    <w:rsid w:val="006048A3"/>
    <w:rsid w:val="00607B5A"/>
    <w:rsid w:val="00610FE4"/>
    <w:rsid w:val="00611F21"/>
    <w:rsid w:val="0061204F"/>
    <w:rsid w:val="0061234F"/>
    <w:rsid w:val="006128F4"/>
    <w:rsid w:val="0061479C"/>
    <w:rsid w:val="00615D4B"/>
    <w:rsid w:val="00616DD3"/>
    <w:rsid w:val="00620586"/>
    <w:rsid w:val="00621102"/>
    <w:rsid w:val="006222F4"/>
    <w:rsid w:val="00622991"/>
    <w:rsid w:val="00622E78"/>
    <w:rsid w:val="00623876"/>
    <w:rsid w:val="00625AC7"/>
    <w:rsid w:val="00626716"/>
    <w:rsid w:val="00626D63"/>
    <w:rsid w:val="00631C0A"/>
    <w:rsid w:val="0063484B"/>
    <w:rsid w:val="00637D36"/>
    <w:rsid w:val="00640286"/>
    <w:rsid w:val="00640512"/>
    <w:rsid w:val="00640E53"/>
    <w:rsid w:val="0064776A"/>
    <w:rsid w:val="00647CF9"/>
    <w:rsid w:val="00650298"/>
    <w:rsid w:val="0065251B"/>
    <w:rsid w:val="00653F91"/>
    <w:rsid w:val="006555E0"/>
    <w:rsid w:val="00656075"/>
    <w:rsid w:val="0065625D"/>
    <w:rsid w:val="00656C0A"/>
    <w:rsid w:val="006622F3"/>
    <w:rsid w:val="00662B17"/>
    <w:rsid w:val="0066432B"/>
    <w:rsid w:val="0066482B"/>
    <w:rsid w:val="00665A9C"/>
    <w:rsid w:val="006660A0"/>
    <w:rsid w:val="00670920"/>
    <w:rsid w:val="00671D66"/>
    <w:rsid w:val="0067266A"/>
    <w:rsid w:val="0067313C"/>
    <w:rsid w:val="0067380D"/>
    <w:rsid w:val="00673A7B"/>
    <w:rsid w:val="006744F9"/>
    <w:rsid w:val="00675EE3"/>
    <w:rsid w:val="00681612"/>
    <w:rsid w:val="00681673"/>
    <w:rsid w:val="006855D1"/>
    <w:rsid w:val="00685D34"/>
    <w:rsid w:val="0068714E"/>
    <w:rsid w:val="00687187"/>
    <w:rsid w:val="006906A7"/>
    <w:rsid w:val="00691163"/>
    <w:rsid w:val="00693647"/>
    <w:rsid w:val="00694082"/>
    <w:rsid w:val="00694489"/>
    <w:rsid w:val="006963D6"/>
    <w:rsid w:val="0069676F"/>
    <w:rsid w:val="00696DAB"/>
    <w:rsid w:val="006979F6"/>
    <w:rsid w:val="006A06B8"/>
    <w:rsid w:val="006A1501"/>
    <w:rsid w:val="006A34F3"/>
    <w:rsid w:val="006A59AA"/>
    <w:rsid w:val="006A6BA7"/>
    <w:rsid w:val="006A7A6E"/>
    <w:rsid w:val="006B2663"/>
    <w:rsid w:val="006B2CFB"/>
    <w:rsid w:val="006B2D2F"/>
    <w:rsid w:val="006B3551"/>
    <w:rsid w:val="006B3A3A"/>
    <w:rsid w:val="006B4A55"/>
    <w:rsid w:val="006B6624"/>
    <w:rsid w:val="006B7EDC"/>
    <w:rsid w:val="006C0B81"/>
    <w:rsid w:val="006C16EF"/>
    <w:rsid w:val="006C21AB"/>
    <w:rsid w:val="006C272A"/>
    <w:rsid w:val="006C2AEC"/>
    <w:rsid w:val="006C2AFA"/>
    <w:rsid w:val="006C2FD2"/>
    <w:rsid w:val="006C51F1"/>
    <w:rsid w:val="006D08D8"/>
    <w:rsid w:val="006D0A5B"/>
    <w:rsid w:val="006D0F90"/>
    <w:rsid w:val="006D4006"/>
    <w:rsid w:val="006D4906"/>
    <w:rsid w:val="006D5C96"/>
    <w:rsid w:val="006D648B"/>
    <w:rsid w:val="006D672A"/>
    <w:rsid w:val="006D6D39"/>
    <w:rsid w:val="006D7857"/>
    <w:rsid w:val="006D7A16"/>
    <w:rsid w:val="006E0C63"/>
    <w:rsid w:val="006E0F27"/>
    <w:rsid w:val="006E125D"/>
    <w:rsid w:val="006E216C"/>
    <w:rsid w:val="006E40A6"/>
    <w:rsid w:val="006E4C20"/>
    <w:rsid w:val="006E64F5"/>
    <w:rsid w:val="006F44DD"/>
    <w:rsid w:val="006F4856"/>
    <w:rsid w:val="006F7ACB"/>
    <w:rsid w:val="0070186D"/>
    <w:rsid w:val="0070195D"/>
    <w:rsid w:val="00701DE2"/>
    <w:rsid w:val="00703A17"/>
    <w:rsid w:val="0070481D"/>
    <w:rsid w:val="00705381"/>
    <w:rsid w:val="0070631F"/>
    <w:rsid w:val="00706EA0"/>
    <w:rsid w:val="0071169F"/>
    <w:rsid w:val="007118EB"/>
    <w:rsid w:val="00711944"/>
    <w:rsid w:val="00712E26"/>
    <w:rsid w:val="00714699"/>
    <w:rsid w:val="00715B1A"/>
    <w:rsid w:val="007177C3"/>
    <w:rsid w:val="00717926"/>
    <w:rsid w:val="00722038"/>
    <w:rsid w:val="007221D6"/>
    <w:rsid w:val="007251A3"/>
    <w:rsid w:val="00725ABA"/>
    <w:rsid w:val="00727F94"/>
    <w:rsid w:val="0073038C"/>
    <w:rsid w:val="007314CE"/>
    <w:rsid w:val="007317F5"/>
    <w:rsid w:val="00731D9E"/>
    <w:rsid w:val="00732D9F"/>
    <w:rsid w:val="00733780"/>
    <w:rsid w:val="0073483C"/>
    <w:rsid w:val="007351BB"/>
    <w:rsid w:val="00736EF0"/>
    <w:rsid w:val="007379AA"/>
    <w:rsid w:val="00737B70"/>
    <w:rsid w:val="00737DC0"/>
    <w:rsid w:val="007401AB"/>
    <w:rsid w:val="0074168E"/>
    <w:rsid w:val="007430FC"/>
    <w:rsid w:val="00747C5A"/>
    <w:rsid w:val="00755498"/>
    <w:rsid w:val="00756794"/>
    <w:rsid w:val="007574CB"/>
    <w:rsid w:val="00757E64"/>
    <w:rsid w:val="00762E4F"/>
    <w:rsid w:val="00762ED2"/>
    <w:rsid w:val="00764B42"/>
    <w:rsid w:val="00765EEA"/>
    <w:rsid w:val="007701ED"/>
    <w:rsid w:val="007711AC"/>
    <w:rsid w:val="007711FA"/>
    <w:rsid w:val="00771283"/>
    <w:rsid w:val="00771804"/>
    <w:rsid w:val="0077238D"/>
    <w:rsid w:val="00772681"/>
    <w:rsid w:val="00773871"/>
    <w:rsid w:val="00774803"/>
    <w:rsid w:val="007765DA"/>
    <w:rsid w:val="00782532"/>
    <w:rsid w:val="0078341D"/>
    <w:rsid w:val="0078344C"/>
    <w:rsid w:val="00784B6F"/>
    <w:rsid w:val="0078787F"/>
    <w:rsid w:val="007914FA"/>
    <w:rsid w:val="00791D8C"/>
    <w:rsid w:val="00794341"/>
    <w:rsid w:val="00794628"/>
    <w:rsid w:val="00794C60"/>
    <w:rsid w:val="007A02C5"/>
    <w:rsid w:val="007A04F7"/>
    <w:rsid w:val="007A157E"/>
    <w:rsid w:val="007A2DD1"/>
    <w:rsid w:val="007A3916"/>
    <w:rsid w:val="007A474F"/>
    <w:rsid w:val="007A553C"/>
    <w:rsid w:val="007B05F2"/>
    <w:rsid w:val="007B087A"/>
    <w:rsid w:val="007B2032"/>
    <w:rsid w:val="007B330A"/>
    <w:rsid w:val="007B72DB"/>
    <w:rsid w:val="007C5E79"/>
    <w:rsid w:val="007C6479"/>
    <w:rsid w:val="007D06E1"/>
    <w:rsid w:val="007D0820"/>
    <w:rsid w:val="007D0962"/>
    <w:rsid w:val="007D0EDF"/>
    <w:rsid w:val="007D2ADE"/>
    <w:rsid w:val="007D3638"/>
    <w:rsid w:val="007D4834"/>
    <w:rsid w:val="007D5BBA"/>
    <w:rsid w:val="007D5DD7"/>
    <w:rsid w:val="007D606E"/>
    <w:rsid w:val="007D70BB"/>
    <w:rsid w:val="007E1A28"/>
    <w:rsid w:val="007E51B9"/>
    <w:rsid w:val="007F00D6"/>
    <w:rsid w:val="007F1060"/>
    <w:rsid w:val="007F13F6"/>
    <w:rsid w:val="007F1660"/>
    <w:rsid w:val="007F18C0"/>
    <w:rsid w:val="007F310D"/>
    <w:rsid w:val="007F542E"/>
    <w:rsid w:val="007F5CC1"/>
    <w:rsid w:val="007F7AB2"/>
    <w:rsid w:val="008003EE"/>
    <w:rsid w:val="00800743"/>
    <w:rsid w:val="00800F7F"/>
    <w:rsid w:val="0080112F"/>
    <w:rsid w:val="008014D4"/>
    <w:rsid w:val="00801E37"/>
    <w:rsid w:val="0080358F"/>
    <w:rsid w:val="008047E8"/>
    <w:rsid w:val="008048A7"/>
    <w:rsid w:val="008102E8"/>
    <w:rsid w:val="0081100E"/>
    <w:rsid w:val="008118F3"/>
    <w:rsid w:val="00811B48"/>
    <w:rsid w:val="0081368A"/>
    <w:rsid w:val="0081539E"/>
    <w:rsid w:val="00815D63"/>
    <w:rsid w:val="008177CA"/>
    <w:rsid w:val="0082085B"/>
    <w:rsid w:val="008213F7"/>
    <w:rsid w:val="00827F08"/>
    <w:rsid w:val="008312AF"/>
    <w:rsid w:val="00831F8B"/>
    <w:rsid w:val="00833484"/>
    <w:rsid w:val="00834F95"/>
    <w:rsid w:val="00836E6B"/>
    <w:rsid w:val="00842835"/>
    <w:rsid w:val="00843832"/>
    <w:rsid w:val="0084395C"/>
    <w:rsid w:val="00843FA5"/>
    <w:rsid w:val="0084616D"/>
    <w:rsid w:val="0084672F"/>
    <w:rsid w:val="00846782"/>
    <w:rsid w:val="008479D6"/>
    <w:rsid w:val="00851343"/>
    <w:rsid w:val="008514BC"/>
    <w:rsid w:val="008519F1"/>
    <w:rsid w:val="00852367"/>
    <w:rsid w:val="008529AB"/>
    <w:rsid w:val="008532D4"/>
    <w:rsid w:val="0085447F"/>
    <w:rsid w:val="00854A82"/>
    <w:rsid w:val="00855009"/>
    <w:rsid w:val="00856107"/>
    <w:rsid w:val="00856583"/>
    <w:rsid w:val="00861CE8"/>
    <w:rsid w:val="00864FE9"/>
    <w:rsid w:val="008656BF"/>
    <w:rsid w:val="008735EA"/>
    <w:rsid w:val="00875593"/>
    <w:rsid w:val="008760C5"/>
    <w:rsid w:val="0087662B"/>
    <w:rsid w:val="00877BCB"/>
    <w:rsid w:val="008813A2"/>
    <w:rsid w:val="00881ECD"/>
    <w:rsid w:val="008830DF"/>
    <w:rsid w:val="008859C9"/>
    <w:rsid w:val="00890358"/>
    <w:rsid w:val="0089290E"/>
    <w:rsid w:val="00892C06"/>
    <w:rsid w:val="00892DC8"/>
    <w:rsid w:val="00893F5D"/>
    <w:rsid w:val="008947FA"/>
    <w:rsid w:val="008956BF"/>
    <w:rsid w:val="008A4130"/>
    <w:rsid w:val="008A45D0"/>
    <w:rsid w:val="008A52EE"/>
    <w:rsid w:val="008A617B"/>
    <w:rsid w:val="008A6A97"/>
    <w:rsid w:val="008A7FA9"/>
    <w:rsid w:val="008B0544"/>
    <w:rsid w:val="008B136A"/>
    <w:rsid w:val="008B1AD2"/>
    <w:rsid w:val="008B2AB2"/>
    <w:rsid w:val="008B4695"/>
    <w:rsid w:val="008B48B6"/>
    <w:rsid w:val="008B4DDC"/>
    <w:rsid w:val="008B5919"/>
    <w:rsid w:val="008B7344"/>
    <w:rsid w:val="008C0724"/>
    <w:rsid w:val="008C08FD"/>
    <w:rsid w:val="008C48D8"/>
    <w:rsid w:val="008C5931"/>
    <w:rsid w:val="008C60C4"/>
    <w:rsid w:val="008C6305"/>
    <w:rsid w:val="008D0EF4"/>
    <w:rsid w:val="008D1F48"/>
    <w:rsid w:val="008D28AC"/>
    <w:rsid w:val="008D4424"/>
    <w:rsid w:val="008D5426"/>
    <w:rsid w:val="008D6DA1"/>
    <w:rsid w:val="008E32BF"/>
    <w:rsid w:val="008E37C3"/>
    <w:rsid w:val="008E4126"/>
    <w:rsid w:val="008E4CB0"/>
    <w:rsid w:val="008E51E2"/>
    <w:rsid w:val="008E647B"/>
    <w:rsid w:val="008E6797"/>
    <w:rsid w:val="008E6F49"/>
    <w:rsid w:val="008E7674"/>
    <w:rsid w:val="008E7E8F"/>
    <w:rsid w:val="008F07BF"/>
    <w:rsid w:val="008F15CB"/>
    <w:rsid w:val="008F3914"/>
    <w:rsid w:val="008F39E3"/>
    <w:rsid w:val="008F480D"/>
    <w:rsid w:val="008F5476"/>
    <w:rsid w:val="008F57E4"/>
    <w:rsid w:val="008F79AA"/>
    <w:rsid w:val="00900A77"/>
    <w:rsid w:val="00903148"/>
    <w:rsid w:val="00906E3B"/>
    <w:rsid w:val="00910697"/>
    <w:rsid w:val="00910BA8"/>
    <w:rsid w:val="009124AC"/>
    <w:rsid w:val="00913245"/>
    <w:rsid w:val="00916F43"/>
    <w:rsid w:val="009172BE"/>
    <w:rsid w:val="009179A7"/>
    <w:rsid w:val="00917EDA"/>
    <w:rsid w:val="0092064F"/>
    <w:rsid w:val="009224B7"/>
    <w:rsid w:val="0092275C"/>
    <w:rsid w:val="0092309B"/>
    <w:rsid w:val="009237D8"/>
    <w:rsid w:val="00924843"/>
    <w:rsid w:val="00925125"/>
    <w:rsid w:val="00927582"/>
    <w:rsid w:val="00927E82"/>
    <w:rsid w:val="0093006B"/>
    <w:rsid w:val="00933D85"/>
    <w:rsid w:val="009363EC"/>
    <w:rsid w:val="00937BE4"/>
    <w:rsid w:val="00940231"/>
    <w:rsid w:val="009413EF"/>
    <w:rsid w:val="00942162"/>
    <w:rsid w:val="00945AA8"/>
    <w:rsid w:val="009465BC"/>
    <w:rsid w:val="00947750"/>
    <w:rsid w:val="0094792F"/>
    <w:rsid w:val="009507F7"/>
    <w:rsid w:val="0095185F"/>
    <w:rsid w:val="00953561"/>
    <w:rsid w:val="0095422D"/>
    <w:rsid w:val="00954B66"/>
    <w:rsid w:val="00954E73"/>
    <w:rsid w:val="009555A6"/>
    <w:rsid w:val="00956F09"/>
    <w:rsid w:val="00957C6E"/>
    <w:rsid w:val="009601B3"/>
    <w:rsid w:val="00961DAF"/>
    <w:rsid w:val="00961DF8"/>
    <w:rsid w:val="00962A59"/>
    <w:rsid w:val="009646D3"/>
    <w:rsid w:val="009665B2"/>
    <w:rsid w:val="00966ADF"/>
    <w:rsid w:val="009712F5"/>
    <w:rsid w:val="00975F27"/>
    <w:rsid w:val="00976E08"/>
    <w:rsid w:val="0097784F"/>
    <w:rsid w:val="009808D9"/>
    <w:rsid w:val="00980C0C"/>
    <w:rsid w:val="0098133D"/>
    <w:rsid w:val="009816D3"/>
    <w:rsid w:val="00981808"/>
    <w:rsid w:val="00984679"/>
    <w:rsid w:val="009863A1"/>
    <w:rsid w:val="00990046"/>
    <w:rsid w:val="009901CE"/>
    <w:rsid w:val="00990340"/>
    <w:rsid w:val="0099069F"/>
    <w:rsid w:val="009909D5"/>
    <w:rsid w:val="009915CD"/>
    <w:rsid w:val="009925EE"/>
    <w:rsid w:val="00992FDA"/>
    <w:rsid w:val="009954A4"/>
    <w:rsid w:val="00996F81"/>
    <w:rsid w:val="0099768F"/>
    <w:rsid w:val="009979E6"/>
    <w:rsid w:val="009A0290"/>
    <w:rsid w:val="009A1D25"/>
    <w:rsid w:val="009A3B16"/>
    <w:rsid w:val="009A4DC6"/>
    <w:rsid w:val="009A62C5"/>
    <w:rsid w:val="009A758B"/>
    <w:rsid w:val="009B00F0"/>
    <w:rsid w:val="009B2381"/>
    <w:rsid w:val="009B506C"/>
    <w:rsid w:val="009C1D40"/>
    <w:rsid w:val="009C2481"/>
    <w:rsid w:val="009C3F6C"/>
    <w:rsid w:val="009C4C1D"/>
    <w:rsid w:val="009D0BE8"/>
    <w:rsid w:val="009D1D3F"/>
    <w:rsid w:val="009D3D94"/>
    <w:rsid w:val="009D3DD3"/>
    <w:rsid w:val="009D4A7C"/>
    <w:rsid w:val="009D5619"/>
    <w:rsid w:val="009D6108"/>
    <w:rsid w:val="009D6733"/>
    <w:rsid w:val="009E12F9"/>
    <w:rsid w:val="009E2CCC"/>
    <w:rsid w:val="009E5B58"/>
    <w:rsid w:val="009E6685"/>
    <w:rsid w:val="009E6F99"/>
    <w:rsid w:val="009E756E"/>
    <w:rsid w:val="009F1C9C"/>
    <w:rsid w:val="009F398D"/>
    <w:rsid w:val="009F3D4B"/>
    <w:rsid w:val="009F3D8E"/>
    <w:rsid w:val="009F50BA"/>
    <w:rsid w:val="009F5A58"/>
    <w:rsid w:val="009F5B7C"/>
    <w:rsid w:val="009F6FC2"/>
    <w:rsid w:val="00A02C7D"/>
    <w:rsid w:val="00A02E1B"/>
    <w:rsid w:val="00A037DA"/>
    <w:rsid w:val="00A05C2F"/>
    <w:rsid w:val="00A06F42"/>
    <w:rsid w:val="00A127EE"/>
    <w:rsid w:val="00A1448C"/>
    <w:rsid w:val="00A14CB8"/>
    <w:rsid w:val="00A1526B"/>
    <w:rsid w:val="00A16002"/>
    <w:rsid w:val="00A1659C"/>
    <w:rsid w:val="00A20B4D"/>
    <w:rsid w:val="00A2187F"/>
    <w:rsid w:val="00A21D87"/>
    <w:rsid w:val="00A2338C"/>
    <w:rsid w:val="00A23ED9"/>
    <w:rsid w:val="00A24D20"/>
    <w:rsid w:val="00A254B6"/>
    <w:rsid w:val="00A265B1"/>
    <w:rsid w:val="00A27318"/>
    <w:rsid w:val="00A27816"/>
    <w:rsid w:val="00A2794B"/>
    <w:rsid w:val="00A30FA9"/>
    <w:rsid w:val="00A351D9"/>
    <w:rsid w:val="00A35404"/>
    <w:rsid w:val="00A36658"/>
    <w:rsid w:val="00A36AFB"/>
    <w:rsid w:val="00A37DBC"/>
    <w:rsid w:val="00A412FE"/>
    <w:rsid w:val="00A41660"/>
    <w:rsid w:val="00A41720"/>
    <w:rsid w:val="00A41D05"/>
    <w:rsid w:val="00A41D32"/>
    <w:rsid w:val="00A42446"/>
    <w:rsid w:val="00A452FB"/>
    <w:rsid w:val="00A46524"/>
    <w:rsid w:val="00A46CFC"/>
    <w:rsid w:val="00A47B5E"/>
    <w:rsid w:val="00A52467"/>
    <w:rsid w:val="00A5268A"/>
    <w:rsid w:val="00A55337"/>
    <w:rsid w:val="00A56C8A"/>
    <w:rsid w:val="00A57E3B"/>
    <w:rsid w:val="00A6094C"/>
    <w:rsid w:val="00A61269"/>
    <w:rsid w:val="00A62B6F"/>
    <w:rsid w:val="00A64021"/>
    <w:rsid w:val="00A64E2C"/>
    <w:rsid w:val="00A6574C"/>
    <w:rsid w:val="00A65F62"/>
    <w:rsid w:val="00A70797"/>
    <w:rsid w:val="00A7099D"/>
    <w:rsid w:val="00A72FB6"/>
    <w:rsid w:val="00A72FD7"/>
    <w:rsid w:val="00A73209"/>
    <w:rsid w:val="00A743BB"/>
    <w:rsid w:val="00A765AC"/>
    <w:rsid w:val="00A76AE5"/>
    <w:rsid w:val="00A76B17"/>
    <w:rsid w:val="00A80FF2"/>
    <w:rsid w:val="00A81911"/>
    <w:rsid w:val="00A82434"/>
    <w:rsid w:val="00A82AF0"/>
    <w:rsid w:val="00A833D4"/>
    <w:rsid w:val="00A8562D"/>
    <w:rsid w:val="00A86372"/>
    <w:rsid w:val="00A8798E"/>
    <w:rsid w:val="00A87A97"/>
    <w:rsid w:val="00A9027E"/>
    <w:rsid w:val="00A9374B"/>
    <w:rsid w:val="00A94390"/>
    <w:rsid w:val="00A95514"/>
    <w:rsid w:val="00A96E30"/>
    <w:rsid w:val="00AA05B2"/>
    <w:rsid w:val="00AA0648"/>
    <w:rsid w:val="00AA0826"/>
    <w:rsid w:val="00AA1F66"/>
    <w:rsid w:val="00AA30DF"/>
    <w:rsid w:val="00AA381A"/>
    <w:rsid w:val="00AA46DC"/>
    <w:rsid w:val="00AA590D"/>
    <w:rsid w:val="00AA603E"/>
    <w:rsid w:val="00AA6A90"/>
    <w:rsid w:val="00AB0752"/>
    <w:rsid w:val="00AB12A4"/>
    <w:rsid w:val="00AB7481"/>
    <w:rsid w:val="00AC0DCD"/>
    <w:rsid w:val="00AC2BB8"/>
    <w:rsid w:val="00AC3DCF"/>
    <w:rsid w:val="00AC4BD3"/>
    <w:rsid w:val="00AC6298"/>
    <w:rsid w:val="00AC7946"/>
    <w:rsid w:val="00AD0343"/>
    <w:rsid w:val="00AD0FAC"/>
    <w:rsid w:val="00AD23ED"/>
    <w:rsid w:val="00AD440C"/>
    <w:rsid w:val="00AD4740"/>
    <w:rsid w:val="00AD5414"/>
    <w:rsid w:val="00AD640F"/>
    <w:rsid w:val="00AD6588"/>
    <w:rsid w:val="00AD68DF"/>
    <w:rsid w:val="00AD72E1"/>
    <w:rsid w:val="00AD788A"/>
    <w:rsid w:val="00AE0C20"/>
    <w:rsid w:val="00AE1EF2"/>
    <w:rsid w:val="00AE45E1"/>
    <w:rsid w:val="00AE4AC6"/>
    <w:rsid w:val="00AE4DCA"/>
    <w:rsid w:val="00AE4FC3"/>
    <w:rsid w:val="00AE5220"/>
    <w:rsid w:val="00AE62ED"/>
    <w:rsid w:val="00AE67FF"/>
    <w:rsid w:val="00AE6933"/>
    <w:rsid w:val="00AF0A04"/>
    <w:rsid w:val="00AF37D0"/>
    <w:rsid w:val="00AF4472"/>
    <w:rsid w:val="00AF54A7"/>
    <w:rsid w:val="00AF5EC5"/>
    <w:rsid w:val="00AF6BD3"/>
    <w:rsid w:val="00B01A4D"/>
    <w:rsid w:val="00B021F4"/>
    <w:rsid w:val="00B02653"/>
    <w:rsid w:val="00B02AE6"/>
    <w:rsid w:val="00B047FE"/>
    <w:rsid w:val="00B068BA"/>
    <w:rsid w:val="00B06E7D"/>
    <w:rsid w:val="00B072FD"/>
    <w:rsid w:val="00B1278C"/>
    <w:rsid w:val="00B14940"/>
    <w:rsid w:val="00B15C60"/>
    <w:rsid w:val="00B15F65"/>
    <w:rsid w:val="00B20F23"/>
    <w:rsid w:val="00B21463"/>
    <w:rsid w:val="00B21655"/>
    <w:rsid w:val="00B2352B"/>
    <w:rsid w:val="00B24423"/>
    <w:rsid w:val="00B27935"/>
    <w:rsid w:val="00B27E4F"/>
    <w:rsid w:val="00B30DEB"/>
    <w:rsid w:val="00B335BD"/>
    <w:rsid w:val="00B33ED4"/>
    <w:rsid w:val="00B34218"/>
    <w:rsid w:val="00B35F47"/>
    <w:rsid w:val="00B361A6"/>
    <w:rsid w:val="00B363A9"/>
    <w:rsid w:val="00B367CE"/>
    <w:rsid w:val="00B3792C"/>
    <w:rsid w:val="00B420B0"/>
    <w:rsid w:val="00B43976"/>
    <w:rsid w:val="00B43C8C"/>
    <w:rsid w:val="00B4471D"/>
    <w:rsid w:val="00B4618D"/>
    <w:rsid w:val="00B46822"/>
    <w:rsid w:val="00B51970"/>
    <w:rsid w:val="00B5260E"/>
    <w:rsid w:val="00B535D7"/>
    <w:rsid w:val="00B53E12"/>
    <w:rsid w:val="00B54070"/>
    <w:rsid w:val="00B6004B"/>
    <w:rsid w:val="00B62DDF"/>
    <w:rsid w:val="00B70AF3"/>
    <w:rsid w:val="00B72C01"/>
    <w:rsid w:val="00B738D3"/>
    <w:rsid w:val="00B73978"/>
    <w:rsid w:val="00B73CD9"/>
    <w:rsid w:val="00B7652F"/>
    <w:rsid w:val="00B77C47"/>
    <w:rsid w:val="00B82015"/>
    <w:rsid w:val="00B82B63"/>
    <w:rsid w:val="00B83AEB"/>
    <w:rsid w:val="00B83F21"/>
    <w:rsid w:val="00B87411"/>
    <w:rsid w:val="00B9126F"/>
    <w:rsid w:val="00B9169C"/>
    <w:rsid w:val="00B91A10"/>
    <w:rsid w:val="00B93E2A"/>
    <w:rsid w:val="00B94BCA"/>
    <w:rsid w:val="00B95C37"/>
    <w:rsid w:val="00B96629"/>
    <w:rsid w:val="00B96890"/>
    <w:rsid w:val="00B976A3"/>
    <w:rsid w:val="00B9799A"/>
    <w:rsid w:val="00B97EC9"/>
    <w:rsid w:val="00BA11BB"/>
    <w:rsid w:val="00BA22CD"/>
    <w:rsid w:val="00BA2699"/>
    <w:rsid w:val="00BA40C0"/>
    <w:rsid w:val="00BA516E"/>
    <w:rsid w:val="00BA600B"/>
    <w:rsid w:val="00BA6AB8"/>
    <w:rsid w:val="00BB0525"/>
    <w:rsid w:val="00BB125B"/>
    <w:rsid w:val="00BB18D7"/>
    <w:rsid w:val="00BB1EEC"/>
    <w:rsid w:val="00BB2033"/>
    <w:rsid w:val="00BB7180"/>
    <w:rsid w:val="00BB79D7"/>
    <w:rsid w:val="00BC4335"/>
    <w:rsid w:val="00BC4AC2"/>
    <w:rsid w:val="00BC70E8"/>
    <w:rsid w:val="00BD0DDB"/>
    <w:rsid w:val="00BD1275"/>
    <w:rsid w:val="00BD12FC"/>
    <w:rsid w:val="00BD40C4"/>
    <w:rsid w:val="00BD555C"/>
    <w:rsid w:val="00BD7CFB"/>
    <w:rsid w:val="00BD7D14"/>
    <w:rsid w:val="00BE0911"/>
    <w:rsid w:val="00BE2FFC"/>
    <w:rsid w:val="00BE3185"/>
    <w:rsid w:val="00BE3DAC"/>
    <w:rsid w:val="00BE3E33"/>
    <w:rsid w:val="00BE40AC"/>
    <w:rsid w:val="00BE47FA"/>
    <w:rsid w:val="00BE7332"/>
    <w:rsid w:val="00BE7587"/>
    <w:rsid w:val="00BF0B10"/>
    <w:rsid w:val="00BF4020"/>
    <w:rsid w:val="00BF46B9"/>
    <w:rsid w:val="00BF5BC3"/>
    <w:rsid w:val="00BF7022"/>
    <w:rsid w:val="00C0097D"/>
    <w:rsid w:val="00C01344"/>
    <w:rsid w:val="00C0142D"/>
    <w:rsid w:val="00C015CF"/>
    <w:rsid w:val="00C0202E"/>
    <w:rsid w:val="00C02908"/>
    <w:rsid w:val="00C02C94"/>
    <w:rsid w:val="00C0682F"/>
    <w:rsid w:val="00C06D39"/>
    <w:rsid w:val="00C071E4"/>
    <w:rsid w:val="00C108EA"/>
    <w:rsid w:val="00C11710"/>
    <w:rsid w:val="00C11E14"/>
    <w:rsid w:val="00C13E73"/>
    <w:rsid w:val="00C144B1"/>
    <w:rsid w:val="00C1484C"/>
    <w:rsid w:val="00C14F31"/>
    <w:rsid w:val="00C1543E"/>
    <w:rsid w:val="00C155C2"/>
    <w:rsid w:val="00C1677E"/>
    <w:rsid w:val="00C17B65"/>
    <w:rsid w:val="00C210EC"/>
    <w:rsid w:val="00C2128E"/>
    <w:rsid w:val="00C21A40"/>
    <w:rsid w:val="00C2337F"/>
    <w:rsid w:val="00C23C79"/>
    <w:rsid w:val="00C254BE"/>
    <w:rsid w:val="00C2550A"/>
    <w:rsid w:val="00C2550E"/>
    <w:rsid w:val="00C27814"/>
    <w:rsid w:val="00C27CD8"/>
    <w:rsid w:val="00C30082"/>
    <w:rsid w:val="00C32E08"/>
    <w:rsid w:val="00C3383D"/>
    <w:rsid w:val="00C34665"/>
    <w:rsid w:val="00C34F07"/>
    <w:rsid w:val="00C350E9"/>
    <w:rsid w:val="00C35A71"/>
    <w:rsid w:val="00C37435"/>
    <w:rsid w:val="00C37CC6"/>
    <w:rsid w:val="00C4162B"/>
    <w:rsid w:val="00C4415F"/>
    <w:rsid w:val="00C443C9"/>
    <w:rsid w:val="00C45CD5"/>
    <w:rsid w:val="00C502EA"/>
    <w:rsid w:val="00C50E9C"/>
    <w:rsid w:val="00C51C63"/>
    <w:rsid w:val="00C52807"/>
    <w:rsid w:val="00C531BC"/>
    <w:rsid w:val="00C53513"/>
    <w:rsid w:val="00C54D48"/>
    <w:rsid w:val="00C568AF"/>
    <w:rsid w:val="00C57A97"/>
    <w:rsid w:val="00C63A89"/>
    <w:rsid w:val="00C646A9"/>
    <w:rsid w:val="00C64F59"/>
    <w:rsid w:val="00C652A6"/>
    <w:rsid w:val="00C65BAF"/>
    <w:rsid w:val="00C65F6D"/>
    <w:rsid w:val="00C72F40"/>
    <w:rsid w:val="00C730AA"/>
    <w:rsid w:val="00C74707"/>
    <w:rsid w:val="00C76ADB"/>
    <w:rsid w:val="00C775D7"/>
    <w:rsid w:val="00C77B4D"/>
    <w:rsid w:val="00C77F30"/>
    <w:rsid w:val="00C835B4"/>
    <w:rsid w:val="00C83BF7"/>
    <w:rsid w:val="00C8481C"/>
    <w:rsid w:val="00C84C2A"/>
    <w:rsid w:val="00C861B3"/>
    <w:rsid w:val="00C86C9C"/>
    <w:rsid w:val="00C87145"/>
    <w:rsid w:val="00C91872"/>
    <w:rsid w:val="00C950E0"/>
    <w:rsid w:val="00C96A27"/>
    <w:rsid w:val="00C96B59"/>
    <w:rsid w:val="00CA0F86"/>
    <w:rsid w:val="00CA42D3"/>
    <w:rsid w:val="00CA4F4F"/>
    <w:rsid w:val="00CA545B"/>
    <w:rsid w:val="00CA5C0E"/>
    <w:rsid w:val="00CA7110"/>
    <w:rsid w:val="00CA7FDB"/>
    <w:rsid w:val="00CB013B"/>
    <w:rsid w:val="00CB1330"/>
    <w:rsid w:val="00CB1406"/>
    <w:rsid w:val="00CB1FFF"/>
    <w:rsid w:val="00CB34AF"/>
    <w:rsid w:val="00CB392E"/>
    <w:rsid w:val="00CB3B12"/>
    <w:rsid w:val="00CB49FF"/>
    <w:rsid w:val="00CB56E8"/>
    <w:rsid w:val="00CC41B7"/>
    <w:rsid w:val="00CC4B3D"/>
    <w:rsid w:val="00CC4F0D"/>
    <w:rsid w:val="00CC7A2B"/>
    <w:rsid w:val="00CD22CE"/>
    <w:rsid w:val="00CD3888"/>
    <w:rsid w:val="00CE1683"/>
    <w:rsid w:val="00CE16C4"/>
    <w:rsid w:val="00CE206E"/>
    <w:rsid w:val="00CE6187"/>
    <w:rsid w:val="00CE6FC7"/>
    <w:rsid w:val="00CE7726"/>
    <w:rsid w:val="00CF0574"/>
    <w:rsid w:val="00CF58FA"/>
    <w:rsid w:val="00CF641F"/>
    <w:rsid w:val="00CF6972"/>
    <w:rsid w:val="00CF6E21"/>
    <w:rsid w:val="00CF7BFC"/>
    <w:rsid w:val="00D00EE4"/>
    <w:rsid w:val="00D01180"/>
    <w:rsid w:val="00D02A7B"/>
    <w:rsid w:val="00D02D99"/>
    <w:rsid w:val="00D03FCA"/>
    <w:rsid w:val="00D041E0"/>
    <w:rsid w:val="00D0422D"/>
    <w:rsid w:val="00D053ED"/>
    <w:rsid w:val="00D10804"/>
    <w:rsid w:val="00D11CE1"/>
    <w:rsid w:val="00D11D12"/>
    <w:rsid w:val="00D11DB2"/>
    <w:rsid w:val="00D11DC3"/>
    <w:rsid w:val="00D1247D"/>
    <w:rsid w:val="00D132D7"/>
    <w:rsid w:val="00D13677"/>
    <w:rsid w:val="00D13E03"/>
    <w:rsid w:val="00D153FD"/>
    <w:rsid w:val="00D171BA"/>
    <w:rsid w:val="00D1B7AD"/>
    <w:rsid w:val="00D20380"/>
    <w:rsid w:val="00D205F6"/>
    <w:rsid w:val="00D20CF9"/>
    <w:rsid w:val="00D21BA6"/>
    <w:rsid w:val="00D227A8"/>
    <w:rsid w:val="00D2300C"/>
    <w:rsid w:val="00D24AF5"/>
    <w:rsid w:val="00D24F6B"/>
    <w:rsid w:val="00D25061"/>
    <w:rsid w:val="00D2758E"/>
    <w:rsid w:val="00D27C63"/>
    <w:rsid w:val="00D30537"/>
    <w:rsid w:val="00D30DC1"/>
    <w:rsid w:val="00D31738"/>
    <w:rsid w:val="00D33555"/>
    <w:rsid w:val="00D335EB"/>
    <w:rsid w:val="00D3407F"/>
    <w:rsid w:val="00D355A9"/>
    <w:rsid w:val="00D358C3"/>
    <w:rsid w:val="00D36636"/>
    <w:rsid w:val="00D36BA2"/>
    <w:rsid w:val="00D37292"/>
    <w:rsid w:val="00D40FAE"/>
    <w:rsid w:val="00D4168C"/>
    <w:rsid w:val="00D41E59"/>
    <w:rsid w:val="00D42A64"/>
    <w:rsid w:val="00D435A5"/>
    <w:rsid w:val="00D44529"/>
    <w:rsid w:val="00D44774"/>
    <w:rsid w:val="00D44DE4"/>
    <w:rsid w:val="00D4566B"/>
    <w:rsid w:val="00D46267"/>
    <w:rsid w:val="00D47AA5"/>
    <w:rsid w:val="00D51604"/>
    <w:rsid w:val="00D5305B"/>
    <w:rsid w:val="00D53C30"/>
    <w:rsid w:val="00D54460"/>
    <w:rsid w:val="00D55A4F"/>
    <w:rsid w:val="00D560F7"/>
    <w:rsid w:val="00D572FF"/>
    <w:rsid w:val="00D609A9"/>
    <w:rsid w:val="00D61293"/>
    <w:rsid w:val="00D619E1"/>
    <w:rsid w:val="00D62386"/>
    <w:rsid w:val="00D65873"/>
    <w:rsid w:val="00D701BA"/>
    <w:rsid w:val="00D704D9"/>
    <w:rsid w:val="00D710B1"/>
    <w:rsid w:val="00D71E8A"/>
    <w:rsid w:val="00D740BE"/>
    <w:rsid w:val="00D766E5"/>
    <w:rsid w:val="00D7764D"/>
    <w:rsid w:val="00D8235B"/>
    <w:rsid w:val="00D849DA"/>
    <w:rsid w:val="00D85350"/>
    <w:rsid w:val="00D85CD6"/>
    <w:rsid w:val="00D86195"/>
    <w:rsid w:val="00D8626C"/>
    <w:rsid w:val="00D87C58"/>
    <w:rsid w:val="00D90664"/>
    <w:rsid w:val="00D90951"/>
    <w:rsid w:val="00D919DA"/>
    <w:rsid w:val="00D94BE4"/>
    <w:rsid w:val="00D94FD0"/>
    <w:rsid w:val="00D97695"/>
    <w:rsid w:val="00DA10B1"/>
    <w:rsid w:val="00DA20A4"/>
    <w:rsid w:val="00DA45C8"/>
    <w:rsid w:val="00DA52B4"/>
    <w:rsid w:val="00DA6350"/>
    <w:rsid w:val="00DA64AC"/>
    <w:rsid w:val="00DA6ADB"/>
    <w:rsid w:val="00DA72EF"/>
    <w:rsid w:val="00DB09A3"/>
    <w:rsid w:val="00DB111E"/>
    <w:rsid w:val="00DB231D"/>
    <w:rsid w:val="00DB31F4"/>
    <w:rsid w:val="00DB3BDB"/>
    <w:rsid w:val="00DB5F48"/>
    <w:rsid w:val="00DB6981"/>
    <w:rsid w:val="00DB7F45"/>
    <w:rsid w:val="00DC11B9"/>
    <w:rsid w:val="00DC1B12"/>
    <w:rsid w:val="00DC2CDD"/>
    <w:rsid w:val="00DC33F3"/>
    <w:rsid w:val="00DC39B5"/>
    <w:rsid w:val="00DC3ADC"/>
    <w:rsid w:val="00DC45C7"/>
    <w:rsid w:val="00DC4B1F"/>
    <w:rsid w:val="00DC64A1"/>
    <w:rsid w:val="00DD0C5F"/>
    <w:rsid w:val="00DD0F1C"/>
    <w:rsid w:val="00DD10CD"/>
    <w:rsid w:val="00DD293C"/>
    <w:rsid w:val="00DD51A5"/>
    <w:rsid w:val="00DD6DD4"/>
    <w:rsid w:val="00DE10B1"/>
    <w:rsid w:val="00DE14BC"/>
    <w:rsid w:val="00DE181B"/>
    <w:rsid w:val="00DE1B85"/>
    <w:rsid w:val="00DE2410"/>
    <w:rsid w:val="00DE25CF"/>
    <w:rsid w:val="00DE27C9"/>
    <w:rsid w:val="00DE2C77"/>
    <w:rsid w:val="00DE31E7"/>
    <w:rsid w:val="00DE3245"/>
    <w:rsid w:val="00DE32A9"/>
    <w:rsid w:val="00DE3591"/>
    <w:rsid w:val="00DE3DC7"/>
    <w:rsid w:val="00DE5924"/>
    <w:rsid w:val="00DE78F0"/>
    <w:rsid w:val="00DF169E"/>
    <w:rsid w:val="00DF2F3E"/>
    <w:rsid w:val="00DF37B7"/>
    <w:rsid w:val="00DF3CB0"/>
    <w:rsid w:val="00DF4E00"/>
    <w:rsid w:val="00DF7B94"/>
    <w:rsid w:val="00E0057A"/>
    <w:rsid w:val="00E007BE"/>
    <w:rsid w:val="00E009AF"/>
    <w:rsid w:val="00E00A03"/>
    <w:rsid w:val="00E00FCB"/>
    <w:rsid w:val="00E0130F"/>
    <w:rsid w:val="00E02465"/>
    <w:rsid w:val="00E02C9D"/>
    <w:rsid w:val="00E03810"/>
    <w:rsid w:val="00E055C0"/>
    <w:rsid w:val="00E0754E"/>
    <w:rsid w:val="00E104C5"/>
    <w:rsid w:val="00E10A87"/>
    <w:rsid w:val="00E11861"/>
    <w:rsid w:val="00E118B1"/>
    <w:rsid w:val="00E13FC0"/>
    <w:rsid w:val="00E146FC"/>
    <w:rsid w:val="00E15024"/>
    <w:rsid w:val="00E16162"/>
    <w:rsid w:val="00E20144"/>
    <w:rsid w:val="00E23449"/>
    <w:rsid w:val="00E236F1"/>
    <w:rsid w:val="00E251D6"/>
    <w:rsid w:val="00E26EBF"/>
    <w:rsid w:val="00E27374"/>
    <w:rsid w:val="00E310BA"/>
    <w:rsid w:val="00E322E9"/>
    <w:rsid w:val="00E34AE0"/>
    <w:rsid w:val="00E35A33"/>
    <w:rsid w:val="00E35E10"/>
    <w:rsid w:val="00E44082"/>
    <w:rsid w:val="00E44FFB"/>
    <w:rsid w:val="00E451B6"/>
    <w:rsid w:val="00E4695B"/>
    <w:rsid w:val="00E477AF"/>
    <w:rsid w:val="00E50F37"/>
    <w:rsid w:val="00E51332"/>
    <w:rsid w:val="00E52B0F"/>
    <w:rsid w:val="00E5322A"/>
    <w:rsid w:val="00E537F5"/>
    <w:rsid w:val="00E53D2D"/>
    <w:rsid w:val="00E541B1"/>
    <w:rsid w:val="00E55DF7"/>
    <w:rsid w:val="00E564FF"/>
    <w:rsid w:val="00E56FCD"/>
    <w:rsid w:val="00E571F3"/>
    <w:rsid w:val="00E57296"/>
    <w:rsid w:val="00E63D00"/>
    <w:rsid w:val="00E64E7F"/>
    <w:rsid w:val="00E64EAF"/>
    <w:rsid w:val="00E64F58"/>
    <w:rsid w:val="00E65017"/>
    <w:rsid w:val="00E6745A"/>
    <w:rsid w:val="00E70107"/>
    <w:rsid w:val="00E71F32"/>
    <w:rsid w:val="00E71F95"/>
    <w:rsid w:val="00E72018"/>
    <w:rsid w:val="00E73E9F"/>
    <w:rsid w:val="00E750B5"/>
    <w:rsid w:val="00E75DB3"/>
    <w:rsid w:val="00E765AA"/>
    <w:rsid w:val="00E76C24"/>
    <w:rsid w:val="00E772BB"/>
    <w:rsid w:val="00E77D4A"/>
    <w:rsid w:val="00E8097A"/>
    <w:rsid w:val="00E866B8"/>
    <w:rsid w:val="00E871C2"/>
    <w:rsid w:val="00E94C77"/>
    <w:rsid w:val="00E97A8F"/>
    <w:rsid w:val="00E97D02"/>
    <w:rsid w:val="00EA0997"/>
    <w:rsid w:val="00EA1D0A"/>
    <w:rsid w:val="00EA3BCC"/>
    <w:rsid w:val="00EA422D"/>
    <w:rsid w:val="00EA5753"/>
    <w:rsid w:val="00EA6292"/>
    <w:rsid w:val="00EA7B13"/>
    <w:rsid w:val="00EB0FB9"/>
    <w:rsid w:val="00EB1DE1"/>
    <w:rsid w:val="00EB2422"/>
    <w:rsid w:val="00EB2589"/>
    <w:rsid w:val="00EB2990"/>
    <w:rsid w:val="00EB2ED7"/>
    <w:rsid w:val="00EB38E3"/>
    <w:rsid w:val="00EB448C"/>
    <w:rsid w:val="00EB5358"/>
    <w:rsid w:val="00EB5D71"/>
    <w:rsid w:val="00EB5F30"/>
    <w:rsid w:val="00EB6E55"/>
    <w:rsid w:val="00EB6F1A"/>
    <w:rsid w:val="00EB755E"/>
    <w:rsid w:val="00EC059A"/>
    <w:rsid w:val="00EC08B7"/>
    <w:rsid w:val="00EC09DB"/>
    <w:rsid w:val="00EC31C7"/>
    <w:rsid w:val="00EC40D5"/>
    <w:rsid w:val="00EC41B1"/>
    <w:rsid w:val="00EC5D97"/>
    <w:rsid w:val="00EC5DA7"/>
    <w:rsid w:val="00EC65C4"/>
    <w:rsid w:val="00EC7146"/>
    <w:rsid w:val="00ED13AB"/>
    <w:rsid w:val="00ED2BD5"/>
    <w:rsid w:val="00ED366F"/>
    <w:rsid w:val="00ED4F6C"/>
    <w:rsid w:val="00ED58CF"/>
    <w:rsid w:val="00EE01E0"/>
    <w:rsid w:val="00EE14BC"/>
    <w:rsid w:val="00EE28B0"/>
    <w:rsid w:val="00EE358A"/>
    <w:rsid w:val="00EE59A6"/>
    <w:rsid w:val="00EE6335"/>
    <w:rsid w:val="00EE7646"/>
    <w:rsid w:val="00EF1704"/>
    <w:rsid w:val="00EF2149"/>
    <w:rsid w:val="00EF2A99"/>
    <w:rsid w:val="00EF4DB0"/>
    <w:rsid w:val="00EF5022"/>
    <w:rsid w:val="00EF57C1"/>
    <w:rsid w:val="00F00D75"/>
    <w:rsid w:val="00F00DC7"/>
    <w:rsid w:val="00F03269"/>
    <w:rsid w:val="00F05F81"/>
    <w:rsid w:val="00F077E0"/>
    <w:rsid w:val="00F10E98"/>
    <w:rsid w:val="00F1142E"/>
    <w:rsid w:val="00F11BA0"/>
    <w:rsid w:val="00F11D2F"/>
    <w:rsid w:val="00F12F76"/>
    <w:rsid w:val="00F14737"/>
    <w:rsid w:val="00F14D6C"/>
    <w:rsid w:val="00F156FA"/>
    <w:rsid w:val="00F159A4"/>
    <w:rsid w:val="00F2145E"/>
    <w:rsid w:val="00F25056"/>
    <w:rsid w:val="00F251F0"/>
    <w:rsid w:val="00F271F2"/>
    <w:rsid w:val="00F273E3"/>
    <w:rsid w:val="00F27F57"/>
    <w:rsid w:val="00F3089B"/>
    <w:rsid w:val="00F31EAB"/>
    <w:rsid w:val="00F35F77"/>
    <w:rsid w:val="00F3706C"/>
    <w:rsid w:val="00F379C4"/>
    <w:rsid w:val="00F43F4F"/>
    <w:rsid w:val="00F43FF1"/>
    <w:rsid w:val="00F45628"/>
    <w:rsid w:val="00F460FB"/>
    <w:rsid w:val="00F46447"/>
    <w:rsid w:val="00F466F1"/>
    <w:rsid w:val="00F46885"/>
    <w:rsid w:val="00F5001E"/>
    <w:rsid w:val="00F50740"/>
    <w:rsid w:val="00F51184"/>
    <w:rsid w:val="00F52781"/>
    <w:rsid w:val="00F5309A"/>
    <w:rsid w:val="00F53A68"/>
    <w:rsid w:val="00F54894"/>
    <w:rsid w:val="00F54A66"/>
    <w:rsid w:val="00F54CD9"/>
    <w:rsid w:val="00F54F51"/>
    <w:rsid w:val="00F559E8"/>
    <w:rsid w:val="00F567ED"/>
    <w:rsid w:val="00F60210"/>
    <w:rsid w:val="00F60FC9"/>
    <w:rsid w:val="00F61167"/>
    <w:rsid w:val="00F61ECB"/>
    <w:rsid w:val="00F62433"/>
    <w:rsid w:val="00F663F2"/>
    <w:rsid w:val="00F668D6"/>
    <w:rsid w:val="00F66F59"/>
    <w:rsid w:val="00F67627"/>
    <w:rsid w:val="00F6774A"/>
    <w:rsid w:val="00F73D87"/>
    <w:rsid w:val="00F7498D"/>
    <w:rsid w:val="00F75FE2"/>
    <w:rsid w:val="00F760B4"/>
    <w:rsid w:val="00F76602"/>
    <w:rsid w:val="00F766F8"/>
    <w:rsid w:val="00F772C4"/>
    <w:rsid w:val="00F8185A"/>
    <w:rsid w:val="00F82F55"/>
    <w:rsid w:val="00F849EF"/>
    <w:rsid w:val="00F84DD8"/>
    <w:rsid w:val="00F85585"/>
    <w:rsid w:val="00F85B3F"/>
    <w:rsid w:val="00F8680B"/>
    <w:rsid w:val="00F873A3"/>
    <w:rsid w:val="00F87B78"/>
    <w:rsid w:val="00F93512"/>
    <w:rsid w:val="00F93C44"/>
    <w:rsid w:val="00F93FFD"/>
    <w:rsid w:val="00F956D0"/>
    <w:rsid w:val="00F95C93"/>
    <w:rsid w:val="00FA059B"/>
    <w:rsid w:val="00FA096A"/>
    <w:rsid w:val="00FA18C3"/>
    <w:rsid w:val="00FA2455"/>
    <w:rsid w:val="00FA2F00"/>
    <w:rsid w:val="00FA38B9"/>
    <w:rsid w:val="00FA3B3A"/>
    <w:rsid w:val="00FA4D96"/>
    <w:rsid w:val="00FA6510"/>
    <w:rsid w:val="00FA7117"/>
    <w:rsid w:val="00FA7C6A"/>
    <w:rsid w:val="00FA7CFF"/>
    <w:rsid w:val="00FA7D39"/>
    <w:rsid w:val="00FB0FCD"/>
    <w:rsid w:val="00FB2AD0"/>
    <w:rsid w:val="00FB43EB"/>
    <w:rsid w:val="00FB52FF"/>
    <w:rsid w:val="00FB5FA4"/>
    <w:rsid w:val="00FC220C"/>
    <w:rsid w:val="00FC2578"/>
    <w:rsid w:val="00FC5DB3"/>
    <w:rsid w:val="00FC6A8F"/>
    <w:rsid w:val="00FC6D55"/>
    <w:rsid w:val="00FC7162"/>
    <w:rsid w:val="00FC7762"/>
    <w:rsid w:val="00FD2DC9"/>
    <w:rsid w:val="00FD3CDC"/>
    <w:rsid w:val="00FD7810"/>
    <w:rsid w:val="00FD79B9"/>
    <w:rsid w:val="00FE05D5"/>
    <w:rsid w:val="00FE0B3F"/>
    <w:rsid w:val="00FE2EE6"/>
    <w:rsid w:val="00FE36A7"/>
    <w:rsid w:val="00FE3962"/>
    <w:rsid w:val="00FE4373"/>
    <w:rsid w:val="00FE5F85"/>
    <w:rsid w:val="00FE7676"/>
    <w:rsid w:val="00FE7E9B"/>
    <w:rsid w:val="00FF063F"/>
    <w:rsid w:val="00FF21CB"/>
    <w:rsid w:val="00FF4171"/>
    <w:rsid w:val="00FF4611"/>
    <w:rsid w:val="00FF4D9A"/>
    <w:rsid w:val="00FF5400"/>
    <w:rsid w:val="00FF7452"/>
    <w:rsid w:val="0132C9B4"/>
    <w:rsid w:val="0179D864"/>
    <w:rsid w:val="022EC5CE"/>
    <w:rsid w:val="025A9429"/>
    <w:rsid w:val="0278C05F"/>
    <w:rsid w:val="02AE9BB5"/>
    <w:rsid w:val="02F3C656"/>
    <w:rsid w:val="02FCA300"/>
    <w:rsid w:val="030C9A00"/>
    <w:rsid w:val="032527E5"/>
    <w:rsid w:val="037DFFC2"/>
    <w:rsid w:val="03D38B5B"/>
    <w:rsid w:val="03ED0371"/>
    <w:rsid w:val="041D0ACA"/>
    <w:rsid w:val="042D81A5"/>
    <w:rsid w:val="045097A0"/>
    <w:rsid w:val="0492A7FF"/>
    <w:rsid w:val="04B82AA6"/>
    <w:rsid w:val="04EB0EC2"/>
    <w:rsid w:val="05776D63"/>
    <w:rsid w:val="05BA4249"/>
    <w:rsid w:val="0636767D"/>
    <w:rsid w:val="06956AB2"/>
    <w:rsid w:val="071E846D"/>
    <w:rsid w:val="07A8CDD2"/>
    <w:rsid w:val="07AC9166"/>
    <w:rsid w:val="07DB0AB4"/>
    <w:rsid w:val="07E97A64"/>
    <w:rsid w:val="0840DF55"/>
    <w:rsid w:val="0869C056"/>
    <w:rsid w:val="08715DEB"/>
    <w:rsid w:val="08809D63"/>
    <w:rsid w:val="08DBDA08"/>
    <w:rsid w:val="09054960"/>
    <w:rsid w:val="0934B565"/>
    <w:rsid w:val="094F5282"/>
    <w:rsid w:val="09571663"/>
    <w:rsid w:val="095AC336"/>
    <w:rsid w:val="097AB166"/>
    <w:rsid w:val="09B8BC1C"/>
    <w:rsid w:val="0A164695"/>
    <w:rsid w:val="0A346CAB"/>
    <w:rsid w:val="0A528776"/>
    <w:rsid w:val="0ADCB8AB"/>
    <w:rsid w:val="0ADFDF3E"/>
    <w:rsid w:val="0AF1FB6A"/>
    <w:rsid w:val="0B328757"/>
    <w:rsid w:val="0B7B2379"/>
    <w:rsid w:val="0BFF84D1"/>
    <w:rsid w:val="0C4FF593"/>
    <w:rsid w:val="0CF1E412"/>
    <w:rsid w:val="0D45E86C"/>
    <w:rsid w:val="0D94D701"/>
    <w:rsid w:val="0E38EDC0"/>
    <w:rsid w:val="0E414177"/>
    <w:rsid w:val="0E7FE663"/>
    <w:rsid w:val="0F28A090"/>
    <w:rsid w:val="0F2D47B5"/>
    <w:rsid w:val="103767CF"/>
    <w:rsid w:val="107EEA7F"/>
    <w:rsid w:val="108F8612"/>
    <w:rsid w:val="10B21685"/>
    <w:rsid w:val="10E7DD76"/>
    <w:rsid w:val="1107758B"/>
    <w:rsid w:val="11A6DCB0"/>
    <w:rsid w:val="11F00999"/>
    <w:rsid w:val="1201E1E4"/>
    <w:rsid w:val="1208D423"/>
    <w:rsid w:val="12495905"/>
    <w:rsid w:val="128BD0AA"/>
    <w:rsid w:val="130F5F7D"/>
    <w:rsid w:val="131C32A4"/>
    <w:rsid w:val="133BB9E8"/>
    <w:rsid w:val="13711E91"/>
    <w:rsid w:val="1463F61F"/>
    <w:rsid w:val="1487B9FA"/>
    <w:rsid w:val="14C3AD98"/>
    <w:rsid w:val="14D5D218"/>
    <w:rsid w:val="14F3DA0F"/>
    <w:rsid w:val="152AD205"/>
    <w:rsid w:val="1612A896"/>
    <w:rsid w:val="161BEA63"/>
    <w:rsid w:val="171064F3"/>
    <w:rsid w:val="171DEF2C"/>
    <w:rsid w:val="179C2D99"/>
    <w:rsid w:val="17F553A5"/>
    <w:rsid w:val="18C9E31C"/>
    <w:rsid w:val="18F06F71"/>
    <w:rsid w:val="190497A7"/>
    <w:rsid w:val="19057435"/>
    <w:rsid w:val="196F7803"/>
    <w:rsid w:val="197A621D"/>
    <w:rsid w:val="197A675E"/>
    <w:rsid w:val="19F7C029"/>
    <w:rsid w:val="1A75065D"/>
    <w:rsid w:val="1A934EC0"/>
    <w:rsid w:val="1B4939E1"/>
    <w:rsid w:val="1B7E00B0"/>
    <w:rsid w:val="1B8A11E4"/>
    <w:rsid w:val="1BF20A5A"/>
    <w:rsid w:val="1C48A906"/>
    <w:rsid w:val="1CCBE314"/>
    <w:rsid w:val="1D01300F"/>
    <w:rsid w:val="1D21930C"/>
    <w:rsid w:val="1D3F5572"/>
    <w:rsid w:val="1D81C5D0"/>
    <w:rsid w:val="1DC2ECE0"/>
    <w:rsid w:val="1DE2E6B0"/>
    <w:rsid w:val="1E29471B"/>
    <w:rsid w:val="1E4290B1"/>
    <w:rsid w:val="1E8756B7"/>
    <w:rsid w:val="1E92FBCE"/>
    <w:rsid w:val="1EA3FE93"/>
    <w:rsid w:val="1EAE8AD1"/>
    <w:rsid w:val="1EB64EC6"/>
    <w:rsid w:val="1ED526FF"/>
    <w:rsid w:val="1F2FE026"/>
    <w:rsid w:val="1F98D652"/>
    <w:rsid w:val="1FA81414"/>
    <w:rsid w:val="202DFEC4"/>
    <w:rsid w:val="209DC100"/>
    <w:rsid w:val="20DDE1E1"/>
    <w:rsid w:val="216DEB56"/>
    <w:rsid w:val="2198870F"/>
    <w:rsid w:val="21C55F44"/>
    <w:rsid w:val="21F27DA5"/>
    <w:rsid w:val="2232F5AB"/>
    <w:rsid w:val="2265D84F"/>
    <w:rsid w:val="22E8B386"/>
    <w:rsid w:val="22F9C640"/>
    <w:rsid w:val="231A30F7"/>
    <w:rsid w:val="233AD327"/>
    <w:rsid w:val="2367E246"/>
    <w:rsid w:val="23776F41"/>
    <w:rsid w:val="2447F740"/>
    <w:rsid w:val="252F9FDE"/>
    <w:rsid w:val="255D1C61"/>
    <w:rsid w:val="258D87BD"/>
    <w:rsid w:val="260A592C"/>
    <w:rsid w:val="262F18DA"/>
    <w:rsid w:val="2637F08E"/>
    <w:rsid w:val="26DA4C9F"/>
    <w:rsid w:val="26ECF481"/>
    <w:rsid w:val="2704F57A"/>
    <w:rsid w:val="273F7AF2"/>
    <w:rsid w:val="27EF38CA"/>
    <w:rsid w:val="28006BF8"/>
    <w:rsid w:val="280E4562"/>
    <w:rsid w:val="29450B82"/>
    <w:rsid w:val="2955CFE9"/>
    <w:rsid w:val="29C64AAC"/>
    <w:rsid w:val="2B1B91ED"/>
    <w:rsid w:val="2B1BC337"/>
    <w:rsid w:val="2B8485F8"/>
    <w:rsid w:val="2BA0B037"/>
    <w:rsid w:val="2BAC97F3"/>
    <w:rsid w:val="2BC87710"/>
    <w:rsid w:val="2C2F2010"/>
    <w:rsid w:val="2C7B5FD4"/>
    <w:rsid w:val="2D955DFF"/>
    <w:rsid w:val="2DA75600"/>
    <w:rsid w:val="2E2B5C9F"/>
    <w:rsid w:val="2E3D709B"/>
    <w:rsid w:val="2E9B3D60"/>
    <w:rsid w:val="2F40E073"/>
    <w:rsid w:val="2F59533A"/>
    <w:rsid w:val="2F7EF1CE"/>
    <w:rsid w:val="2FC52799"/>
    <w:rsid w:val="2FFC6948"/>
    <w:rsid w:val="30E4D1C0"/>
    <w:rsid w:val="30E7CFAD"/>
    <w:rsid w:val="31188EAF"/>
    <w:rsid w:val="31752C5E"/>
    <w:rsid w:val="3290A4C2"/>
    <w:rsid w:val="32B40A75"/>
    <w:rsid w:val="32C1B1B4"/>
    <w:rsid w:val="335A2996"/>
    <w:rsid w:val="3414288D"/>
    <w:rsid w:val="346E19D9"/>
    <w:rsid w:val="34779875"/>
    <w:rsid w:val="34C1D340"/>
    <w:rsid w:val="34FC1099"/>
    <w:rsid w:val="3516905C"/>
    <w:rsid w:val="354E18FB"/>
    <w:rsid w:val="35633FD2"/>
    <w:rsid w:val="35B351F7"/>
    <w:rsid w:val="35FFE892"/>
    <w:rsid w:val="36606268"/>
    <w:rsid w:val="366D2CAA"/>
    <w:rsid w:val="36CCAC51"/>
    <w:rsid w:val="37103E4C"/>
    <w:rsid w:val="372D1C5A"/>
    <w:rsid w:val="373EB8FC"/>
    <w:rsid w:val="376DAA60"/>
    <w:rsid w:val="377551FE"/>
    <w:rsid w:val="378A65F6"/>
    <w:rsid w:val="37A5E900"/>
    <w:rsid w:val="37EC02F9"/>
    <w:rsid w:val="380DCEFA"/>
    <w:rsid w:val="38197173"/>
    <w:rsid w:val="3895F6EC"/>
    <w:rsid w:val="38D0F645"/>
    <w:rsid w:val="390101DD"/>
    <w:rsid w:val="392AE07B"/>
    <w:rsid w:val="392B1F5C"/>
    <w:rsid w:val="398D90F3"/>
    <w:rsid w:val="39C59EFA"/>
    <w:rsid w:val="39D63B55"/>
    <w:rsid w:val="39F66622"/>
    <w:rsid w:val="3A119932"/>
    <w:rsid w:val="3A2FA887"/>
    <w:rsid w:val="3A657AD9"/>
    <w:rsid w:val="3A7934C1"/>
    <w:rsid w:val="3A7E62B8"/>
    <w:rsid w:val="3A9041BD"/>
    <w:rsid w:val="3AB5E533"/>
    <w:rsid w:val="3AD228BD"/>
    <w:rsid w:val="3B5BCFB0"/>
    <w:rsid w:val="3B5CB1CC"/>
    <w:rsid w:val="3B726281"/>
    <w:rsid w:val="3B8BF90A"/>
    <w:rsid w:val="3BB1D331"/>
    <w:rsid w:val="3BD8417E"/>
    <w:rsid w:val="3C055A74"/>
    <w:rsid w:val="3C1CF3C3"/>
    <w:rsid w:val="3C3BFA51"/>
    <w:rsid w:val="3C54678C"/>
    <w:rsid w:val="3C5E254D"/>
    <w:rsid w:val="3CB30EB7"/>
    <w:rsid w:val="3CC2F08B"/>
    <w:rsid w:val="3CD7C847"/>
    <w:rsid w:val="3CE41545"/>
    <w:rsid w:val="3DAA5451"/>
    <w:rsid w:val="3DAFB7BA"/>
    <w:rsid w:val="3DC18A9B"/>
    <w:rsid w:val="3DEAAF5C"/>
    <w:rsid w:val="3E41779E"/>
    <w:rsid w:val="3EF3BBA4"/>
    <w:rsid w:val="3F460482"/>
    <w:rsid w:val="3F71146E"/>
    <w:rsid w:val="3FA3AAFA"/>
    <w:rsid w:val="3FA669E4"/>
    <w:rsid w:val="3FB8F847"/>
    <w:rsid w:val="404F6FAD"/>
    <w:rsid w:val="40583B23"/>
    <w:rsid w:val="40993FC8"/>
    <w:rsid w:val="40AEB38D"/>
    <w:rsid w:val="40F40657"/>
    <w:rsid w:val="413807D0"/>
    <w:rsid w:val="41A1A562"/>
    <w:rsid w:val="41B930C9"/>
    <w:rsid w:val="41C03272"/>
    <w:rsid w:val="41DB55E0"/>
    <w:rsid w:val="4212F59B"/>
    <w:rsid w:val="425A7A53"/>
    <w:rsid w:val="42713963"/>
    <w:rsid w:val="42996EE6"/>
    <w:rsid w:val="42F241BE"/>
    <w:rsid w:val="4360DAF4"/>
    <w:rsid w:val="43CB7AB9"/>
    <w:rsid w:val="43D4FC34"/>
    <w:rsid w:val="4423B956"/>
    <w:rsid w:val="44273865"/>
    <w:rsid w:val="442CCCB7"/>
    <w:rsid w:val="442DD9EA"/>
    <w:rsid w:val="44309093"/>
    <w:rsid w:val="44A2CF3B"/>
    <w:rsid w:val="44D312B3"/>
    <w:rsid w:val="450075B3"/>
    <w:rsid w:val="454B34C1"/>
    <w:rsid w:val="45B14103"/>
    <w:rsid w:val="46060C82"/>
    <w:rsid w:val="4619018C"/>
    <w:rsid w:val="46D639A9"/>
    <w:rsid w:val="4715EE57"/>
    <w:rsid w:val="471651F1"/>
    <w:rsid w:val="477FCF43"/>
    <w:rsid w:val="4875D0C4"/>
    <w:rsid w:val="492BCD17"/>
    <w:rsid w:val="49939F42"/>
    <w:rsid w:val="4A35CA96"/>
    <w:rsid w:val="4A3F423F"/>
    <w:rsid w:val="4A4C6113"/>
    <w:rsid w:val="4AF345A1"/>
    <w:rsid w:val="4B30BAC1"/>
    <w:rsid w:val="4B67BAA3"/>
    <w:rsid w:val="4B7D8437"/>
    <w:rsid w:val="4BED7141"/>
    <w:rsid w:val="4C083DD2"/>
    <w:rsid w:val="4CDAF327"/>
    <w:rsid w:val="4D06194B"/>
    <w:rsid w:val="4D17BB5F"/>
    <w:rsid w:val="4D4658EC"/>
    <w:rsid w:val="4D64345E"/>
    <w:rsid w:val="4DA6EAC6"/>
    <w:rsid w:val="4DBC5265"/>
    <w:rsid w:val="4E1BA5F6"/>
    <w:rsid w:val="4ED30322"/>
    <w:rsid w:val="4F051743"/>
    <w:rsid w:val="4F07E3FD"/>
    <w:rsid w:val="4F53D221"/>
    <w:rsid w:val="4F7E292A"/>
    <w:rsid w:val="4FCDB5E3"/>
    <w:rsid w:val="4FDBB4BF"/>
    <w:rsid w:val="4FE0EFF3"/>
    <w:rsid w:val="50583D07"/>
    <w:rsid w:val="50C317D4"/>
    <w:rsid w:val="5104FA1E"/>
    <w:rsid w:val="5117E453"/>
    <w:rsid w:val="51844E38"/>
    <w:rsid w:val="51A1F62B"/>
    <w:rsid w:val="51ECFBAE"/>
    <w:rsid w:val="51F1780E"/>
    <w:rsid w:val="51F90791"/>
    <w:rsid w:val="5226DAEF"/>
    <w:rsid w:val="52318EDB"/>
    <w:rsid w:val="531D9BB1"/>
    <w:rsid w:val="53271CD0"/>
    <w:rsid w:val="5395FAF3"/>
    <w:rsid w:val="53A3C9FE"/>
    <w:rsid w:val="543A25F9"/>
    <w:rsid w:val="5483709F"/>
    <w:rsid w:val="5493F088"/>
    <w:rsid w:val="54F10448"/>
    <w:rsid w:val="550973C4"/>
    <w:rsid w:val="5561D070"/>
    <w:rsid w:val="5598C04C"/>
    <w:rsid w:val="55ACA54E"/>
    <w:rsid w:val="561FB740"/>
    <w:rsid w:val="5624B74C"/>
    <w:rsid w:val="564E0B48"/>
    <w:rsid w:val="56B61D78"/>
    <w:rsid w:val="570A5C2D"/>
    <w:rsid w:val="57218EB7"/>
    <w:rsid w:val="58724CFE"/>
    <w:rsid w:val="589BD359"/>
    <w:rsid w:val="58B24BC7"/>
    <w:rsid w:val="58D5FEE7"/>
    <w:rsid w:val="58DBFF1B"/>
    <w:rsid w:val="58EA7126"/>
    <w:rsid w:val="598E98DB"/>
    <w:rsid w:val="599C362D"/>
    <w:rsid w:val="59DD3583"/>
    <w:rsid w:val="5A25B2E6"/>
    <w:rsid w:val="5A7F3945"/>
    <w:rsid w:val="5B75EA08"/>
    <w:rsid w:val="5BAC9E54"/>
    <w:rsid w:val="5BCA32E0"/>
    <w:rsid w:val="5BFCD150"/>
    <w:rsid w:val="5C4714C1"/>
    <w:rsid w:val="5CBAF137"/>
    <w:rsid w:val="5CD38FF1"/>
    <w:rsid w:val="5D0E605E"/>
    <w:rsid w:val="5D11C70D"/>
    <w:rsid w:val="5D220562"/>
    <w:rsid w:val="5D27B481"/>
    <w:rsid w:val="5D421BAB"/>
    <w:rsid w:val="5D60651E"/>
    <w:rsid w:val="5DCB5235"/>
    <w:rsid w:val="5E1450C1"/>
    <w:rsid w:val="5E80FF16"/>
    <w:rsid w:val="5EB60C90"/>
    <w:rsid w:val="5ED66E2D"/>
    <w:rsid w:val="5EDDA792"/>
    <w:rsid w:val="5F3AB9C6"/>
    <w:rsid w:val="5F83D122"/>
    <w:rsid w:val="60172CDC"/>
    <w:rsid w:val="602167F0"/>
    <w:rsid w:val="604AC530"/>
    <w:rsid w:val="6065F880"/>
    <w:rsid w:val="6093C723"/>
    <w:rsid w:val="60E7984A"/>
    <w:rsid w:val="6153073E"/>
    <w:rsid w:val="61D4BBC7"/>
    <w:rsid w:val="621159B0"/>
    <w:rsid w:val="62697B95"/>
    <w:rsid w:val="629AA502"/>
    <w:rsid w:val="62BEAB16"/>
    <w:rsid w:val="62C27CEC"/>
    <w:rsid w:val="62FFF4F6"/>
    <w:rsid w:val="6301B3CD"/>
    <w:rsid w:val="63756208"/>
    <w:rsid w:val="63CED7B6"/>
    <w:rsid w:val="63F1C1F8"/>
    <w:rsid w:val="641554B6"/>
    <w:rsid w:val="6432AD40"/>
    <w:rsid w:val="6448AFB9"/>
    <w:rsid w:val="64535F03"/>
    <w:rsid w:val="652D5E5D"/>
    <w:rsid w:val="653A2FF0"/>
    <w:rsid w:val="65468F87"/>
    <w:rsid w:val="657F98F2"/>
    <w:rsid w:val="65DC737F"/>
    <w:rsid w:val="667ACD88"/>
    <w:rsid w:val="667F420E"/>
    <w:rsid w:val="668C7631"/>
    <w:rsid w:val="66C2B14B"/>
    <w:rsid w:val="66D4A629"/>
    <w:rsid w:val="66E13CAF"/>
    <w:rsid w:val="66FBF518"/>
    <w:rsid w:val="670910C8"/>
    <w:rsid w:val="671969A8"/>
    <w:rsid w:val="671EF43A"/>
    <w:rsid w:val="678232DC"/>
    <w:rsid w:val="679C032A"/>
    <w:rsid w:val="67C405A8"/>
    <w:rsid w:val="67E71F8A"/>
    <w:rsid w:val="67E953FC"/>
    <w:rsid w:val="68061961"/>
    <w:rsid w:val="68627846"/>
    <w:rsid w:val="687C388A"/>
    <w:rsid w:val="689276A5"/>
    <w:rsid w:val="693B12C1"/>
    <w:rsid w:val="69482FAE"/>
    <w:rsid w:val="6963E32D"/>
    <w:rsid w:val="6964B85A"/>
    <w:rsid w:val="69784352"/>
    <w:rsid w:val="69A3A102"/>
    <w:rsid w:val="69AE5C9C"/>
    <w:rsid w:val="69C2E9C9"/>
    <w:rsid w:val="69CDF9F5"/>
    <w:rsid w:val="6A2C0651"/>
    <w:rsid w:val="6A9439FD"/>
    <w:rsid w:val="6AE3A44C"/>
    <w:rsid w:val="6AF2C660"/>
    <w:rsid w:val="6AF85D3B"/>
    <w:rsid w:val="6B0B8260"/>
    <w:rsid w:val="6B69D2D1"/>
    <w:rsid w:val="6B90B64A"/>
    <w:rsid w:val="6BEC279C"/>
    <w:rsid w:val="6BF11ED9"/>
    <w:rsid w:val="6C157285"/>
    <w:rsid w:val="6C7E9F55"/>
    <w:rsid w:val="6C98FBFB"/>
    <w:rsid w:val="6C9D660D"/>
    <w:rsid w:val="6D1ADAFA"/>
    <w:rsid w:val="6E1DD9BA"/>
    <w:rsid w:val="6E1E5F92"/>
    <w:rsid w:val="6E3704F7"/>
    <w:rsid w:val="6E9CE804"/>
    <w:rsid w:val="6EEEF5CC"/>
    <w:rsid w:val="6F94BC01"/>
    <w:rsid w:val="6F97A8C7"/>
    <w:rsid w:val="6FBE3522"/>
    <w:rsid w:val="6FFF16E1"/>
    <w:rsid w:val="7020556B"/>
    <w:rsid w:val="705EBFA0"/>
    <w:rsid w:val="70677657"/>
    <w:rsid w:val="70683FD0"/>
    <w:rsid w:val="7083D5F5"/>
    <w:rsid w:val="70B4D6E3"/>
    <w:rsid w:val="70CD9FE2"/>
    <w:rsid w:val="70D16F0D"/>
    <w:rsid w:val="70D345B6"/>
    <w:rsid w:val="710BC795"/>
    <w:rsid w:val="7119E724"/>
    <w:rsid w:val="712597BD"/>
    <w:rsid w:val="715E0DC1"/>
    <w:rsid w:val="720F7399"/>
    <w:rsid w:val="72534651"/>
    <w:rsid w:val="725F2F7D"/>
    <w:rsid w:val="72D7446F"/>
    <w:rsid w:val="72DED726"/>
    <w:rsid w:val="7313CF7F"/>
    <w:rsid w:val="73376394"/>
    <w:rsid w:val="7375E654"/>
    <w:rsid w:val="73C6C3D6"/>
    <w:rsid w:val="73F49A04"/>
    <w:rsid w:val="73FCCB71"/>
    <w:rsid w:val="740757E2"/>
    <w:rsid w:val="742EA540"/>
    <w:rsid w:val="74317599"/>
    <w:rsid w:val="747D370B"/>
    <w:rsid w:val="7485C980"/>
    <w:rsid w:val="74C11FDF"/>
    <w:rsid w:val="75050E0B"/>
    <w:rsid w:val="7607CA44"/>
    <w:rsid w:val="7615D6D3"/>
    <w:rsid w:val="76179B58"/>
    <w:rsid w:val="7693D6D3"/>
    <w:rsid w:val="76A44657"/>
    <w:rsid w:val="76AE7EAA"/>
    <w:rsid w:val="76B31F7C"/>
    <w:rsid w:val="7704E592"/>
    <w:rsid w:val="773824AE"/>
    <w:rsid w:val="77420C83"/>
    <w:rsid w:val="775C79CF"/>
    <w:rsid w:val="77DDA96A"/>
    <w:rsid w:val="7878B2A5"/>
    <w:rsid w:val="7961047F"/>
    <w:rsid w:val="7963E516"/>
    <w:rsid w:val="796EFFEF"/>
    <w:rsid w:val="79882191"/>
    <w:rsid w:val="799AA6C9"/>
    <w:rsid w:val="799D535C"/>
    <w:rsid w:val="79B20ABE"/>
    <w:rsid w:val="79CCF84B"/>
    <w:rsid w:val="79E3EE25"/>
    <w:rsid w:val="7A39E81F"/>
    <w:rsid w:val="7A5FA60E"/>
    <w:rsid w:val="7A737201"/>
    <w:rsid w:val="7A7F2258"/>
    <w:rsid w:val="7A7F3D38"/>
    <w:rsid w:val="7A90E942"/>
    <w:rsid w:val="7AF372E3"/>
    <w:rsid w:val="7B016E90"/>
    <w:rsid w:val="7B2E39B2"/>
    <w:rsid w:val="7B37DB87"/>
    <w:rsid w:val="7B3F2F9F"/>
    <w:rsid w:val="7BA2C3E5"/>
    <w:rsid w:val="7BBE5465"/>
    <w:rsid w:val="7BDECBA9"/>
    <w:rsid w:val="7BE32663"/>
    <w:rsid w:val="7BE7F398"/>
    <w:rsid w:val="7C05A5B3"/>
    <w:rsid w:val="7C2DF39E"/>
    <w:rsid w:val="7D6DACD0"/>
    <w:rsid w:val="7DA5988D"/>
    <w:rsid w:val="7E240BEF"/>
    <w:rsid w:val="7EA5A23A"/>
    <w:rsid w:val="7EAE8AE8"/>
    <w:rsid w:val="7ED28D14"/>
    <w:rsid w:val="7EFB419D"/>
    <w:rsid w:val="7F20A88E"/>
    <w:rsid w:val="7F4A41D6"/>
    <w:rsid w:val="7F727C9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C9AA96"/>
  <w15:chartTrackingRefBased/>
  <w15:docId w15:val="{D940318C-EBAC-4147-A811-B78BA9D7A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7CFF"/>
    <w:pPr>
      <w:spacing w:before="100" w:beforeAutospacing="1" w:after="100" w:afterAutospacing="1" w:line="240" w:lineRule="auto"/>
    </w:pPr>
    <w:rPr>
      <w:rFonts w:ascii="Arial" w:hAnsi="Arial"/>
      <w:sz w:val="20"/>
    </w:rPr>
  </w:style>
  <w:style w:type="paragraph" w:styleId="Heading1">
    <w:name w:val="heading 1"/>
    <w:aliases w:val="Numbered heading 1"/>
    <w:basedOn w:val="Normal"/>
    <w:next w:val="Normal"/>
    <w:link w:val="Heading1Char"/>
    <w:uiPriority w:val="9"/>
    <w:qFormat/>
    <w:rsid w:val="0004494F"/>
    <w:pPr>
      <w:keepNext/>
      <w:keepLines/>
      <w:numPr>
        <w:numId w:val="5"/>
      </w:numPr>
      <w:spacing w:before="240" w:beforeAutospacing="0" w:after="240" w:afterAutospacing="0"/>
      <w:ind w:left="851" w:hanging="851"/>
      <w:outlineLvl w:val="0"/>
    </w:pPr>
    <w:rPr>
      <w:rFonts w:eastAsiaTheme="majorEastAsia" w:cstheme="majorBidi"/>
      <w:color w:val="0563C1" w:themeColor="accent2"/>
      <w:sz w:val="44"/>
      <w:szCs w:val="32"/>
    </w:rPr>
  </w:style>
  <w:style w:type="paragraph" w:styleId="Heading2">
    <w:name w:val="heading 2"/>
    <w:basedOn w:val="Normal"/>
    <w:next w:val="Normal"/>
    <w:link w:val="Heading2Char"/>
    <w:uiPriority w:val="9"/>
    <w:unhideWhenUsed/>
    <w:qFormat/>
    <w:rsid w:val="00AF37D0"/>
    <w:pPr>
      <w:keepNext/>
      <w:keepLines/>
      <w:spacing w:before="40" w:after="0"/>
      <w:ind w:left="851" w:hanging="851"/>
      <w:outlineLvl w:val="1"/>
    </w:pPr>
    <w:rPr>
      <w:rFonts w:eastAsiaTheme="majorEastAsia" w:cstheme="majorBidi"/>
      <w:color w:val="0A855E"/>
      <w:sz w:val="36"/>
      <w:szCs w:val="26"/>
    </w:rPr>
  </w:style>
  <w:style w:type="paragraph" w:styleId="Heading3">
    <w:name w:val="heading 3"/>
    <w:basedOn w:val="Normal"/>
    <w:next w:val="Normal"/>
    <w:link w:val="Heading3Char"/>
    <w:uiPriority w:val="9"/>
    <w:unhideWhenUsed/>
    <w:qFormat/>
    <w:rsid w:val="00AF37D0"/>
    <w:pPr>
      <w:keepNext/>
      <w:keepLines/>
      <w:ind w:left="851" w:hanging="851"/>
      <w:outlineLvl w:val="2"/>
    </w:pPr>
    <w:rPr>
      <w:rFonts w:eastAsiaTheme="majorEastAsia" w:cstheme="majorBidi"/>
      <w:color w:val="CC4E00"/>
      <w:sz w:val="28"/>
    </w:rPr>
  </w:style>
  <w:style w:type="paragraph" w:styleId="Heading4">
    <w:name w:val="heading 4"/>
    <w:basedOn w:val="Normal"/>
    <w:next w:val="Normal"/>
    <w:link w:val="Heading4Char"/>
    <w:uiPriority w:val="9"/>
    <w:unhideWhenUsed/>
    <w:qFormat/>
    <w:rsid w:val="00546A41"/>
    <w:pPr>
      <w:keepNext/>
      <w:keepLines/>
      <w:spacing w:before="40" w:after="0"/>
      <w:outlineLvl w:val="3"/>
    </w:pPr>
    <w:rPr>
      <w:rFonts w:eastAsiaTheme="majorEastAsia" w:cstheme="majorBidi"/>
      <w:b/>
      <w:iCs/>
      <w:color w:val="666666"/>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Numbered heading 1 Char"/>
    <w:basedOn w:val="DefaultParagraphFont"/>
    <w:link w:val="Heading1"/>
    <w:uiPriority w:val="9"/>
    <w:rsid w:val="0004494F"/>
    <w:rPr>
      <w:rFonts w:ascii="Arial" w:eastAsiaTheme="majorEastAsia" w:hAnsi="Arial" w:cstheme="majorBidi"/>
      <w:color w:val="0563C1" w:themeColor="accent2"/>
      <w:sz w:val="44"/>
      <w:szCs w:val="32"/>
    </w:rPr>
  </w:style>
  <w:style w:type="character" w:customStyle="1" w:styleId="Heading2Char">
    <w:name w:val="Heading 2 Char"/>
    <w:basedOn w:val="DefaultParagraphFont"/>
    <w:link w:val="Heading2"/>
    <w:uiPriority w:val="9"/>
    <w:rsid w:val="00AF37D0"/>
    <w:rPr>
      <w:rFonts w:ascii="Arial" w:eastAsiaTheme="majorEastAsia" w:hAnsi="Arial" w:cstheme="majorBidi"/>
      <w:color w:val="0A855E"/>
      <w:sz w:val="36"/>
      <w:szCs w:val="26"/>
    </w:rPr>
  </w:style>
  <w:style w:type="character" w:customStyle="1" w:styleId="Heading3Char">
    <w:name w:val="Heading 3 Char"/>
    <w:basedOn w:val="DefaultParagraphFont"/>
    <w:link w:val="Heading3"/>
    <w:uiPriority w:val="9"/>
    <w:rsid w:val="00AF37D0"/>
    <w:rPr>
      <w:rFonts w:ascii="Arial" w:eastAsiaTheme="majorEastAsia" w:hAnsi="Arial" w:cstheme="majorBidi"/>
      <w:color w:val="CC4E00"/>
      <w:sz w:val="28"/>
    </w:rPr>
  </w:style>
  <w:style w:type="character" w:customStyle="1" w:styleId="Heading4Char">
    <w:name w:val="Heading 4 Char"/>
    <w:basedOn w:val="DefaultParagraphFont"/>
    <w:link w:val="Heading4"/>
    <w:uiPriority w:val="9"/>
    <w:rsid w:val="00546A41"/>
    <w:rPr>
      <w:rFonts w:ascii="Arial" w:eastAsiaTheme="majorEastAsia" w:hAnsi="Arial" w:cstheme="majorBidi"/>
      <w:b/>
      <w:iCs/>
      <w:color w:val="666666"/>
    </w:rPr>
  </w:style>
  <w:style w:type="table" w:styleId="TableGrid">
    <w:name w:val="Table Grid"/>
    <w:basedOn w:val="TableNormal"/>
    <w:rsid w:val="002F24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4954EA"/>
    <w:pPr>
      <w:numPr>
        <w:ilvl w:val="1"/>
      </w:numPr>
      <w:spacing w:before="120" w:beforeAutospacing="0" w:after="60" w:afterAutospacing="0"/>
    </w:pPr>
    <w:rPr>
      <w:rFonts w:eastAsiaTheme="minorEastAsia" w:cstheme="minorBidi"/>
      <w:b/>
      <w:color w:val="003399" w:themeColor="accent1"/>
      <w:spacing w:val="15"/>
      <w:sz w:val="48"/>
      <w:szCs w:val="22"/>
    </w:rPr>
  </w:style>
  <w:style w:type="character" w:customStyle="1" w:styleId="SubtitleChar">
    <w:name w:val="Subtitle Char"/>
    <w:basedOn w:val="DefaultParagraphFont"/>
    <w:link w:val="Subtitle"/>
    <w:uiPriority w:val="11"/>
    <w:rsid w:val="004954EA"/>
    <w:rPr>
      <w:rFonts w:ascii="Arial" w:eastAsiaTheme="minorEastAsia" w:hAnsi="Arial" w:cstheme="minorBidi"/>
      <w:b/>
      <w:color w:val="003399" w:themeColor="accent1"/>
      <w:spacing w:val="15"/>
      <w:sz w:val="48"/>
      <w:szCs w:val="22"/>
    </w:rPr>
  </w:style>
  <w:style w:type="character" w:styleId="SubtleEmphasis">
    <w:name w:val="Subtle Emphasis"/>
    <w:basedOn w:val="DefaultParagraphFont"/>
    <w:uiPriority w:val="19"/>
    <w:qFormat/>
    <w:rsid w:val="00C254BE"/>
    <w:rPr>
      <w:i/>
      <w:iCs/>
      <w:color w:val="404040" w:themeColor="text1" w:themeTint="BF"/>
    </w:rPr>
  </w:style>
  <w:style w:type="paragraph" w:customStyle="1" w:styleId="Subtitleoptional">
    <w:name w:val="Subtitle (optional)"/>
    <w:basedOn w:val="Subtitle"/>
    <w:link w:val="SubtitleoptionalChar"/>
    <w:qFormat/>
    <w:rsid w:val="00C254BE"/>
    <w:rPr>
      <w:b w:val="0"/>
    </w:rPr>
  </w:style>
  <w:style w:type="character" w:customStyle="1" w:styleId="SubtitleoptionalChar">
    <w:name w:val="Subtitle (optional) Char"/>
    <w:basedOn w:val="SubtitleChar"/>
    <w:link w:val="Subtitleoptional"/>
    <w:rsid w:val="00C254BE"/>
    <w:rPr>
      <w:rFonts w:ascii="Arial" w:eastAsiaTheme="minorEastAsia" w:hAnsi="Arial" w:cstheme="minorBidi"/>
      <w:b w:val="0"/>
      <w:color w:val="003399" w:themeColor="accent1"/>
      <w:spacing w:val="15"/>
      <w:sz w:val="48"/>
      <w:szCs w:val="22"/>
    </w:rPr>
  </w:style>
  <w:style w:type="paragraph" w:styleId="Date">
    <w:name w:val="Date"/>
    <w:basedOn w:val="Normal"/>
    <w:next w:val="Normal"/>
    <w:link w:val="DateChar"/>
    <w:uiPriority w:val="99"/>
    <w:unhideWhenUsed/>
    <w:rsid w:val="00C254BE"/>
    <w:rPr>
      <w:b/>
      <w:sz w:val="24"/>
    </w:rPr>
  </w:style>
  <w:style w:type="character" w:customStyle="1" w:styleId="DateChar">
    <w:name w:val="Date Char"/>
    <w:basedOn w:val="DefaultParagraphFont"/>
    <w:link w:val="Date"/>
    <w:uiPriority w:val="99"/>
    <w:rsid w:val="00C254BE"/>
    <w:rPr>
      <w:rFonts w:ascii="Arial" w:hAnsi="Arial"/>
      <w:b/>
    </w:rPr>
  </w:style>
  <w:style w:type="paragraph" w:customStyle="1" w:styleId="BoxHeadingRED">
    <w:name w:val="Box Heading RED"/>
    <w:basedOn w:val="Normal"/>
    <w:qFormat/>
    <w:rsid w:val="00BE7587"/>
    <w:pPr>
      <w:pBdr>
        <w:top w:val="single" w:sz="4" w:space="6" w:color="FF0000"/>
        <w:left w:val="single" w:sz="4" w:space="4" w:color="FF0000"/>
        <w:bottom w:val="single" w:sz="4" w:space="6" w:color="FF0000"/>
        <w:right w:val="single" w:sz="4" w:space="4" w:color="FF0000"/>
      </w:pBdr>
    </w:pPr>
    <w:rPr>
      <w:b/>
      <w:caps/>
      <w:color w:val="FF0000"/>
    </w:rPr>
  </w:style>
  <w:style w:type="table" w:styleId="PlainTable2">
    <w:name w:val="Plain Table 2"/>
    <w:aliases w:val="AICIS Table Plain"/>
    <w:basedOn w:val="TableNormal"/>
    <w:uiPriority w:val="42"/>
    <w:rsid w:val="00167E84"/>
    <w:pPr>
      <w:spacing w:after="0" w:line="240" w:lineRule="auto"/>
    </w:pPr>
    <w:rPr>
      <w:rFonts w:ascii="Arial" w:hAnsi="Arial"/>
      <w:sz w:val="22"/>
    </w:rPr>
    <w:tblPr>
      <w:tblStyleRowBandSize w:val="1"/>
      <w:tblStyleColBandSize w:val="1"/>
      <w:tblBorders>
        <w:top w:val="single" w:sz="4" w:space="0" w:color="6D6D70" w:themeColor="text2"/>
        <w:bottom w:val="single" w:sz="4" w:space="0" w:color="6D6D70" w:themeColor="text2"/>
        <w:insideH w:val="single" w:sz="4" w:space="0" w:color="6D6D70" w:themeColor="text2"/>
      </w:tblBorders>
    </w:tblPr>
    <w:tcPr>
      <w:vAlign w:val="center"/>
    </w:tc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AICISTableBasic">
    <w:name w:val="AICIS Table (Basic)"/>
    <w:basedOn w:val="TableNormal"/>
    <w:uiPriority w:val="99"/>
    <w:rsid w:val="00311FE8"/>
    <w:pPr>
      <w:spacing w:after="0" w:line="240" w:lineRule="auto"/>
    </w:pPr>
    <w:rPr>
      <w:rFonts w:ascii="Arial" w:hAnsi="Arial"/>
      <w:sz w:val="22"/>
    </w:rPr>
    <w:tblPr>
      <w:tblBorders>
        <w:top w:val="single" w:sz="4" w:space="0" w:color="6D6D70" w:themeColor="text2"/>
        <w:bottom w:val="single" w:sz="4" w:space="0" w:color="6D6D70" w:themeColor="text2"/>
        <w:insideH w:val="single" w:sz="4" w:space="0" w:color="6D6D70" w:themeColor="text2"/>
      </w:tblBorders>
    </w:tblPr>
    <w:tcPr>
      <w:shd w:val="clear" w:color="auto" w:fill="auto"/>
      <w:vAlign w:val="center"/>
    </w:tcPr>
  </w:style>
  <w:style w:type="paragraph" w:styleId="TableofFigures">
    <w:name w:val="table of figures"/>
    <w:basedOn w:val="Normal"/>
    <w:next w:val="Normal"/>
    <w:uiPriority w:val="99"/>
    <w:unhideWhenUsed/>
    <w:rsid w:val="00E72018"/>
    <w:pPr>
      <w:spacing w:after="0"/>
    </w:pPr>
  </w:style>
  <w:style w:type="table" w:customStyle="1" w:styleId="TableBasic">
    <w:name w:val="Table Basic"/>
    <w:basedOn w:val="TableNormal"/>
    <w:uiPriority w:val="99"/>
    <w:rsid w:val="00E72018"/>
    <w:pPr>
      <w:spacing w:after="0" w:line="240" w:lineRule="auto"/>
    </w:pPr>
    <w:tblPr/>
  </w:style>
  <w:style w:type="table" w:customStyle="1" w:styleId="Calendar1">
    <w:name w:val="Calendar 1"/>
    <w:basedOn w:val="TableNormal"/>
    <w:uiPriority w:val="99"/>
    <w:qFormat/>
    <w:rsid w:val="00436346"/>
    <w:pPr>
      <w:spacing w:after="0" w:line="240" w:lineRule="auto"/>
    </w:pPr>
    <w:rPr>
      <w:rFonts w:asciiTheme="minorHAnsi" w:eastAsiaTheme="minorEastAsia" w:hAnsiTheme="minorHAnsi" w:cstheme="minorBidi"/>
      <w:sz w:val="22"/>
      <w:szCs w:val="22"/>
      <w:lang w:val="en-US"/>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styleId="List">
    <w:name w:val="List"/>
    <w:basedOn w:val="Normal"/>
    <w:uiPriority w:val="99"/>
    <w:unhideWhenUsed/>
    <w:rsid w:val="00E51332"/>
    <w:pPr>
      <w:numPr>
        <w:numId w:val="2"/>
      </w:numPr>
      <w:contextualSpacing/>
    </w:pPr>
  </w:style>
  <w:style w:type="paragraph" w:customStyle="1" w:styleId="IntroductoryParagraph">
    <w:name w:val="Introductory Paragraph"/>
    <w:basedOn w:val="Normal"/>
    <w:qFormat/>
    <w:rsid w:val="00EF2149"/>
    <w:rPr>
      <w:color w:val="0563C1" w:themeColor="accent2"/>
      <w:sz w:val="28"/>
    </w:rPr>
  </w:style>
  <w:style w:type="paragraph" w:styleId="ListBullet">
    <w:name w:val="List Bullet"/>
    <w:basedOn w:val="Normal"/>
    <w:uiPriority w:val="99"/>
    <w:unhideWhenUsed/>
    <w:rsid w:val="00F75FE2"/>
    <w:pPr>
      <w:numPr>
        <w:numId w:val="1"/>
      </w:numPr>
      <w:contextualSpacing/>
    </w:pPr>
  </w:style>
  <w:style w:type="table" w:styleId="GridTable4-Accent1">
    <w:name w:val="Grid Table 4 Accent 1"/>
    <w:aliases w:val="AICIS Table - Grid"/>
    <w:basedOn w:val="TableNormal"/>
    <w:uiPriority w:val="49"/>
    <w:rsid w:val="00F84DD8"/>
    <w:pPr>
      <w:spacing w:after="0" w:line="240" w:lineRule="auto"/>
    </w:pPr>
    <w:rPr>
      <w:rFonts w:ascii="Arial" w:hAnsi="Arial"/>
      <w:sz w:val="22"/>
    </w:rPr>
    <w:tblPr>
      <w:tblStyleRowBandSize w:val="1"/>
      <w:tblStyleColBandSize w:val="1"/>
    </w:tblPr>
    <w:tcPr>
      <w:shd w:val="clear" w:color="auto" w:fill="D9E5FD" w:themeFill="accent6"/>
      <w:vAlign w:val="center"/>
    </w:tcPr>
    <w:tblStylePr w:type="firstRow">
      <w:rPr>
        <w:b/>
        <w:bCs/>
        <w:color w:val="F2F4F8" w:themeColor="background1"/>
      </w:rPr>
      <w:tblPr/>
      <w:tcPr>
        <w:tcBorders>
          <w:top w:val="single" w:sz="4" w:space="0" w:color="6D6D70" w:themeColor="text2"/>
          <w:left w:val="nil"/>
          <w:bottom w:val="nil"/>
          <w:right w:val="nil"/>
          <w:insideH w:val="nil"/>
          <w:insideV w:val="nil"/>
          <w:tl2br w:val="nil"/>
          <w:tr2bl w:val="nil"/>
        </w:tcBorders>
        <w:shd w:val="clear" w:color="auto" w:fill="0563C1" w:themeFill="accent2"/>
      </w:tcPr>
    </w:tblStylePr>
    <w:tblStylePr w:type="lastRow">
      <w:rPr>
        <w:b/>
        <w:bCs/>
      </w:rPr>
      <w:tblPr/>
      <w:tcPr>
        <w:tcBorders>
          <w:top w:val="nil"/>
          <w:left w:val="nil"/>
          <w:bottom w:val="nil"/>
          <w:right w:val="nil"/>
          <w:insideH w:val="nil"/>
          <w:insideV w:val="nil"/>
          <w:tl2br w:val="nil"/>
          <w:tr2bl w:val="nil"/>
        </w:tcBorders>
        <w:shd w:val="clear" w:color="auto" w:fill="D9E5FD" w:themeFill="accent6"/>
      </w:tcPr>
    </w:tblStylePr>
    <w:tblStylePr w:type="firstCol">
      <w:rPr>
        <w:rFonts w:ascii="Arial" w:hAnsi="Arial"/>
        <w:b/>
        <w:bCs/>
        <w:color w:val="F2F4F8" w:themeColor="background1"/>
        <w:sz w:val="22"/>
      </w:rPr>
      <w:tblPr/>
      <w:tcPr>
        <w:tcBorders>
          <w:top w:val="nil"/>
          <w:left w:val="nil"/>
          <w:bottom w:val="nil"/>
          <w:right w:val="nil"/>
          <w:insideH w:val="nil"/>
          <w:insideV w:val="nil"/>
          <w:tl2br w:val="nil"/>
          <w:tr2bl w:val="nil"/>
        </w:tcBorders>
        <w:shd w:val="clear" w:color="auto" w:fill="0563C1" w:themeFill="accent2"/>
      </w:tcPr>
    </w:tblStylePr>
    <w:tblStylePr w:type="lastCol">
      <w:rPr>
        <w:b/>
        <w:bCs/>
      </w:rPr>
    </w:tblStylePr>
    <w:tblStylePr w:type="band1Vert">
      <w:tblPr/>
      <w:tcPr>
        <w:shd w:val="clear" w:color="auto" w:fill="B7CFFF" w:themeFill="accent1" w:themeFillTint="33"/>
      </w:tcPr>
    </w:tblStylePr>
    <w:tblStylePr w:type="band1Horz">
      <w:tblPr/>
      <w:tcPr>
        <w:shd w:val="clear" w:color="auto" w:fill="FFFFFF" w:themeFill="background2"/>
      </w:tcPr>
    </w:tblStylePr>
    <w:tblStylePr w:type="band2Horz">
      <w:tblPr/>
      <w:tcPr>
        <w:tcBorders>
          <w:top w:val="nil"/>
          <w:left w:val="nil"/>
          <w:bottom w:val="nil"/>
          <w:right w:val="nil"/>
          <w:insideH w:val="nil"/>
          <w:insideV w:val="nil"/>
          <w:tl2br w:val="nil"/>
          <w:tr2bl w:val="nil"/>
        </w:tcBorders>
        <w:shd w:val="clear" w:color="auto" w:fill="D9E5FD" w:themeFill="accent6"/>
      </w:tcPr>
    </w:tblStylePr>
  </w:style>
  <w:style w:type="table" w:styleId="GridTable4-Accent2">
    <w:name w:val="Grid Table 4 Accent 2"/>
    <w:basedOn w:val="TableNormal"/>
    <w:uiPriority w:val="49"/>
    <w:rsid w:val="00CA4F4F"/>
    <w:pPr>
      <w:spacing w:after="0" w:line="240" w:lineRule="auto"/>
    </w:pPr>
    <w:tblPr>
      <w:tblStyleRowBandSize w:val="1"/>
      <w:tblStyleColBandSize w:val="1"/>
      <w:tblBorders>
        <w:top w:val="single" w:sz="4" w:space="0" w:color="48A0FA" w:themeColor="accent2" w:themeTint="99"/>
        <w:left w:val="single" w:sz="4" w:space="0" w:color="48A0FA" w:themeColor="accent2" w:themeTint="99"/>
        <w:bottom w:val="single" w:sz="4" w:space="0" w:color="48A0FA" w:themeColor="accent2" w:themeTint="99"/>
        <w:right w:val="single" w:sz="4" w:space="0" w:color="48A0FA" w:themeColor="accent2" w:themeTint="99"/>
        <w:insideH w:val="single" w:sz="4" w:space="0" w:color="48A0FA" w:themeColor="accent2" w:themeTint="99"/>
        <w:insideV w:val="single" w:sz="4" w:space="0" w:color="48A0FA" w:themeColor="accent2" w:themeTint="99"/>
      </w:tblBorders>
    </w:tblPr>
    <w:tblStylePr w:type="firstRow">
      <w:rPr>
        <w:b/>
        <w:bCs/>
        <w:color w:val="F2F4F8" w:themeColor="background1"/>
      </w:rPr>
      <w:tblPr/>
      <w:tcPr>
        <w:tcBorders>
          <w:top w:val="single" w:sz="4" w:space="0" w:color="0563C1" w:themeColor="accent2"/>
          <w:left w:val="single" w:sz="4" w:space="0" w:color="0563C1" w:themeColor="accent2"/>
          <w:bottom w:val="single" w:sz="4" w:space="0" w:color="0563C1" w:themeColor="accent2"/>
          <w:right w:val="single" w:sz="4" w:space="0" w:color="0563C1" w:themeColor="accent2"/>
          <w:insideH w:val="nil"/>
          <w:insideV w:val="nil"/>
        </w:tcBorders>
        <w:shd w:val="clear" w:color="auto" w:fill="0563C1" w:themeFill="accent2"/>
      </w:tcPr>
    </w:tblStylePr>
    <w:tblStylePr w:type="lastRow">
      <w:rPr>
        <w:b/>
        <w:bCs/>
      </w:rPr>
      <w:tblPr/>
      <w:tcPr>
        <w:tcBorders>
          <w:top w:val="double" w:sz="4" w:space="0" w:color="0563C1" w:themeColor="accent2"/>
        </w:tcBorders>
      </w:tcPr>
    </w:tblStylePr>
    <w:tblStylePr w:type="firstCol">
      <w:rPr>
        <w:b/>
        <w:bCs/>
      </w:rPr>
    </w:tblStylePr>
    <w:tblStylePr w:type="lastCol">
      <w:rPr>
        <w:b/>
        <w:bCs/>
      </w:rPr>
    </w:tblStylePr>
    <w:tblStylePr w:type="band1Vert">
      <w:tblPr/>
      <w:tcPr>
        <w:shd w:val="clear" w:color="auto" w:fill="C1DFFD" w:themeFill="accent2" w:themeFillTint="33"/>
      </w:tcPr>
    </w:tblStylePr>
    <w:tblStylePr w:type="band1Horz">
      <w:tblPr/>
      <w:tcPr>
        <w:shd w:val="clear" w:color="auto" w:fill="C1DFFD" w:themeFill="accent2" w:themeFillTint="33"/>
      </w:tcPr>
    </w:tblStylePr>
  </w:style>
  <w:style w:type="table" w:styleId="ListTable4-Accent1">
    <w:name w:val="List Table 4 Accent 1"/>
    <w:basedOn w:val="TableNormal"/>
    <w:uiPriority w:val="49"/>
    <w:rsid w:val="00CA4F4F"/>
    <w:pPr>
      <w:spacing w:after="0" w:line="240" w:lineRule="auto"/>
    </w:pPr>
    <w:tblPr>
      <w:tblStyleRowBandSize w:val="1"/>
      <w:tblStyleColBandSize w:val="1"/>
      <w:tblBorders>
        <w:top w:val="single" w:sz="4" w:space="0" w:color="2870FF" w:themeColor="accent1" w:themeTint="99"/>
        <w:left w:val="single" w:sz="4" w:space="0" w:color="2870FF" w:themeColor="accent1" w:themeTint="99"/>
        <w:bottom w:val="single" w:sz="4" w:space="0" w:color="2870FF" w:themeColor="accent1" w:themeTint="99"/>
        <w:right w:val="single" w:sz="4" w:space="0" w:color="2870FF" w:themeColor="accent1" w:themeTint="99"/>
        <w:insideH w:val="single" w:sz="4" w:space="0" w:color="2870FF" w:themeColor="accent1" w:themeTint="99"/>
      </w:tblBorders>
    </w:tblPr>
    <w:tblStylePr w:type="firstRow">
      <w:rPr>
        <w:b/>
        <w:bCs/>
        <w:color w:val="F2F4F8" w:themeColor="background1"/>
      </w:rPr>
      <w:tblPr/>
      <w:tcPr>
        <w:tcBorders>
          <w:top w:val="single" w:sz="4" w:space="0" w:color="003399" w:themeColor="accent1"/>
          <w:left w:val="single" w:sz="4" w:space="0" w:color="003399" w:themeColor="accent1"/>
          <w:bottom w:val="single" w:sz="4" w:space="0" w:color="003399" w:themeColor="accent1"/>
          <w:right w:val="single" w:sz="4" w:space="0" w:color="003399" w:themeColor="accent1"/>
          <w:insideH w:val="nil"/>
        </w:tcBorders>
        <w:shd w:val="clear" w:color="auto" w:fill="003399" w:themeFill="accent1"/>
      </w:tcPr>
    </w:tblStylePr>
    <w:tblStylePr w:type="lastRow">
      <w:rPr>
        <w:b/>
        <w:bCs/>
      </w:rPr>
      <w:tblPr/>
      <w:tcPr>
        <w:tcBorders>
          <w:top w:val="double" w:sz="4" w:space="0" w:color="2870FF" w:themeColor="accent1" w:themeTint="99"/>
        </w:tcBorders>
      </w:tcPr>
    </w:tblStylePr>
    <w:tblStylePr w:type="firstCol">
      <w:rPr>
        <w:b/>
        <w:bCs/>
      </w:rPr>
    </w:tblStylePr>
    <w:tblStylePr w:type="lastCol">
      <w:rPr>
        <w:b/>
        <w:bCs/>
      </w:rPr>
    </w:tblStylePr>
    <w:tblStylePr w:type="band1Vert">
      <w:tblPr/>
      <w:tcPr>
        <w:shd w:val="clear" w:color="auto" w:fill="B7CFFF" w:themeFill="accent1" w:themeFillTint="33"/>
      </w:tcPr>
    </w:tblStylePr>
    <w:tblStylePr w:type="band1Horz">
      <w:tblPr/>
      <w:tcPr>
        <w:shd w:val="clear" w:color="auto" w:fill="B7CFFF" w:themeFill="accent1" w:themeFillTint="33"/>
      </w:tcPr>
    </w:tblStylePr>
  </w:style>
  <w:style w:type="paragraph" w:styleId="Caption">
    <w:name w:val="caption"/>
    <w:basedOn w:val="Normal"/>
    <w:next w:val="Normal"/>
    <w:unhideWhenUsed/>
    <w:qFormat/>
    <w:rsid w:val="008213F7"/>
    <w:pPr>
      <w:spacing w:before="0" w:after="200"/>
    </w:pPr>
    <w:rPr>
      <w:b/>
      <w:iCs/>
      <w:color w:val="0563C1" w:themeColor="accent2"/>
      <w:sz w:val="18"/>
      <w:szCs w:val="18"/>
    </w:rPr>
  </w:style>
  <w:style w:type="paragraph" w:customStyle="1" w:styleId="Tabbedtext">
    <w:name w:val="Tabbed text"/>
    <w:basedOn w:val="Normal"/>
    <w:qFormat/>
    <w:rsid w:val="00C96A27"/>
    <w:pPr>
      <w:tabs>
        <w:tab w:val="left" w:pos="3402"/>
      </w:tabs>
      <w:ind w:left="3402" w:hanging="3402"/>
    </w:pPr>
  </w:style>
  <w:style w:type="paragraph" w:customStyle="1" w:styleId="Boxtype">
    <w:name w:val="Box type"/>
    <w:basedOn w:val="BoxHeadingRED"/>
    <w:qFormat/>
    <w:rsid w:val="009808D9"/>
    <w:pPr>
      <w:pBdr>
        <w:top w:val="single" w:sz="4" w:space="6" w:color="003399" w:themeColor="accent1"/>
        <w:left w:val="single" w:sz="4" w:space="4" w:color="003399" w:themeColor="accent1"/>
        <w:bottom w:val="single" w:sz="4" w:space="6" w:color="003399" w:themeColor="accent1"/>
        <w:right w:val="single" w:sz="4" w:space="4" w:color="003399" w:themeColor="accent1"/>
      </w:pBdr>
    </w:pPr>
    <w:rPr>
      <w:b w:val="0"/>
      <w:caps w:val="0"/>
      <w:color w:val="000000" w:themeColor="text1"/>
    </w:rPr>
  </w:style>
  <w:style w:type="paragraph" w:customStyle="1" w:styleId="BoxHeading">
    <w:name w:val="Box Heading"/>
    <w:basedOn w:val="Boxtype"/>
    <w:qFormat/>
    <w:rsid w:val="0066482B"/>
    <w:rPr>
      <w:b/>
      <w:caps/>
      <w:color w:val="003399" w:themeColor="accent1"/>
    </w:rPr>
  </w:style>
  <w:style w:type="paragraph" w:customStyle="1" w:styleId="Highlighttext">
    <w:name w:val="Highlight text"/>
    <w:basedOn w:val="Normal"/>
    <w:qFormat/>
    <w:rsid w:val="00524517"/>
    <w:pPr>
      <w:pBdr>
        <w:top w:val="single" w:sz="4" w:space="12" w:color="F2F4F8"/>
        <w:left w:val="single" w:sz="4" w:space="4" w:color="F2F4F8"/>
        <w:bottom w:val="single" w:sz="4" w:space="12" w:color="F2F4F8"/>
        <w:right w:val="single" w:sz="4" w:space="4" w:color="F2F4F8"/>
      </w:pBdr>
      <w:shd w:val="clear" w:color="auto" w:fill="F2F4F8"/>
      <w:spacing w:before="240" w:beforeAutospacing="0" w:after="240" w:afterAutospacing="0"/>
    </w:pPr>
  </w:style>
  <w:style w:type="paragraph" w:customStyle="1" w:styleId="Breakoutbox">
    <w:name w:val="Breakout box"/>
    <w:basedOn w:val="Normal"/>
    <w:qFormat/>
    <w:rsid w:val="00546A41"/>
    <w:pPr>
      <w:pBdr>
        <w:top w:val="single" w:sz="4" w:space="12" w:color="0B996C" w:themeColor="accent5"/>
        <w:bottom w:val="single" w:sz="4" w:space="12" w:color="0B996C" w:themeColor="accent5"/>
      </w:pBdr>
    </w:pPr>
    <w:rPr>
      <w:color w:val="0A855E"/>
    </w:rPr>
  </w:style>
  <w:style w:type="paragraph" w:styleId="Header">
    <w:name w:val="header"/>
    <w:basedOn w:val="Normal"/>
    <w:link w:val="HeaderChar"/>
    <w:uiPriority w:val="99"/>
    <w:unhideWhenUsed/>
    <w:rsid w:val="00D4566B"/>
    <w:pPr>
      <w:tabs>
        <w:tab w:val="center" w:pos="4513"/>
        <w:tab w:val="right" w:pos="9026"/>
      </w:tabs>
      <w:spacing w:before="0" w:after="0"/>
    </w:pPr>
  </w:style>
  <w:style w:type="character" w:customStyle="1" w:styleId="HeaderChar">
    <w:name w:val="Header Char"/>
    <w:basedOn w:val="DefaultParagraphFont"/>
    <w:link w:val="Header"/>
    <w:uiPriority w:val="99"/>
    <w:rsid w:val="00D4566B"/>
    <w:rPr>
      <w:rFonts w:ascii="Arial" w:hAnsi="Arial"/>
      <w:sz w:val="22"/>
    </w:rPr>
  </w:style>
  <w:style w:type="paragraph" w:styleId="Footer">
    <w:name w:val="footer"/>
    <w:basedOn w:val="Normal"/>
    <w:link w:val="FooterChar"/>
    <w:uiPriority w:val="99"/>
    <w:unhideWhenUsed/>
    <w:rsid w:val="00D4566B"/>
    <w:pPr>
      <w:tabs>
        <w:tab w:val="center" w:pos="4513"/>
        <w:tab w:val="right" w:pos="9026"/>
      </w:tabs>
      <w:spacing w:before="0" w:after="0"/>
    </w:pPr>
  </w:style>
  <w:style w:type="character" w:customStyle="1" w:styleId="FooterChar">
    <w:name w:val="Footer Char"/>
    <w:basedOn w:val="DefaultParagraphFont"/>
    <w:link w:val="Footer"/>
    <w:uiPriority w:val="99"/>
    <w:rsid w:val="00D4566B"/>
    <w:rPr>
      <w:rFonts w:ascii="Arial" w:hAnsi="Arial"/>
      <w:sz w:val="22"/>
    </w:rPr>
  </w:style>
  <w:style w:type="paragraph" w:styleId="TOCHeading">
    <w:name w:val="TOC Heading"/>
    <w:basedOn w:val="Heading1"/>
    <w:next w:val="Normal"/>
    <w:uiPriority w:val="39"/>
    <w:unhideWhenUsed/>
    <w:qFormat/>
    <w:rsid w:val="006D672A"/>
    <w:pPr>
      <w:spacing w:after="0" w:line="259" w:lineRule="auto"/>
      <w:outlineLvl w:val="9"/>
    </w:pPr>
    <w:rPr>
      <w:rFonts w:asciiTheme="majorHAnsi" w:hAnsiTheme="majorHAnsi"/>
      <w:color w:val="002672" w:themeColor="accent1" w:themeShade="BF"/>
      <w:sz w:val="32"/>
      <w:lang w:val="en-US"/>
    </w:rPr>
  </w:style>
  <w:style w:type="paragraph" w:styleId="TOC1">
    <w:name w:val="toc 1"/>
    <w:basedOn w:val="Normal"/>
    <w:next w:val="Normal"/>
    <w:autoRedefine/>
    <w:uiPriority w:val="39"/>
    <w:unhideWhenUsed/>
    <w:rsid w:val="009237D8"/>
    <w:pPr>
      <w:tabs>
        <w:tab w:val="left" w:pos="440"/>
        <w:tab w:val="right" w:leader="dot" w:pos="9628"/>
      </w:tabs>
      <w:spacing w:before="120" w:beforeAutospacing="0" w:after="120" w:afterAutospacing="0"/>
      <w:contextualSpacing/>
    </w:pPr>
    <w:rPr>
      <w:b/>
    </w:rPr>
  </w:style>
  <w:style w:type="paragraph" w:styleId="TOC3">
    <w:name w:val="toc 3"/>
    <w:basedOn w:val="Normal"/>
    <w:next w:val="Normal"/>
    <w:autoRedefine/>
    <w:uiPriority w:val="39"/>
    <w:unhideWhenUsed/>
    <w:rsid w:val="006D672A"/>
    <w:pPr>
      <w:ind w:left="440"/>
    </w:pPr>
  </w:style>
  <w:style w:type="character" w:styleId="Hyperlink">
    <w:name w:val="Hyperlink"/>
    <w:basedOn w:val="DefaultParagraphFont"/>
    <w:uiPriority w:val="99"/>
    <w:unhideWhenUsed/>
    <w:rsid w:val="006D672A"/>
    <w:rPr>
      <w:color w:val="0563C1" w:themeColor="hyperlink"/>
      <w:u w:val="single"/>
    </w:rPr>
  </w:style>
  <w:style w:type="paragraph" w:styleId="ListParagraph">
    <w:name w:val="List Paragraph"/>
    <w:aliases w:val="List Numbered"/>
    <w:basedOn w:val="Normal"/>
    <w:uiPriority w:val="34"/>
    <w:qFormat/>
    <w:rsid w:val="006D672A"/>
    <w:pPr>
      <w:numPr>
        <w:numId w:val="3"/>
      </w:numPr>
      <w:ind w:left="714" w:hanging="357"/>
      <w:contextualSpacing/>
    </w:pPr>
  </w:style>
  <w:style w:type="table" w:customStyle="1" w:styleId="AICISTableGridwithbluecolumn">
    <w:name w:val="AICIS Table Grid with blue column"/>
    <w:basedOn w:val="TableNormal"/>
    <w:uiPriority w:val="99"/>
    <w:rsid w:val="00F53A68"/>
    <w:pPr>
      <w:spacing w:after="0" w:line="240" w:lineRule="auto"/>
    </w:pPr>
    <w:rPr>
      <w:rFonts w:ascii="Arial" w:hAnsi="Arial"/>
      <w:sz w:val="22"/>
    </w:rPr>
    <w:tblPr>
      <w:tblStyleRowBandSize w:val="2"/>
      <w:tblBorders>
        <w:top w:val="single" w:sz="4" w:space="0" w:color="6D6D70" w:themeColor="text2"/>
        <w:bottom w:val="single" w:sz="4" w:space="0" w:color="6D6D70" w:themeColor="text2"/>
        <w:insideH w:val="single" w:sz="4" w:space="0" w:color="6D6D70" w:themeColor="text2"/>
      </w:tblBorders>
    </w:tblPr>
    <w:tcPr>
      <w:shd w:val="clear" w:color="auto" w:fill="auto"/>
    </w:tcPr>
    <w:tblStylePr w:type="firstRow">
      <w:pPr>
        <w:jc w:val="left"/>
      </w:pPr>
      <w:rPr>
        <w:rFonts w:ascii="Arial" w:hAnsi="Arial"/>
        <w:b/>
        <w:color w:val="FFFFFF" w:themeColor="background2"/>
        <w:sz w:val="22"/>
      </w:rPr>
      <w:tblPr/>
      <w:tcPr>
        <w:shd w:val="clear" w:color="auto" w:fill="0563C1" w:themeFill="accent2"/>
        <w:vAlign w:val="center"/>
      </w:tcPr>
    </w:tblStylePr>
    <w:tblStylePr w:type="firstCol">
      <w:pPr>
        <w:jc w:val="left"/>
      </w:pPr>
      <w:rPr>
        <w:rFonts w:ascii="Arial" w:hAnsi="Arial"/>
        <w:b/>
        <w:color w:val="FFFFFF" w:themeColor="background2"/>
        <w:sz w:val="22"/>
      </w:rPr>
      <w:tblPr/>
      <w:tcPr>
        <w:tcBorders>
          <w:top w:val="nil"/>
          <w:left w:val="nil"/>
          <w:bottom w:val="nil"/>
          <w:right w:val="nil"/>
          <w:insideH w:val="nil"/>
          <w:insideV w:val="nil"/>
          <w:tl2br w:val="nil"/>
          <w:tr2bl w:val="nil"/>
        </w:tcBorders>
        <w:shd w:val="clear" w:color="auto" w:fill="0563C1" w:themeFill="accent2"/>
      </w:tcPr>
    </w:tblStylePr>
  </w:style>
  <w:style w:type="table" w:styleId="GridTable5Dark-Accent1">
    <w:name w:val="Grid Table 5 Dark Accent 1"/>
    <w:aliases w:val="AICIS table - blue header and first column"/>
    <w:basedOn w:val="TableNormal"/>
    <w:uiPriority w:val="50"/>
    <w:rsid w:val="000B55F6"/>
    <w:pPr>
      <w:spacing w:after="0" w:line="240" w:lineRule="auto"/>
    </w:pPr>
    <w:rPr>
      <w:rFonts w:ascii="Arial" w:hAnsi="Arial"/>
      <w:sz w:val="22"/>
    </w:rPr>
    <w:tblPr>
      <w:tblStyleRowBandSize w:val="1"/>
      <w:tblBorders>
        <w:top w:val="single" w:sz="4" w:space="0" w:color="6D6D70" w:themeColor="text2"/>
        <w:bottom w:val="single" w:sz="4" w:space="0" w:color="6D6D70" w:themeColor="text2"/>
        <w:right w:val="single" w:sz="4" w:space="0" w:color="F2F4F8" w:themeColor="background1"/>
        <w:insideH w:val="single" w:sz="4" w:space="0" w:color="6D6D70" w:themeColor="text2"/>
        <w:insideV w:val="single" w:sz="4" w:space="0" w:color="F2F4F8" w:themeColor="background1"/>
      </w:tblBorders>
    </w:tblPr>
    <w:tcPr>
      <w:shd w:val="clear" w:color="auto" w:fill="auto"/>
      <w:vAlign w:val="center"/>
    </w:tcPr>
    <w:tblStylePr w:type="firstRow">
      <w:pPr>
        <w:jc w:val="left"/>
      </w:pPr>
      <w:rPr>
        <w:b/>
        <w:bCs/>
        <w:color w:val="F2F4F8" w:themeColor="background1"/>
      </w:rPr>
      <w:tblPr/>
      <w:tcPr>
        <w:shd w:val="clear" w:color="auto" w:fill="0563C1" w:themeFill="accent2"/>
      </w:tcPr>
    </w:tblStylePr>
    <w:tblStylePr w:type="lastRow">
      <w:rPr>
        <w:b/>
        <w:bCs/>
        <w:color w:val="F2F4F8" w:themeColor="background1"/>
      </w:rPr>
      <w:tblPr/>
      <w:tcPr>
        <w:tcBorders>
          <w:left w:val="single" w:sz="4" w:space="0" w:color="F2F4F8" w:themeColor="background1"/>
          <w:bottom w:val="single" w:sz="4" w:space="0" w:color="F2F4F8" w:themeColor="background1"/>
          <w:right w:val="single" w:sz="4" w:space="0" w:color="F2F4F8" w:themeColor="background1"/>
          <w:insideH w:val="nil"/>
          <w:insideV w:val="nil"/>
        </w:tcBorders>
        <w:shd w:val="clear" w:color="auto" w:fill="003399" w:themeFill="accent1"/>
      </w:tcPr>
    </w:tblStylePr>
    <w:tblStylePr w:type="firstCol">
      <w:rPr>
        <w:b/>
        <w:bCs/>
        <w:color w:val="F2F4F8" w:themeColor="background1"/>
      </w:rPr>
      <w:tblPr/>
      <w:tcPr>
        <w:shd w:val="clear" w:color="auto" w:fill="0563C1" w:themeFill="accent2"/>
      </w:tcPr>
    </w:tblStylePr>
    <w:tblStylePr w:type="lastCol">
      <w:rPr>
        <w:b/>
        <w:bCs/>
        <w:color w:val="F2F4F8" w:themeColor="background1"/>
      </w:rPr>
    </w:tblStylePr>
    <w:tblStylePr w:type="band2Horz">
      <w:rPr>
        <w:rFonts w:ascii="Arial" w:hAnsi="Arial"/>
      </w:rPr>
      <w:tblPr/>
      <w:tcPr>
        <w:shd w:val="clear" w:color="auto" w:fill="D9E5FD" w:themeFill="accent6"/>
      </w:tcPr>
    </w:tblStylePr>
  </w:style>
  <w:style w:type="paragraph" w:styleId="BalloonText">
    <w:name w:val="Balloon Text"/>
    <w:basedOn w:val="Normal"/>
    <w:link w:val="BalloonTextChar"/>
    <w:uiPriority w:val="99"/>
    <w:semiHidden/>
    <w:unhideWhenUsed/>
    <w:rsid w:val="009F50BA"/>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50BA"/>
    <w:rPr>
      <w:rFonts w:ascii="Segoe UI" w:hAnsi="Segoe UI" w:cs="Segoe UI"/>
      <w:sz w:val="18"/>
      <w:szCs w:val="18"/>
    </w:rPr>
  </w:style>
  <w:style w:type="table" w:styleId="GridTable5Dark">
    <w:name w:val="Grid Table 5 Dark"/>
    <w:basedOn w:val="TableNormal"/>
    <w:uiPriority w:val="50"/>
    <w:rsid w:val="008B4DDC"/>
    <w:pPr>
      <w:spacing w:after="0" w:line="240" w:lineRule="auto"/>
    </w:pPr>
    <w:tblPr>
      <w:tblStyleRowBandSize w:val="1"/>
      <w:tblStyleColBandSize w:val="1"/>
    </w:tblPr>
    <w:tcPr>
      <w:shd w:val="clear" w:color="auto" w:fill="CCCCCC" w:themeFill="text1" w:themeFillTint="33"/>
    </w:tcPr>
    <w:tblStylePr w:type="firstRow">
      <w:rPr>
        <w:b/>
        <w:bCs/>
        <w:color w:val="F2F4F8"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rPr>
        <w:rFonts w:ascii="Arial" w:hAnsi="Arial"/>
        <w:b/>
        <w:bCs/>
        <w:color w:val="F2F4F8" w:themeColor="background1"/>
        <w:sz w:val="22"/>
      </w:rPr>
      <w:tblPr/>
      <w:tcPr>
        <w:tcBorders>
          <w:top w:val="nil"/>
          <w:left w:val="nil"/>
          <w:bottom w:val="nil"/>
          <w:right w:val="nil"/>
          <w:insideH w:val="nil"/>
          <w:insideV w:val="nil"/>
          <w:tl2br w:val="nil"/>
          <w:tr2bl w:val="nil"/>
        </w:tcBorders>
        <w:shd w:val="clear" w:color="auto" w:fill="0563C1" w:themeFill="accent2"/>
      </w:tcPr>
    </w:tblStylePr>
    <w:tblStylePr w:type="firstCol">
      <w:rPr>
        <w:b/>
        <w:bCs/>
        <w:color w:val="F2F4F8" w:themeColor="background1"/>
      </w:rPr>
      <w:tblPr/>
      <w:tcPr>
        <w:tcBorders>
          <w:top w:val="nil"/>
          <w:left w:val="nil"/>
          <w:bottom w:val="nil"/>
          <w:right w:val="nil"/>
          <w:insideH w:val="nil"/>
          <w:insideV w:val="nil"/>
          <w:tl2br w:val="nil"/>
          <w:tr2bl w:val="nil"/>
        </w:tcBorders>
        <w:shd w:val="clear" w:color="auto" w:fill="000000" w:themeFill="text1"/>
      </w:tcPr>
    </w:tblStylePr>
    <w:tblStylePr w:type="lastCol">
      <w:rPr>
        <w:b/>
        <w:bCs/>
        <w:color w:val="F2F4F8" w:themeColor="background1"/>
      </w:rPr>
      <w:tblPr/>
      <w:tcPr>
        <w:tcBorders>
          <w:top w:val="single" w:sz="4" w:space="0" w:color="F2F4F8" w:themeColor="background1"/>
          <w:bottom w:val="single" w:sz="4" w:space="0" w:color="F2F4F8" w:themeColor="background1"/>
          <w:right w:val="single" w:sz="4" w:space="0" w:color="F2F4F8"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AICISTableGrid-BlueHeaderonly">
    <w:name w:val="AICIS Table Grid - Blue Header only"/>
    <w:basedOn w:val="TableNormal"/>
    <w:uiPriority w:val="99"/>
    <w:rsid w:val="007D4834"/>
    <w:pPr>
      <w:spacing w:after="0" w:line="240" w:lineRule="auto"/>
    </w:pPr>
    <w:rPr>
      <w:rFonts w:ascii="Arial" w:hAnsi="Arial"/>
      <w:sz w:val="22"/>
    </w:rPr>
    <w:tblPr>
      <w:tblStyleRowBandSize w:val="1"/>
    </w:tblPr>
    <w:tcPr>
      <w:vAlign w:val="center"/>
    </w:tcPr>
    <w:tblStylePr w:type="firstRow">
      <w:rPr>
        <w:rFonts w:ascii="Arial" w:hAnsi="Arial"/>
        <w:b/>
        <w:color w:val="FFFFFF" w:themeColor="background2"/>
        <w:sz w:val="22"/>
      </w:rPr>
      <w:tblPr/>
      <w:tcPr>
        <w:shd w:val="clear" w:color="auto" w:fill="0563C1" w:themeFill="accent2"/>
      </w:tcPr>
    </w:tblStylePr>
    <w:tblStylePr w:type="band2Horz">
      <w:tblPr/>
      <w:tcPr>
        <w:shd w:val="clear" w:color="auto" w:fill="D9E5FD" w:themeFill="accent6"/>
      </w:tcPr>
    </w:tblStylePr>
  </w:style>
  <w:style w:type="table" w:customStyle="1" w:styleId="AICISTableGrid-BlueHeader">
    <w:name w:val="AICIS Table Grid - Blue Header"/>
    <w:basedOn w:val="TableNormal"/>
    <w:uiPriority w:val="99"/>
    <w:rsid w:val="00B82015"/>
    <w:pPr>
      <w:spacing w:after="0" w:line="240" w:lineRule="auto"/>
    </w:pPr>
    <w:rPr>
      <w:rFonts w:ascii="Arial" w:hAnsi="Arial"/>
      <w:sz w:val="22"/>
    </w:rPr>
    <w:tblPr>
      <w:tblStyleRowBandSize w:val="1"/>
    </w:tblPr>
    <w:tcPr>
      <w:vAlign w:val="center"/>
    </w:tcPr>
    <w:tblStylePr w:type="firstRow">
      <w:rPr>
        <w:rFonts w:ascii="Arial" w:hAnsi="Arial"/>
        <w:color w:val="FFFFFF" w:themeColor="background2"/>
        <w:sz w:val="22"/>
      </w:rPr>
      <w:tblPr/>
      <w:tcPr>
        <w:shd w:val="clear" w:color="auto" w:fill="0563C1" w:themeFill="accent2"/>
      </w:tcPr>
    </w:tblStylePr>
    <w:tblStylePr w:type="band2Horz">
      <w:rPr>
        <w:rFonts w:ascii="Arial" w:hAnsi="Arial"/>
        <w:sz w:val="22"/>
      </w:rPr>
      <w:tblPr/>
      <w:tcPr>
        <w:shd w:val="clear" w:color="auto" w:fill="D9E5FD" w:themeFill="accent6"/>
      </w:tcPr>
    </w:tblStylePr>
  </w:style>
  <w:style w:type="paragraph" w:customStyle="1" w:styleId="Commenttext">
    <w:name w:val="Comment text"/>
    <w:basedOn w:val="Normal"/>
    <w:link w:val="CommenttextChar"/>
    <w:qFormat/>
    <w:rsid w:val="006048A3"/>
    <w:pPr>
      <w:spacing w:before="120" w:beforeAutospacing="0" w:after="120" w:afterAutospacing="0"/>
    </w:pPr>
  </w:style>
  <w:style w:type="character" w:customStyle="1" w:styleId="CommenttextChar">
    <w:name w:val="Comment text Char"/>
    <w:basedOn w:val="DefaultParagraphFont"/>
    <w:link w:val="Commenttext"/>
    <w:rsid w:val="006048A3"/>
    <w:rPr>
      <w:rFonts w:ascii="Arial" w:hAnsi="Arial"/>
      <w:sz w:val="22"/>
    </w:rPr>
  </w:style>
  <w:style w:type="table" w:customStyle="1" w:styleId="Responsetocomments">
    <w:name w:val="Response to comments"/>
    <w:basedOn w:val="TableNormal"/>
    <w:uiPriority w:val="99"/>
    <w:rsid w:val="00B21463"/>
    <w:pPr>
      <w:spacing w:after="0" w:line="240" w:lineRule="auto"/>
    </w:pPr>
    <w:rPr>
      <w:rFonts w:ascii="Arial" w:hAnsi="Arial"/>
      <w:sz w:val="22"/>
    </w:rPr>
    <w:tblPr/>
  </w:style>
  <w:style w:type="table" w:customStyle="1" w:styleId="CommentandResponse">
    <w:name w:val="Comment and Response"/>
    <w:basedOn w:val="TableGrid1"/>
    <w:uiPriority w:val="99"/>
    <w:rsid w:val="007F542E"/>
    <w:pPr>
      <w:spacing w:before="120" w:beforeAutospacing="0" w:after="120" w:afterAutospacing="0"/>
    </w:pPr>
    <w:rPr>
      <w:rFonts w:ascii="Arial" w:hAnsi="Arial"/>
      <w:sz w:val="22"/>
      <w:szCs w:val="20"/>
      <w:lang w:val="en-US" w:eastAsia="en-AU"/>
    </w:rP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7F542E"/>
    <w:pPr>
      <w:spacing w:before="100" w:beforeAutospacing="1" w:after="100" w:afterAutospacing="1"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forCommentsResponse">
    <w:name w:val="Table for Comments/Response"/>
    <w:basedOn w:val="TableNormal"/>
    <w:uiPriority w:val="99"/>
    <w:rsid w:val="00FA7CFF"/>
    <w:pPr>
      <w:spacing w:before="120" w:after="120" w:line="240" w:lineRule="auto"/>
      <w:ind w:left="113"/>
    </w:pPr>
    <w:rPr>
      <w:rFonts w:ascii="Arial" w:hAnsi="Arial"/>
      <w:sz w:val="22"/>
    </w:rPr>
    <w:tblPr>
      <w:tblStyleColBandSize w:val="1"/>
    </w:tblPr>
    <w:tcPr>
      <w:shd w:val="clear" w:color="auto" w:fill="F2F4F8"/>
    </w:tcPr>
    <w:tblStylePr w:type="firstCol">
      <w:pPr>
        <w:jc w:val="left"/>
      </w:pPr>
      <w:rPr>
        <w:rFonts w:ascii="Arial" w:hAnsi="Arial"/>
        <w:b/>
        <w:color w:val="auto"/>
        <w:sz w:val="20"/>
      </w:rPr>
      <w:tblPr/>
      <w:tcPr>
        <w:shd w:val="clear" w:color="auto" w:fill="F2F4F8"/>
      </w:tcPr>
    </w:tblStylePr>
    <w:tblStylePr w:type="lastCol">
      <w:rPr>
        <w:rFonts w:ascii="Arial" w:hAnsi="Arial"/>
        <w:sz w:val="22"/>
      </w:rPr>
    </w:tblStylePr>
  </w:style>
  <w:style w:type="paragraph" w:customStyle="1" w:styleId="Bulletlist">
    <w:name w:val="Bullet list"/>
    <w:basedOn w:val="Commenttext"/>
    <w:link w:val="BulletlistChar"/>
    <w:qFormat/>
    <w:rsid w:val="000A5B68"/>
    <w:pPr>
      <w:numPr>
        <w:numId w:val="4"/>
      </w:numPr>
      <w:spacing w:before="100" w:beforeAutospacing="1" w:after="100" w:afterAutospacing="1"/>
      <w:ind w:left="709"/>
    </w:pPr>
  </w:style>
  <w:style w:type="character" w:customStyle="1" w:styleId="BulletlistChar">
    <w:name w:val="Bullet list Char"/>
    <w:basedOn w:val="CommenttextChar"/>
    <w:link w:val="Bulletlist"/>
    <w:rsid w:val="000A5B68"/>
    <w:rPr>
      <w:rFonts w:ascii="Arial" w:hAnsi="Arial"/>
      <w:sz w:val="20"/>
    </w:rPr>
  </w:style>
  <w:style w:type="paragraph" w:customStyle="1" w:styleId="Tableheader">
    <w:name w:val="Table header"/>
    <w:basedOn w:val="Normal"/>
    <w:link w:val="TableheaderChar"/>
    <w:qFormat/>
    <w:rsid w:val="005B697D"/>
    <w:rPr>
      <w:b/>
      <w:color w:val="6D6D70" w:themeColor="text2"/>
    </w:rPr>
  </w:style>
  <w:style w:type="character" w:customStyle="1" w:styleId="TableheaderChar">
    <w:name w:val="Table header Char"/>
    <w:basedOn w:val="DefaultParagraphFont"/>
    <w:link w:val="Tableheader"/>
    <w:rsid w:val="005B697D"/>
    <w:rPr>
      <w:rFonts w:ascii="Arial" w:hAnsi="Arial"/>
      <w:b/>
      <w:color w:val="6D6D70" w:themeColor="text2"/>
      <w:sz w:val="20"/>
    </w:rPr>
  </w:style>
  <w:style w:type="character" w:styleId="FollowedHyperlink">
    <w:name w:val="FollowedHyperlink"/>
    <w:basedOn w:val="DefaultParagraphFont"/>
    <w:uiPriority w:val="99"/>
    <w:semiHidden/>
    <w:unhideWhenUsed/>
    <w:rsid w:val="001E0EB7"/>
    <w:rPr>
      <w:color w:val="FF6000" w:themeColor="followedHyperlink"/>
      <w:u w:val="single"/>
    </w:rPr>
  </w:style>
  <w:style w:type="paragraph" w:styleId="FootnoteText">
    <w:name w:val="footnote text"/>
    <w:basedOn w:val="Normal"/>
    <w:link w:val="FootnoteTextChar"/>
    <w:uiPriority w:val="99"/>
    <w:unhideWhenUsed/>
    <w:rsid w:val="00C37435"/>
    <w:pPr>
      <w:spacing w:before="0" w:after="0"/>
    </w:pPr>
    <w:rPr>
      <w:szCs w:val="20"/>
    </w:rPr>
  </w:style>
  <w:style w:type="character" w:customStyle="1" w:styleId="FootnoteTextChar">
    <w:name w:val="Footnote Text Char"/>
    <w:basedOn w:val="DefaultParagraphFont"/>
    <w:link w:val="FootnoteText"/>
    <w:uiPriority w:val="99"/>
    <w:rsid w:val="00C37435"/>
    <w:rPr>
      <w:rFonts w:ascii="Arial" w:hAnsi="Arial"/>
      <w:sz w:val="20"/>
      <w:szCs w:val="20"/>
    </w:rPr>
  </w:style>
  <w:style w:type="character" w:styleId="FootnoteReference">
    <w:name w:val="footnote reference"/>
    <w:basedOn w:val="DefaultParagraphFont"/>
    <w:uiPriority w:val="99"/>
    <w:unhideWhenUsed/>
    <w:rsid w:val="00C37435"/>
    <w:rPr>
      <w:vertAlign w:val="superscript"/>
    </w:rPr>
  </w:style>
  <w:style w:type="paragraph" w:customStyle="1" w:styleId="Bulletlist2">
    <w:name w:val="Bullet list 2"/>
    <w:basedOn w:val="Bulletlist"/>
    <w:link w:val="Bulletlist2Char"/>
    <w:qFormat/>
    <w:rsid w:val="00C144B1"/>
    <w:pPr>
      <w:numPr>
        <w:ilvl w:val="1"/>
      </w:numPr>
      <w:ind w:left="1134"/>
    </w:pPr>
  </w:style>
  <w:style w:type="character" w:customStyle="1" w:styleId="Bulletlist2Char">
    <w:name w:val="Bullet list 2 Char"/>
    <w:basedOn w:val="BulletlistChar"/>
    <w:link w:val="Bulletlist2"/>
    <w:rsid w:val="00C144B1"/>
    <w:rPr>
      <w:rFonts w:ascii="Arial" w:hAnsi="Arial"/>
      <w:sz w:val="20"/>
    </w:rPr>
  </w:style>
  <w:style w:type="character" w:styleId="UnresolvedMention">
    <w:name w:val="Unresolved Mention"/>
    <w:basedOn w:val="DefaultParagraphFont"/>
    <w:uiPriority w:val="99"/>
    <w:semiHidden/>
    <w:unhideWhenUsed/>
    <w:rsid w:val="00BD7CFB"/>
    <w:rPr>
      <w:color w:val="605E5C"/>
      <w:shd w:val="clear" w:color="auto" w:fill="E1DFDD"/>
    </w:rPr>
  </w:style>
  <w:style w:type="paragraph" w:customStyle="1" w:styleId="Bulletlist3">
    <w:name w:val="Bullet list 3"/>
    <w:basedOn w:val="Bulletlist2"/>
    <w:link w:val="Bulletlist3Char"/>
    <w:qFormat/>
    <w:rsid w:val="00103519"/>
    <w:pPr>
      <w:numPr>
        <w:ilvl w:val="2"/>
      </w:numPr>
      <w:ind w:left="1560"/>
    </w:pPr>
  </w:style>
  <w:style w:type="character" w:customStyle="1" w:styleId="Bulletlist3Char">
    <w:name w:val="Bullet list 3 Char"/>
    <w:basedOn w:val="Bulletlist2Char"/>
    <w:link w:val="Bulletlist3"/>
    <w:rsid w:val="00103519"/>
    <w:rPr>
      <w:rFonts w:ascii="Arial" w:hAnsi="Arial"/>
      <w:sz w:val="20"/>
    </w:rPr>
  </w:style>
  <w:style w:type="paragraph" w:customStyle="1" w:styleId="Tablebullet">
    <w:name w:val="Table bullet"/>
    <w:basedOn w:val="Bulletlist"/>
    <w:link w:val="TablebulletChar"/>
    <w:qFormat/>
    <w:rsid w:val="000D5816"/>
    <w:pPr>
      <w:ind w:left="322"/>
    </w:pPr>
  </w:style>
  <w:style w:type="character" w:customStyle="1" w:styleId="TablebulletChar">
    <w:name w:val="Table bullet Char"/>
    <w:basedOn w:val="BulletlistChar"/>
    <w:link w:val="Tablebullet"/>
    <w:rsid w:val="000D5816"/>
    <w:rPr>
      <w:rFonts w:ascii="Arial" w:hAnsi="Arial"/>
      <w:sz w:val="20"/>
    </w:rPr>
  </w:style>
  <w:style w:type="paragraph" w:customStyle="1" w:styleId="Bulletlist4">
    <w:name w:val="Bullet list 4"/>
    <w:basedOn w:val="Bulletlist2"/>
    <w:link w:val="Bulletlist4Char"/>
    <w:qFormat/>
    <w:rsid w:val="00881ECD"/>
    <w:pPr>
      <w:numPr>
        <w:ilvl w:val="0"/>
        <w:numId w:val="9"/>
      </w:numPr>
      <w:ind w:left="2127"/>
    </w:pPr>
  </w:style>
  <w:style w:type="character" w:customStyle="1" w:styleId="Bulletlist4Char">
    <w:name w:val="Bullet list 4 Char"/>
    <w:basedOn w:val="Bulletlist2Char"/>
    <w:link w:val="Bulletlist4"/>
    <w:rsid w:val="00881ECD"/>
    <w:rPr>
      <w:rFonts w:ascii="Arial" w:hAnsi="Arial"/>
      <w:sz w:val="20"/>
    </w:rPr>
  </w:style>
  <w:style w:type="paragraph" w:styleId="TOC2">
    <w:name w:val="toc 2"/>
    <w:basedOn w:val="Normal"/>
    <w:next w:val="Normal"/>
    <w:autoRedefine/>
    <w:uiPriority w:val="39"/>
    <w:unhideWhenUsed/>
    <w:rsid w:val="0078344C"/>
    <w:pPr>
      <w:tabs>
        <w:tab w:val="left" w:pos="851"/>
        <w:tab w:val="right" w:leader="dot" w:pos="9628"/>
      </w:tabs>
      <w:spacing w:before="0" w:beforeAutospacing="0" w:after="0" w:afterAutospacing="0"/>
      <w:ind w:left="284"/>
    </w:pPr>
  </w:style>
  <w:style w:type="paragraph" w:styleId="Revision">
    <w:name w:val="Revision"/>
    <w:hidden/>
    <w:uiPriority w:val="99"/>
    <w:semiHidden/>
    <w:rsid w:val="00C210EC"/>
    <w:pPr>
      <w:spacing w:after="0" w:line="240" w:lineRule="auto"/>
    </w:pPr>
    <w:rPr>
      <w:rFonts w:ascii="Arial" w:hAnsi="Arial"/>
      <w:sz w:val="20"/>
    </w:rPr>
  </w:style>
  <w:style w:type="character" w:styleId="CommentReference">
    <w:name w:val="annotation reference"/>
    <w:basedOn w:val="DefaultParagraphFont"/>
    <w:uiPriority w:val="99"/>
    <w:semiHidden/>
    <w:unhideWhenUsed/>
    <w:rsid w:val="00E00FCB"/>
    <w:rPr>
      <w:sz w:val="16"/>
      <w:szCs w:val="16"/>
    </w:rPr>
  </w:style>
  <w:style w:type="paragraph" w:styleId="CommentText0">
    <w:name w:val="annotation text"/>
    <w:basedOn w:val="Normal"/>
    <w:link w:val="CommentTextChar0"/>
    <w:uiPriority w:val="99"/>
    <w:unhideWhenUsed/>
    <w:rsid w:val="00E00FCB"/>
    <w:rPr>
      <w:szCs w:val="20"/>
    </w:rPr>
  </w:style>
  <w:style w:type="character" w:customStyle="1" w:styleId="CommentTextChar0">
    <w:name w:val="Comment Text Char"/>
    <w:basedOn w:val="DefaultParagraphFont"/>
    <w:link w:val="CommentText0"/>
    <w:uiPriority w:val="99"/>
    <w:rsid w:val="00E00FCB"/>
    <w:rPr>
      <w:rFonts w:ascii="Arial" w:hAnsi="Arial"/>
      <w:sz w:val="20"/>
      <w:szCs w:val="20"/>
    </w:rPr>
  </w:style>
  <w:style w:type="paragraph" w:styleId="CommentSubject">
    <w:name w:val="annotation subject"/>
    <w:basedOn w:val="CommentText0"/>
    <w:next w:val="CommentText0"/>
    <w:link w:val="CommentSubjectChar"/>
    <w:uiPriority w:val="99"/>
    <w:semiHidden/>
    <w:unhideWhenUsed/>
    <w:rsid w:val="00E00FCB"/>
    <w:rPr>
      <w:b/>
      <w:bCs/>
    </w:rPr>
  </w:style>
  <w:style w:type="character" w:customStyle="1" w:styleId="CommentSubjectChar">
    <w:name w:val="Comment Subject Char"/>
    <w:basedOn w:val="CommentTextChar0"/>
    <w:link w:val="CommentSubject"/>
    <w:uiPriority w:val="99"/>
    <w:semiHidden/>
    <w:rsid w:val="00E00FCB"/>
    <w:rPr>
      <w:rFonts w:ascii="Arial" w:hAnsi="Arial"/>
      <w:b/>
      <w:bCs/>
      <w:sz w:val="20"/>
      <w:szCs w:val="20"/>
    </w:rPr>
  </w:style>
  <w:style w:type="paragraph" w:styleId="NormalWeb">
    <w:name w:val="Normal (Web)"/>
    <w:basedOn w:val="Normal"/>
    <w:uiPriority w:val="99"/>
    <w:semiHidden/>
    <w:unhideWhenUsed/>
    <w:rsid w:val="00B27E4F"/>
    <w:rPr>
      <w:rFonts w:ascii="Times New Roman" w:eastAsia="Times New Roman" w:hAnsi="Times New Roman"/>
      <w:sz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93040">
      <w:bodyDiv w:val="1"/>
      <w:marLeft w:val="0"/>
      <w:marRight w:val="0"/>
      <w:marTop w:val="0"/>
      <w:marBottom w:val="0"/>
      <w:divBdr>
        <w:top w:val="none" w:sz="0" w:space="0" w:color="auto"/>
        <w:left w:val="none" w:sz="0" w:space="0" w:color="auto"/>
        <w:bottom w:val="none" w:sz="0" w:space="0" w:color="auto"/>
        <w:right w:val="none" w:sz="0" w:space="0" w:color="auto"/>
      </w:divBdr>
      <w:divsChild>
        <w:div w:id="1759130782">
          <w:marLeft w:val="0"/>
          <w:marRight w:val="0"/>
          <w:marTop w:val="0"/>
          <w:marBottom w:val="0"/>
          <w:divBdr>
            <w:top w:val="none" w:sz="0" w:space="0" w:color="auto"/>
            <w:left w:val="none" w:sz="0" w:space="0" w:color="auto"/>
            <w:bottom w:val="none" w:sz="0" w:space="0" w:color="auto"/>
            <w:right w:val="none" w:sz="0" w:space="0" w:color="auto"/>
          </w:divBdr>
          <w:divsChild>
            <w:div w:id="367536173">
              <w:marLeft w:val="0"/>
              <w:marRight w:val="0"/>
              <w:marTop w:val="0"/>
              <w:marBottom w:val="0"/>
              <w:divBdr>
                <w:top w:val="none" w:sz="0" w:space="0" w:color="auto"/>
                <w:left w:val="none" w:sz="0" w:space="0" w:color="auto"/>
                <w:bottom w:val="none" w:sz="0" w:space="0" w:color="auto"/>
                <w:right w:val="none" w:sz="0" w:space="0" w:color="auto"/>
              </w:divBdr>
              <w:divsChild>
                <w:div w:id="1536115771">
                  <w:marLeft w:val="0"/>
                  <w:marRight w:val="0"/>
                  <w:marTop w:val="0"/>
                  <w:marBottom w:val="0"/>
                  <w:divBdr>
                    <w:top w:val="none" w:sz="0" w:space="0" w:color="auto"/>
                    <w:left w:val="none" w:sz="0" w:space="0" w:color="auto"/>
                    <w:bottom w:val="none" w:sz="0" w:space="0" w:color="auto"/>
                    <w:right w:val="none" w:sz="0" w:space="0" w:color="auto"/>
                  </w:divBdr>
                  <w:divsChild>
                    <w:div w:id="671177540">
                      <w:marLeft w:val="0"/>
                      <w:marRight w:val="0"/>
                      <w:marTop w:val="0"/>
                      <w:marBottom w:val="0"/>
                      <w:divBdr>
                        <w:top w:val="none" w:sz="0" w:space="0" w:color="auto"/>
                        <w:left w:val="none" w:sz="0" w:space="0" w:color="auto"/>
                        <w:bottom w:val="none" w:sz="0" w:space="0" w:color="auto"/>
                        <w:right w:val="none" w:sz="0" w:space="0" w:color="auto"/>
                      </w:divBdr>
                      <w:divsChild>
                        <w:div w:id="95103660">
                          <w:marLeft w:val="0"/>
                          <w:marRight w:val="0"/>
                          <w:marTop w:val="0"/>
                          <w:marBottom w:val="0"/>
                          <w:divBdr>
                            <w:top w:val="none" w:sz="0" w:space="0" w:color="auto"/>
                            <w:left w:val="none" w:sz="0" w:space="0" w:color="auto"/>
                            <w:bottom w:val="none" w:sz="0" w:space="0" w:color="auto"/>
                            <w:right w:val="none" w:sz="0" w:space="0" w:color="auto"/>
                          </w:divBdr>
                          <w:divsChild>
                            <w:div w:id="76367874">
                              <w:marLeft w:val="0"/>
                              <w:marRight w:val="0"/>
                              <w:marTop w:val="0"/>
                              <w:marBottom w:val="0"/>
                              <w:divBdr>
                                <w:top w:val="none" w:sz="0" w:space="0" w:color="auto"/>
                                <w:left w:val="none" w:sz="0" w:space="0" w:color="auto"/>
                                <w:bottom w:val="none" w:sz="0" w:space="0" w:color="auto"/>
                                <w:right w:val="none" w:sz="0" w:space="0" w:color="auto"/>
                              </w:divBdr>
                              <w:divsChild>
                                <w:div w:id="453715377">
                                  <w:marLeft w:val="0"/>
                                  <w:marRight w:val="0"/>
                                  <w:marTop w:val="0"/>
                                  <w:marBottom w:val="0"/>
                                  <w:divBdr>
                                    <w:top w:val="none" w:sz="0" w:space="0" w:color="auto"/>
                                    <w:left w:val="none" w:sz="0" w:space="0" w:color="auto"/>
                                    <w:bottom w:val="none" w:sz="0" w:space="0" w:color="auto"/>
                                    <w:right w:val="none" w:sz="0" w:space="0" w:color="auto"/>
                                  </w:divBdr>
                                  <w:divsChild>
                                    <w:div w:id="255941599">
                                      <w:marLeft w:val="0"/>
                                      <w:marRight w:val="0"/>
                                      <w:marTop w:val="0"/>
                                      <w:marBottom w:val="0"/>
                                      <w:divBdr>
                                        <w:top w:val="none" w:sz="0" w:space="0" w:color="auto"/>
                                        <w:left w:val="none" w:sz="0" w:space="0" w:color="auto"/>
                                        <w:bottom w:val="none" w:sz="0" w:space="0" w:color="auto"/>
                                        <w:right w:val="none" w:sz="0" w:space="0" w:color="auto"/>
                                      </w:divBdr>
                                      <w:divsChild>
                                        <w:div w:id="1231112047">
                                          <w:marLeft w:val="0"/>
                                          <w:marRight w:val="0"/>
                                          <w:marTop w:val="0"/>
                                          <w:marBottom w:val="0"/>
                                          <w:divBdr>
                                            <w:top w:val="none" w:sz="0" w:space="0" w:color="auto"/>
                                            <w:left w:val="none" w:sz="0" w:space="0" w:color="auto"/>
                                            <w:bottom w:val="none" w:sz="0" w:space="0" w:color="auto"/>
                                            <w:right w:val="none" w:sz="0" w:space="0" w:color="auto"/>
                                          </w:divBdr>
                                          <w:divsChild>
                                            <w:div w:id="1942643981">
                                              <w:marLeft w:val="0"/>
                                              <w:marRight w:val="0"/>
                                              <w:marTop w:val="0"/>
                                              <w:marBottom w:val="0"/>
                                              <w:divBdr>
                                                <w:top w:val="none" w:sz="0" w:space="0" w:color="auto"/>
                                                <w:left w:val="none" w:sz="0" w:space="0" w:color="auto"/>
                                                <w:bottom w:val="none" w:sz="0" w:space="0" w:color="auto"/>
                                                <w:right w:val="none" w:sz="0" w:space="0" w:color="auto"/>
                                              </w:divBdr>
                                              <w:divsChild>
                                                <w:div w:id="239216629">
                                                  <w:marLeft w:val="0"/>
                                                  <w:marRight w:val="0"/>
                                                  <w:marTop w:val="0"/>
                                                  <w:marBottom w:val="0"/>
                                                  <w:divBdr>
                                                    <w:top w:val="none" w:sz="0" w:space="0" w:color="auto"/>
                                                    <w:left w:val="none" w:sz="0" w:space="0" w:color="auto"/>
                                                    <w:bottom w:val="none" w:sz="0" w:space="0" w:color="auto"/>
                                                    <w:right w:val="none" w:sz="0" w:space="0" w:color="auto"/>
                                                  </w:divBdr>
                                                  <w:divsChild>
                                                    <w:div w:id="1373190942">
                                                      <w:marLeft w:val="0"/>
                                                      <w:marRight w:val="0"/>
                                                      <w:marTop w:val="0"/>
                                                      <w:marBottom w:val="0"/>
                                                      <w:divBdr>
                                                        <w:top w:val="none" w:sz="0" w:space="0" w:color="auto"/>
                                                        <w:left w:val="none" w:sz="0" w:space="0" w:color="auto"/>
                                                        <w:bottom w:val="none" w:sz="0" w:space="0" w:color="auto"/>
                                                        <w:right w:val="none" w:sz="0" w:space="0" w:color="auto"/>
                                                      </w:divBdr>
                                                      <w:divsChild>
                                                        <w:div w:id="240680043">
                                                          <w:marLeft w:val="0"/>
                                                          <w:marRight w:val="0"/>
                                                          <w:marTop w:val="0"/>
                                                          <w:marBottom w:val="0"/>
                                                          <w:divBdr>
                                                            <w:top w:val="none" w:sz="0" w:space="0" w:color="auto"/>
                                                            <w:left w:val="none" w:sz="0" w:space="0" w:color="auto"/>
                                                            <w:bottom w:val="none" w:sz="0" w:space="0" w:color="auto"/>
                                                            <w:right w:val="none" w:sz="0" w:space="0" w:color="auto"/>
                                                          </w:divBdr>
                                                          <w:divsChild>
                                                            <w:div w:id="64109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31448997">
          <w:marLeft w:val="0"/>
          <w:marRight w:val="0"/>
          <w:marTop w:val="0"/>
          <w:marBottom w:val="0"/>
          <w:divBdr>
            <w:top w:val="none" w:sz="0" w:space="0" w:color="auto"/>
            <w:left w:val="none" w:sz="0" w:space="0" w:color="auto"/>
            <w:bottom w:val="none" w:sz="0" w:space="0" w:color="auto"/>
            <w:right w:val="none" w:sz="0" w:space="0" w:color="auto"/>
          </w:divBdr>
          <w:divsChild>
            <w:div w:id="388960022">
              <w:marLeft w:val="0"/>
              <w:marRight w:val="0"/>
              <w:marTop w:val="480"/>
              <w:marBottom w:val="0"/>
              <w:divBdr>
                <w:top w:val="single" w:sz="12" w:space="0" w:color="CCCCCC"/>
                <w:left w:val="none" w:sz="0" w:space="0" w:color="auto"/>
                <w:bottom w:val="none" w:sz="0" w:space="0" w:color="auto"/>
                <w:right w:val="none" w:sz="0" w:space="0" w:color="auto"/>
              </w:divBdr>
              <w:divsChild>
                <w:div w:id="544634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38074">
      <w:bodyDiv w:val="1"/>
      <w:marLeft w:val="0"/>
      <w:marRight w:val="0"/>
      <w:marTop w:val="0"/>
      <w:marBottom w:val="0"/>
      <w:divBdr>
        <w:top w:val="none" w:sz="0" w:space="0" w:color="auto"/>
        <w:left w:val="none" w:sz="0" w:space="0" w:color="auto"/>
        <w:bottom w:val="none" w:sz="0" w:space="0" w:color="auto"/>
        <w:right w:val="none" w:sz="0" w:space="0" w:color="auto"/>
      </w:divBdr>
      <w:divsChild>
        <w:div w:id="850988605">
          <w:marLeft w:val="0"/>
          <w:marRight w:val="0"/>
          <w:marTop w:val="0"/>
          <w:marBottom w:val="0"/>
          <w:divBdr>
            <w:top w:val="none" w:sz="0" w:space="0" w:color="auto"/>
            <w:left w:val="none" w:sz="0" w:space="0" w:color="auto"/>
            <w:bottom w:val="none" w:sz="0" w:space="0" w:color="auto"/>
            <w:right w:val="none" w:sz="0" w:space="0" w:color="auto"/>
          </w:divBdr>
        </w:div>
        <w:div w:id="1477992936">
          <w:marLeft w:val="0"/>
          <w:marRight w:val="0"/>
          <w:marTop w:val="0"/>
          <w:marBottom w:val="0"/>
          <w:divBdr>
            <w:top w:val="none" w:sz="0" w:space="0" w:color="auto"/>
            <w:left w:val="none" w:sz="0" w:space="0" w:color="auto"/>
            <w:bottom w:val="none" w:sz="0" w:space="0" w:color="auto"/>
            <w:right w:val="none" w:sz="0" w:space="0" w:color="auto"/>
          </w:divBdr>
        </w:div>
        <w:div w:id="398401645">
          <w:marLeft w:val="0"/>
          <w:marRight w:val="0"/>
          <w:marTop w:val="0"/>
          <w:marBottom w:val="0"/>
          <w:divBdr>
            <w:top w:val="none" w:sz="0" w:space="0" w:color="auto"/>
            <w:left w:val="none" w:sz="0" w:space="0" w:color="auto"/>
            <w:bottom w:val="none" w:sz="0" w:space="0" w:color="auto"/>
            <w:right w:val="none" w:sz="0" w:space="0" w:color="auto"/>
          </w:divBdr>
        </w:div>
      </w:divsChild>
    </w:div>
    <w:div w:id="1946885029">
      <w:bodyDiv w:val="1"/>
      <w:marLeft w:val="0"/>
      <w:marRight w:val="0"/>
      <w:marTop w:val="0"/>
      <w:marBottom w:val="0"/>
      <w:divBdr>
        <w:top w:val="none" w:sz="0" w:space="0" w:color="auto"/>
        <w:left w:val="none" w:sz="0" w:space="0" w:color="auto"/>
        <w:bottom w:val="none" w:sz="0" w:space="0" w:color="auto"/>
        <w:right w:val="none" w:sz="0" w:space="0" w:color="auto"/>
      </w:divBdr>
      <w:divsChild>
        <w:div w:id="1155419111">
          <w:marLeft w:val="0"/>
          <w:marRight w:val="0"/>
          <w:marTop w:val="0"/>
          <w:marBottom w:val="0"/>
          <w:divBdr>
            <w:top w:val="none" w:sz="0" w:space="0" w:color="auto"/>
            <w:left w:val="none" w:sz="0" w:space="0" w:color="auto"/>
            <w:bottom w:val="none" w:sz="0" w:space="0" w:color="auto"/>
            <w:right w:val="none" w:sz="0" w:space="0" w:color="auto"/>
          </w:divBdr>
          <w:divsChild>
            <w:div w:id="617108721">
              <w:marLeft w:val="0"/>
              <w:marRight w:val="0"/>
              <w:marTop w:val="0"/>
              <w:marBottom w:val="0"/>
              <w:divBdr>
                <w:top w:val="none" w:sz="0" w:space="0" w:color="auto"/>
                <w:left w:val="none" w:sz="0" w:space="0" w:color="auto"/>
                <w:bottom w:val="none" w:sz="0" w:space="0" w:color="auto"/>
                <w:right w:val="none" w:sz="0" w:space="0" w:color="auto"/>
              </w:divBdr>
              <w:divsChild>
                <w:div w:id="678699832">
                  <w:marLeft w:val="0"/>
                  <w:marRight w:val="0"/>
                  <w:marTop w:val="0"/>
                  <w:marBottom w:val="0"/>
                  <w:divBdr>
                    <w:top w:val="none" w:sz="0" w:space="0" w:color="auto"/>
                    <w:left w:val="none" w:sz="0" w:space="0" w:color="auto"/>
                    <w:bottom w:val="none" w:sz="0" w:space="0" w:color="auto"/>
                    <w:right w:val="none" w:sz="0" w:space="0" w:color="auto"/>
                  </w:divBdr>
                  <w:divsChild>
                    <w:div w:id="786395155">
                      <w:marLeft w:val="0"/>
                      <w:marRight w:val="0"/>
                      <w:marTop w:val="0"/>
                      <w:marBottom w:val="0"/>
                      <w:divBdr>
                        <w:top w:val="none" w:sz="0" w:space="0" w:color="auto"/>
                        <w:left w:val="none" w:sz="0" w:space="0" w:color="auto"/>
                        <w:bottom w:val="none" w:sz="0" w:space="0" w:color="auto"/>
                        <w:right w:val="none" w:sz="0" w:space="0" w:color="auto"/>
                      </w:divBdr>
                      <w:divsChild>
                        <w:div w:id="842550378">
                          <w:marLeft w:val="0"/>
                          <w:marRight w:val="0"/>
                          <w:marTop w:val="0"/>
                          <w:marBottom w:val="0"/>
                          <w:divBdr>
                            <w:top w:val="none" w:sz="0" w:space="0" w:color="auto"/>
                            <w:left w:val="none" w:sz="0" w:space="0" w:color="auto"/>
                            <w:bottom w:val="none" w:sz="0" w:space="0" w:color="auto"/>
                            <w:right w:val="none" w:sz="0" w:space="0" w:color="auto"/>
                          </w:divBdr>
                          <w:divsChild>
                            <w:div w:id="824584736">
                              <w:marLeft w:val="0"/>
                              <w:marRight w:val="0"/>
                              <w:marTop w:val="0"/>
                              <w:marBottom w:val="0"/>
                              <w:divBdr>
                                <w:top w:val="none" w:sz="0" w:space="0" w:color="auto"/>
                                <w:left w:val="none" w:sz="0" w:space="0" w:color="auto"/>
                                <w:bottom w:val="none" w:sz="0" w:space="0" w:color="auto"/>
                                <w:right w:val="none" w:sz="0" w:space="0" w:color="auto"/>
                              </w:divBdr>
                              <w:divsChild>
                                <w:div w:id="406998426">
                                  <w:marLeft w:val="0"/>
                                  <w:marRight w:val="0"/>
                                  <w:marTop w:val="0"/>
                                  <w:marBottom w:val="0"/>
                                  <w:divBdr>
                                    <w:top w:val="none" w:sz="0" w:space="0" w:color="auto"/>
                                    <w:left w:val="none" w:sz="0" w:space="0" w:color="auto"/>
                                    <w:bottom w:val="none" w:sz="0" w:space="0" w:color="auto"/>
                                    <w:right w:val="none" w:sz="0" w:space="0" w:color="auto"/>
                                  </w:divBdr>
                                  <w:divsChild>
                                    <w:div w:id="1292980487">
                                      <w:marLeft w:val="0"/>
                                      <w:marRight w:val="0"/>
                                      <w:marTop w:val="0"/>
                                      <w:marBottom w:val="0"/>
                                      <w:divBdr>
                                        <w:top w:val="none" w:sz="0" w:space="0" w:color="auto"/>
                                        <w:left w:val="none" w:sz="0" w:space="0" w:color="auto"/>
                                        <w:bottom w:val="none" w:sz="0" w:space="0" w:color="auto"/>
                                        <w:right w:val="none" w:sz="0" w:space="0" w:color="auto"/>
                                      </w:divBdr>
                                      <w:divsChild>
                                        <w:div w:id="104277280">
                                          <w:marLeft w:val="0"/>
                                          <w:marRight w:val="0"/>
                                          <w:marTop w:val="0"/>
                                          <w:marBottom w:val="0"/>
                                          <w:divBdr>
                                            <w:top w:val="none" w:sz="0" w:space="0" w:color="auto"/>
                                            <w:left w:val="none" w:sz="0" w:space="0" w:color="auto"/>
                                            <w:bottom w:val="none" w:sz="0" w:space="0" w:color="auto"/>
                                            <w:right w:val="none" w:sz="0" w:space="0" w:color="auto"/>
                                          </w:divBdr>
                                          <w:divsChild>
                                            <w:div w:id="970747345">
                                              <w:marLeft w:val="0"/>
                                              <w:marRight w:val="0"/>
                                              <w:marTop w:val="0"/>
                                              <w:marBottom w:val="0"/>
                                              <w:divBdr>
                                                <w:top w:val="none" w:sz="0" w:space="0" w:color="auto"/>
                                                <w:left w:val="none" w:sz="0" w:space="0" w:color="auto"/>
                                                <w:bottom w:val="none" w:sz="0" w:space="0" w:color="auto"/>
                                                <w:right w:val="none" w:sz="0" w:space="0" w:color="auto"/>
                                              </w:divBdr>
                                              <w:divsChild>
                                                <w:div w:id="2033190193">
                                                  <w:marLeft w:val="0"/>
                                                  <w:marRight w:val="0"/>
                                                  <w:marTop w:val="0"/>
                                                  <w:marBottom w:val="0"/>
                                                  <w:divBdr>
                                                    <w:top w:val="none" w:sz="0" w:space="0" w:color="auto"/>
                                                    <w:left w:val="none" w:sz="0" w:space="0" w:color="auto"/>
                                                    <w:bottom w:val="none" w:sz="0" w:space="0" w:color="auto"/>
                                                    <w:right w:val="none" w:sz="0" w:space="0" w:color="auto"/>
                                                  </w:divBdr>
                                                  <w:divsChild>
                                                    <w:div w:id="1902515808">
                                                      <w:marLeft w:val="0"/>
                                                      <w:marRight w:val="0"/>
                                                      <w:marTop w:val="0"/>
                                                      <w:marBottom w:val="0"/>
                                                      <w:divBdr>
                                                        <w:top w:val="none" w:sz="0" w:space="0" w:color="auto"/>
                                                        <w:left w:val="none" w:sz="0" w:space="0" w:color="auto"/>
                                                        <w:bottom w:val="none" w:sz="0" w:space="0" w:color="auto"/>
                                                        <w:right w:val="none" w:sz="0" w:space="0" w:color="auto"/>
                                                      </w:divBdr>
                                                      <w:divsChild>
                                                        <w:div w:id="1151556751">
                                                          <w:marLeft w:val="0"/>
                                                          <w:marRight w:val="0"/>
                                                          <w:marTop w:val="0"/>
                                                          <w:marBottom w:val="0"/>
                                                          <w:divBdr>
                                                            <w:top w:val="none" w:sz="0" w:space="0" w:color="auto"/>
                                                            <w:left w:val="none" w:sz="0" w:space="0" w:color="auto"/>
                                                            <w:bottom w:val="none" w:sz="0" w:space="0" w:color="auto"/>
                                                            <w:right w:val="none" w:sz="0" w:space="0" w:color="auto"/>
                                                          </w:divBdr>
                                                          <w:divsChild>
                                                            <w:div w:id="102852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60452128">
          <w:marLeft w:val="0"/>
          <w:marRight w:val="0"/>
          <w:marTop w:val="0"/>
          <w:marBottom w:val="0"/>
          <w:divBdr>
            <w:top w:val="none" w:sz="0" w:space="0" w:color="auto"/>
            <w:left w:val="none" w:sz="0" w:space="0" w:color="auto"/>
            <w:bottom w:val="none" w:sz="0" w:space="0" w:color="auto"/>
            <w:right w:val="none" w:sz="0" w:space="0" w:color="auto"/>
          </w:divBdr>
          <w:divsChild>
            <w:div w:id="568349925">
              <w:marLeft w:val="0"/>
              <w:marRight w:val="0"/>
              <w:marTop w:val="480"/>
              <w:marBottom w:val="0"/>
              <w:divBdr>
                <w:top w:val="single" w:sz="12" w:space="0" w:color="CCCCCC"/>
                <w:left w:val="none" w:sz="0" w:space="0" w:color="auto"/>
                <w:bottom w:val="none" w:sz="0" w:space="0" w:color="auto"/>
                <w:right w:val="none" w:sz="0" w:space="0" w:color="auto"/>
              </w:divBdr>
              <w:divsChild>
                <w:div w:id="185383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safeworkaustralia.gov.au/doc/classifying-hazardous-chemicals-national-guide" TargetMode="External"/><Relationship Id="rId18" Type="http://schemas.openxmlformats.org/officeDocument/2006/relationships/hyperlink" Target="https://hcis.safeworkaustralia.gov.au/" TargetMode="External"/><Relationship Id="rId26" Type="http://schemas.openxmlformats.org/officeDocument/2006/relationships/hyperlink" Target="https://echa.europa.eu/authorisation-list" TargetMode="External"/><Relationship Id="rId39" Type="http://schemas.openxmlformats.org/officeDocument/2006/relationships/hyperlink" Target="https://www.acdlabs.com/products/percepta-platform/" TargetMode="External"/><Relationship Id="rId21" Type="http://schemas.openxmlformats.org/officeDocument/2006/relationships/hyperlink" Target="https://ntp.niehs.nih.gov/whatwestudy/assessments/cancer/roc" TargetMode="External"/><Relationship Id="rId34" Type="http://schemas.openxmlformats.org/officeDocument/2006/relationships/hyperlink" Target="https://www.lhasalimited.org/" TargetMode="External"/><Relationship Id="rId42" Type="http://schemas.openxmlformats.org/officeDocument/2006/relationships/hyperlink" Target="http://www.yapcwsoft.com/dd/padelddpredictor/" TargetMode="External"/><Relationship Id="rId47" Type="http://schemas.openxmlformats.org/officeDocument/2006/relationships/hyperlink" Target="https://www.epa.gov/tsca-screening-tools/epi-suitetm-estimation-program-interface" TargetMode="External"/><Relationship Id="rId50" Type="http://schemas.openxmlformats.org/officeDocument/2006/relationships/header" Target="header1.xml"/><Relationship Id="rId55" Type="http://schemas.openxmlformats.org/officeDocument/2006/relationships/footer" Target="foot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echa.europa.eu/candidate-list-table" TargetMode="External"/><Relationship Id="rId29" Type="http://schemas.openxmlformats.org/officeDocument/2006/relationships/hyperlink" Target="https://www.vegahub.eu/" TargetMode="External"/><Relationship Id="rId11" Type="http://schemas.openxmlformats.org/officeDocument/2006/relationships/image" Target="media/image1.png"/><Relationship Id="rId24" Type="http://schemas.openxmlformats.org/officeDocument/2006/relationships/hyperlink" Target="https://www.unep.org/topics/chemicals-and-pollution-action/pollution-and-health/endocrine-disrupting-chemicals" TargetMode="External"/><Relationship Id="rId32" Type="http://schemas.openxmlformats.org/officeDocument/2006/relationships/hyperlink" Target="http://toxtree.sourceforge.net/" TargetMode="External"/><Relationship Id="rId37" Type="http://schemas.openxmlformats.org/officeDocument/2006/relationships/hyperlink" Target="https://multicase.com/case-ultra" TargetMode="External"/><Relationship Id="rId40" Type="http://schemas.openxmlformats.org/officeDocument/2006/relationships/hyperlink" Target="http://www.compudrug.com/hazardexpertpro" TargetMode="External"/><Relationship Id="rId45" Type="http://schemas.openxmlformats.org/officeDocument/2006/relationships/hyperlink" Target="https://www.epa.gov/tsca-screening-tools/ecological-structure-activity-relationships-ecosar-predictive-model" TargetMode="External"/><Relationship Id="rId53" Type="http://schemas.openxmlformats.org/officeDocument/2006/relationships/footer" Target="footer2.xml"/><Relationship Id="rId58" Type="http://schemas.openxmlformats.org/officeDocument/2006/relationships/fontTable" Target="fontTable.xml"/><Relationship Id="rId5" Type="http://schemas.openxmlformats.org/officeDocument/2006/relationships/numbering" Target="numbering.xml"/><Relationship Id="rId19" Type="http://schemas.openxmlformats.org/officeDocument/2006/relationships/hyperlink" Target="https://echa.europa.eu/information-on-chemicals/annex-vi-to-cl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au/F2015L00385/latest/text" TargetMode="External"/><Relationship Id="rId22" Type="http://schemas.openxmlformats.org/officeDocument/2006/relationships/hyperlink" Target="https://monographs.iarc.who.int/" TargetMode="External"/><Relationship Id="rId27" Type="http://schemas.openxmlformats.org/officeDocument/2006/relationships/hyperlink" Target="https://edlists.org/" TargetMode="External"/><Relationship Id="rId30" Type="http://schemas.openxmlformats.org/officeDocument/2006/relationships/hyperlink" Target="http://www.qsar.food.dtu.dk/" TargetMode="External"/><Relationship Id="rId35" Type="http://schemas.openxmlformats.org/officeDocument/2006/relationships/hyperlink" Target="http://oasis-lmc.org/products/software/times.aspx" TargetMode="External"/><Relationship Id="rId43" Type="http://schemas.openxmlformats.org/officeDocument/2006/relationships/hyperlink" Target="https://www.niehs.nih.gov/research/programs/tox21" TargetMode="External"/><Relationship Id="rId48" Type="http://schemas.openxmlformats.org/officeDocument/2006/relationships/hyperlink" Target="http://oasis-lmc.org/products/software/catalogic.aspx" TargetMode="External"/><Relationship Id="rId56" Type="http://schemas.openxmlformats.org/officeDocument/2006/relationships/footer" Target="footer4.xml"/><Relationship Id="rId8" Type="http://schemas.openxmlformats.org/officeDocument/2006/relationships/webSettings" Target="webSettings.xml"/><Relationship Id="rId51" Type="http://schemas.openxmlformats.org/officeDocument/2006/relationships/header" Target="header2.xml"/><Relationship Id="rId3" Type="http://schemas.openxmlformats.org/officeDocument/2006/relationships/customXml" Target="../customXml/item3.xml"/><Relationship Id="rId12" Type="http://schemas.openxmlformats.org/officeDocument/2006/relationships/hyperlink" Target="https://unece.org/ghs-rev7-2017" TargetMode="External"/><Relationship Id="rId17" Type="http://schemas.openxmlformats.org/officeDocument/2006/relationships/hyperlink" Target="http://qsar.food.dtu.dk/" TargetMode="External"/><Relationship Id="rId25" Type="http://schemas.openxmlformats.org/officeDocument/2006/relationships/hyperlink" Target="https://www.chem-info.nite.go.jp/en/chem/chrip/chrip_search/systemTop" TargetMode="External"/><Relationship Id="rId33" Type="http://schemas.openxmlformats.org/officeDocument/2006/relationships/hyperlink" Target="https://www.lhasalimited.org/" TargetMode="External"/><Relationship Id="rId38" Type="http://schemas.openxmlformats.org/officeDocument/2006/relationships/hyperlink" Target="http://www.simulations-plus.com/industries/chemicals/" TargetMode="External"/><Relationship Id="rId46" Type="http://schemas.openxmlformats.org/officeDocument/2006/relationships/hyperlink" Target="https://www.epa.gov/tsca-screening-tools/epi-suitetm-estimation-program-interface" TargetMode="External"/><Relationship Id="rId59" Type="http://schemas.openxmlformats.org/officeDocument/2006/relationships/theme" Target="theme/theme1.xml"/><Relationship Id="rId20" Type="http://schemas.openxmlformats.org/officeDocument/2006/relationships/hyperlink" Target="https://echa.europa.eu/candidate-list-table" TargetMode="External"/><Relationship Id="rId41" Type="http://schemas.openxmlformats.org/officeDocument/2006/relationships/hyperlink" Target="https://www.ul.com/" TargetMode="External"/><Relationship Id="rId54"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unece.org/ghs-rev7-2017" TargetMode="External"/><Relationship Id="rId23" Type="http://schemas.openxmlformats.org/officeDocument/2006/relationships/hyperlink" Target="https://health.ec.europa.eu/endocrine-disruptors/overview_en" TargetMode="External"/><Relationship Id="rId28" Type="http://schemas.openxmlformats.org/officeDocument/2006/relationships/hyperlink" Target="https://qsartoolbox.org/" TargetMode="External"/><Relationship Id="rId36" Type="http://schemas.openxmlformats.org/officeDocument/2006/relationships/hyperlink" Target="https://mn-am.com/products/chemtunestoxgps/" TargetMode="External"/><Relationship Id="rId49" Type="http://schemas.openxmlformats.org/officeDocument/2006/relationships/hyperlink" Target="https://isaferat.kreatis.eu/" TargetMode="External"/><Relationship Id="rId57" Type="http://schemas.openxmlformats.org/officeDocument/2006/relationships/footer" Target="footer5.xml"/><Relationship Id="rId10" Type="http://schemas.openxmlformats.org/officeDocument/2006/relationships/endnotes" Target="endnotes.xml"/><Relationship Id="rId31" Type="http://schemas.openxmlformats.org/officeDocument/2006/relationships/hyperlink" Target="https://www.epa.gov/comptox-tools/toxicity-estimation-software-tool-test" TargetMode="External"/><Relationship Id="rId44" Type="http://schemas.openxmlformats.org/officeDocument/2006/relationships/hyperlink" Target="https://isaferat.kreatis.eu/" TargetMode="External"/><Relationship Id="rId52" Type="http://schemas.openxmlformats.org/officeDocument/2006/relationships/footer" Target="footer1.xml"/></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www.oecd-ilibrary.org/environment/guidance-document-on-standardised-test-guidelines-for-evaluating-chemicals-for-endocrine-disruption-2nd-edition_9789264304741-en" TargetMode="External"/><Relationship Id="rId2" Type="http://schemas.openxmlformats.org/officeDocument/2006/relationships/hyperlink" Target="https://www.efsa.europa.eu/en/efsajournal/pub/5311" TargetMode="External"/><Relationship Id="rId1" Type="http://schemas.openxmlformats.org/officeDocument/2006/relationships/hyperlink" Target="https://one.oecd.org/document/ENV/JM/MONO(2012)26/en/pdf" TargetMode="External"/><Relationship Id="rId6" Type="http://schemas.openxmlformats.org/officeDocument/2006/relationships/hyperlink" Target="https://www.oecd-ilibrary.org/environment/guidance-document-on-standardised-test-guidelines-for-evaluating-chemicals-for-endocrine-disruption-2nd-edition_9789264304741-en" TargetMode="External"/><Relationship Id="rId5" Type="http://schemas.openxmlformats.org/officeDocument/2006/relationships/hyperlink" Target="https://www.efsa.europa.eu/en/efsajournal/pub/5311" TargetMode="External"/><Relationship Id="rId4" Type="http://schemas.openxmlformats.org/officeDocument/2006/relationships/hyperlink" Target="https://one.oecd.org/document/ENV/CBC/MONO(2021)11/en/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oorj\Downloads\Categorisation%20Guidelines%20template.dotx" TargetMode="External"/></Relationships>
</file>

<file path=word/theme/theme1.xml><?xml version="1.0" encoding="utf-8"?>
<a:theme xmlns:a="http://schemas.openxmlformats.org/drawingml/2006/main" name="Office Theme">
  <a:themeElements>
    <a:clrScheme name="AICIS">
      <a:dk1>
        <a:srgbClr val="000000"/>
      </a:dk1>
      <a:lt1>
        <a:srgbClr val="F2F4F8"/>
      </a:lt1>
      <a:dk2>
        <a:srgbClr val="6D6D70"/>
      </a:dk2>
      <a:lt2>
        <a:srgbClr val="FFFFFF"/>
      </a:lt2>
      <a:accent1>
        <a:srgbClr val="003399"/>
      </a:accent1>
      <a:accent2>
        <a:srgbClr val="0563C1"/>
      </a:accent2>
      <a:accent3>
        <a:srgbClr val="188090"/>
      </a:accent3>
      <a:accent4>
        <a:srgbClr val="FF6000"/>
      </a:accent4>
      <a:accent5>
        <a:srgbClr val="0B996C"/>
      </a:accent5>
      <a:accent6>
        <a:srgbClr val="D9E5FD"/>
      </a:accent6>
      <a:hlink>
        <a:srgbClr val="0563C1"/>
      </a:hlink>
      <a:folHlink>
        <a:srgbClr val="FF6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5f19e5a-3f6a-44b0-9966-0a3477558b0f">
      <UserInfo>
        <DisplayName>DE BURGH, Susan</DisplayName>
        <AccountId>309</AccountId>
        <AccountType/>
      </UserInfo>
    </SharedWithUsers>
    <Templateowner xmlns="64bf0a3a-dac1-456d-9245-fc1683bd974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123CFA6B6BE54885A5D4656FB0289A" ma:contentTypeVersion="7" ma:contentTypeDescription="Create a new document." ma:contentTypeScope="" ma:versionID="80cda26f5dc7f0dc681b6a0302ac696d">
  <xsd:schema xmlns:xsd="http://www.w3.org/2001/XMLSchema" xmlns:xs="http://www.w3.org/2001/XMLSchema" xmlns:p="http://schemas.microsoft.com/office/2006/metadata/properties" xmlns:ns2="64bf0a3a-dac1-456d-9245-fc1683bd9742" xmlns:ns3="45f19e5a-3f6a-44b0-9966-0a3477558b0f" targetNamespace="http://schemas.microsoft.com/office/2006/metadata/properties" ma:root="true" ma:fieldsID="0632787fec227fc8d2ce59df0d133aff" ns2:_="" ns3:_="">
    <xsd:import namespace="64bf0a3a-dac1-456d-9245-fc1683bd9742"/>
    <xsd:import namespace="45f19e5a-3f6a-44b0-9966-0a3477558b0f"/>
    <xsd:element name="properties">
      <xsd:complexType>
        <xsd:sequence>
          <xsd:element name="documentManagement">
            <xsd:complexType>
              <xsd:all>
                <xsd:element ref="ns2:MediaServiceMetadata" minOccurs="0"/>
                <xsd:element ref="ns2:MediaServiceFastMetadata" minOccurs="0"/>
                <xsd:element ref="ns2:Templateowne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bf0a3a-dac1-456d-9245-fc1683bd97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Templateowner" ma:index="10" nillable="true" ma:displayName="Template owner" ma:format="Dropdown" ma:internalName="Templateowner">
      <xsd:simpleType>
        <xsd:restriction base="dms:Note">
          <xsd:maxLength value="255"/>
        </xsd:restrictio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f19e5a-3f6a-44b0-9966-0a3477558b0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C1F864-99B7-493E-B167-61869E165C39}">
  <ds:schemaRefs>
    <ds:schemaRef ds:uri="http://schemas.microsoft.com/office/2006/metadata/properties"/>
    <ds:schemaRef ds:uri="http://schemas.microsoft.com/office/infopath/2007/PartnerControls"/>
    <ds:schemaRef ds:uri="45f19e5a-3f6a-44b0-9966-0a3477558b0f"/>
    <ds:schemaRef ds:uri="64bf0a3a-dac1-456d-9245-fc1683bd9742"/>
  </ds:schemaRefs>
</ds:datastoreItem>
</file>

<file path=customXml/itemProps2.xml><?xml version="1.0" encoding="utf-8"?>
<ds:datastoreItem xmlns:ds="http://schemas.openxmlformats.org/officeDocument/2006/customXml" ds:itemID="{BC7A426F-A6B6-4EDB-9325-C307146013FF}">
  <ds:schemaRefs>
    <ds:schemaRef ds:uri="http://schemas.microsoft.com/sharepoint/v3/contenttype/forms"/>
  </ds:schemaRefs>
</ds:datastoreItem>
</file>

<file path=customXml/itemProps3.xml><?xml version="1.0" encoding="utf-8"?>
<ds:datastoreItem xmlns:ds="http://schemas.openxmlformats.org/officeDocument/2006/customXml" ds:itemID="{156A90D5-4152-419A-8752-3BB379B5F7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bf0a3a-dac1-456d-9245-fc1683bd9742"/>
    <ds:schemaRef ds:uri="45f19e5a-3f6a-44b0-9966-0a3477558b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E7C2307-EE70-448C-ACB3-C7B62C9F5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Categorisation Guidelines template.dotx</Template>
  <TotalTime>7</TotalTime>
  <Pages>75</Pages>
  <Words>27831</Words>
  <Characters>143054</Characters>
  <Application>Microsoft Office Word</Application>
  <DocSecurity>0</DocSecurity>
  <Lines>3489</Lines>
  <Paragraphs>2441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168444</CharactersWithSpaces>
  <SharedDoc>false</SharedDoc>
  <HLinks>
    <vt:vector size="1080" baseType="variant">
      <vt:variant>
        <vt:i4>4259907</vt:i4>
      </vt:variant>
      <vt:variant>
        <vt:i4>912</vt:i4>
      </vt:variant>
      <vt:variant>
        <vt:i4>0</vt:i4>
      </vt:variant>
      <vt:variant>
        <vt:i4>5</vt:i4>
      </vt:variant>
      <vt:variant>
        <vt:lpwstr>https://isaferat.kreatis.eu/</vt:lpwstr>
      </vt:variant>
      <vt:variant>
        <vt:lpwstr/>
      </vt:variant>
      <vt:variant>
        <vt:i4>196688</vt:i4>
      </vt:variant>
      <vt:variant>
        <vt:i4>909</vt:i4>
      </vt:variant>
      <vt:variant>
        <vt:i4>0</vt:i4>
      </vt:variant>
      <vt:variant>
        <vt:i4>5</vt:i4>
      </vt:variant>
      <vt:variant>
        <vt:lpwstr>http://oasis-lmc.org/products/software/catalogic.aspx</vt:lpwstr>
      </vt:variant>
      <vt:variant>
        <vt:lpwstr/>
      </vt:variant>
      <vt:variant>
        <vt:i4>4522015</vt:i4>
      </vt:variant>
      <vt:variant>
        <vt:i4>906</vt:i4>
      </vt:variant>
      <vt:variant>
        <vt:i4>0</vt:i4>
      </vt:variant>
      <vt:variant>
        <vt:i4>5</vt:i4>
      </vt:variant>
      <vt:variant>
        <vt:lpwstr>https://www.epa.gov/tsca-screening-tools/epi-suitetm-estimation-program-interface</vt:lpwstr>
      </vt:variant>
      <vt:variant>
        <vt:lpwstr/>
      </vt:variant>
      <vt:variant>
        <vt:i4>4522015</vt:i4>
      </vt:variant>
      <vt:variant>
        <vt:i4>903</vt:i4>
      </vt:variant>
      <vt:variant>
        <vt:i4>0</vt:i4>
      </vt:variant>
      <vt:variant>
        <vt:i4>5</vt:i4>
      </vt:variant>
      <vt:variant>
        <vt:lpwstr>https://www.epa.gov/tsca-screening-tools/epi-suitetm-estimation-program-interface</vt:lpwstr>
      </vt:variant>
      <vt:variant>
        <vt:lpwstr/>
      </vt:variant>
      <vt:variant>
        <vt:i4>74</vt:i4>
      </vt:variant>
      <vt:variant>
        <vt:i4>900</vt:i4>
      </vt:variant>
      <vt:variant>
        <vt:i4>0</vt:i4>
      </vt:variant>
      <vt:variant>
        <vt:i4>5</vt:i4>
      </vt:variant>
      <vt:variant>
        <vt:lpwstr>https://www.epa.gov/tsca-screening-tools/ecological-structure-activity-relationships-ecosar-predictive-model</vt:lpwstr>
      </vt:variant>
      <vt:variant>
        <vt:lpwstr/>
      </vt:variant>
      <vt:variant>
        <vt:i4>4259907</vt:i4>
      </vt:variant>
      <vt:variant>
        <vt:i4>897</vt:i4>
      </vt:variant>
      <vt:variant>
        <vt:i4>0</vt:i4>
      </vt:variant>
      <vt:variant>
        <vt:i4>5</vt:i4>
      </vt:variant>
      <vt:variant>
        <vt:lpwstr>https://isaferat.kreatis.eu/</vt:lpwstr>
      </vt:variant>
      <vt:variant>
        <vt:lpwstr/>
      </vt:variant>
      <vt:variant>
        <vt:i4>2687075</vt:i4>
      </vt:variant>
      <vt:variant>
        <vt:i4>894</vt:i4>
      </vt:variant>
      <vt:variant>
        <vt:i4>0</vt:i4>
      </vt:variant>
      <vt:variant>
        <vt:i4>5</vt:i4>
      </vt:variant>
      <vt:variant>
        <vt:lpwstr>https://ntp.niehs.nih.gov/whatwestudy/tox21/toolbox/index.html</vt:lpwstr>
      </vt:variant>
      <vt:variant>
        <vt:lpwstr/>
      </vt:variant>
      <vt:variant>
        <vt:i4>1114187</vt:i4>
      </vt:variant>
      <vt:variant>
        <vt:i4>891</vt:i4>
      </vt:variant>
      <vt:variant>
        <vt:i4>0</vt:i4>
      </vt:variant>
      <vt:variant>
        <vt:i4>5</vt:i4>
      </vt:variant>
      <vt:variant>
        <vt:lpwstr>http://www.yapcwsoft.com/dd/padelddpredictor/</vt:lpwstr>
      </vt:variant>
      <vt:variant>
        <vt:lpwstr/>
      </vt:variant>
      <vt:variant>
        <vt:i4>7667765</vt:i4>
      </vt:variant>
      <vt:variant>
        <vt:i4>888</vt:i4>
      </vt:variant>
      <vt:variant>
        <vt:i4>0</vt:i4>
      </vt:variant>
      <vt:variant>
        <vt:i4>5</vt:i4>
      </vt:variant>
      <vt:variant>
        <vt:lpwstr>https://www.vegahub.eu/portfolio-item/toxread/</vt:lpwstr>
      </vt:variant>
      <vt:variant>
        <vt:lpwstr/>
      </vt:variant>
      <vt:variant>
        <vt:i4>2555963</vt:i4>
      </vt:variant>
      <vt:variant>
        <vt:i4>885</vt:i4>
      </vt:variant>
      <vt:variant>
        <vt:i4>0</vt:i4>
      </vt:variant>
      <vt:variant>
        <vt:i4>5</vt:i4>
      </vt:variant>
      <vt:variant>
        <vt:lpwstr>https://www.ul.com/apps/ul-cheminformatics-tool-kit</vt:lpwstr>
      </vt:variant>
      <vt:variant>
        <vt:lpwstr/>
      </vt:variant>
      <vt:variant>
        <vt:i4>5439567</vt:i4>
      </vt:variant>
      <vt:variant>
        <vt:i4>882</vt:i4>
      </vt:variant>
      <vt:variant>
        <vt:i4>0</vt:i4>
      </vt:variant>
      <vt:variant>
        <vt:i4>5</vt:i4>
      </vt:variant>
      <vt:variant>
        <vt:lpwstr>http://www.compudrug.com/hazardexpertpro</vt:lpwstr>
      </vt:variant>
      <vt:variant>
        <vt:lpwstr/>
      </vt:variant>
      <vt:variant>
        <vt:i4>1310790</vt:i4>
      </vt:variant>
      <vt:variant>
        <vt:i4>879</vt:i4>
      </vt:variant>
      <vt:variant>
        <vt:i4>0</vt:i4>
      </vt:variant>
      <vt:variant>
        <vt:i4>5</vt:i4>
      </vt:variant>
      <vt:variant>
        <vt:lpwstr>http://www.acdlabs.com/products/percepta/</vt:lpwstr>
      </vt:variant>
      <vt:variant>
        <vt:lpwstr/>
      </vt:variant>
      <vt:variant>
        <vt:i4>131142</vt:i4>
      </vt:variant>
      <vt:variant>
        <vt:i4>876</vt:i4>
      </vt:variant>
      <vt:variant>
        <vt:i4>0</vt:i4>
      </vt:variant>
      <vt:variant>
        <vt:i4>5</vt:i4>
      </vt:variant>
      <vt:variant>
        <vt:lpwstr>https://www.3ds.com/products-services/biovia/products/molecular-modeling-simulation/biovia-discovery-studio/</vt:lpwstr>
      </vt:variant>
      <vt:variant>
        <vt:lpwstr/>
      </vt:variant>
      <vt:variant>
        <vt:i4>5374042</vt:i4>
      </vt:variant>
      <vt:variant>
        <vt:i4>873</vt:i4>
      </vt:variant>
      <vt:variant>
        <vt:i4>0</vt:i4>
      </vt:variant>
      <vt:variant>
        <vt:i4>5</vt:i4>
      </vt:variant>
      <vt:variant>
        <vt:lpwstr>http://www.simulations-plus.com/industries/chemicals/</vt:lpwstr>
      </vt:variant>
      <vt:variant>
        <vt:lpwstr/>
      </vt:variant>
      <vt:variant>
        <vt:i4>4063278</vt:i4>
      </vt:variant>
      <vt:variant>
        <vt:i4>870</vt:i4>
      </vt:variant>
      <vt:variant>
        <vt:i4>0</vt:i4>
      </vt:variant>
      <vt:variant>
        <vt:i4>5</vt:i4>
      </vt:variant>
      <vt:variant>
        <vt:lpwstr>http://www.multicase.com/case-ultra-models</vt:lpwstr>
      </vt:variant>
      <vt:variant>
        <vt:lpwstr/>
      </vt:variant>
      <vt:variant>
        <vt:i4>4194375</vt:i4>
      </vt:variant>
      <vt:variant>
        <vt:i4>867</vt:i4>
      </vt:variant>
      <vt:variant>
        <vt:i4>0</vt:i4>
      </vt:variant>
      <vt:variant>
        <vt:i4>5</vt:i4>
      </vt:variant>
      <vt:variant>
        <vt:lpwstr>https://www.mn-am.com/products/chemtunes</vt:lpwstr>
      </vt:variant>
      <vt:variant>
        <vt:lpwstr/>
      </vt:variant>
      <vt:variant>
        <vt:i4>1441882</vt:i4>
      </vt:variant>
      <vt:variant>
        <vt:i4>864</vt:i4>
      </vt:variant>
      <vt:variant>
        <vt:i4>0</vt:i4>
      </vt:variant>
      <vt:variant>
        <vt:i4>5</vt:i4>
      </vt:variant>
      <vt:variant>
        <vt:lpwstr>http://oasis-lmc.org/products/software/times.aspx</vt:lpwstr>
      </vt:variant>
      <vt:variant>
        <vt:lpwstr/>
      </vt:variant>
      <vt:variant>
        <vt:i4>1835096</vt:i4>
      </vt:variant>
      <vt:variant>
        <vt:i4>861</vt:i4>
      </vt:variant>
      <vt:variant>
        <vt:i4>0</vt:i4>
      </vt:variant>
      <vt:variant>
        <vt:i4>5</vt:i4>
      </vt:variant>
      <vt:variant>
        <vt:lpwstr>https://www.lhasalimited.org/products/sarah-nexus.htm</vt:lpwstr>
      </vt:variant>
      <vt:variant>
        <vt:lpwstr/>
      </vt:variant>
      <vt:variant>
        <vt:i4>1835084</vt:i4>
      </vt:variant>
      <vt:variant>
        <vt:i4>858</vt:i4>
      </vt:variant>
      <vt:variant>
        <vt:i4>0</vt:i4>
      </vt:variant>
      <vt:variant>
        <vt:i4>5</vt:i4>
      </vt:variant>
      <vt:variant>
        <vt:lpwstr>https://www.lhasalimited.org/products/derek-nexus.htm</vt:lpwstr>
      </vt:variant>
      <vt:variant>
        <vt:lpwstr/>
      </vt:variant>
      <vt:variant>
        <vt:i4>4063330</vt:i4>
      </vt:variant>
      <vt:variant>
        <vt:i4>855</vt:i4>
      </vt:variant>
      <vt:variant>
        <vt:i4>0</vt:i4>
      </vt:variant>
      <vt:variant>
        <vt:i4>5</vt:i4>
      </vt:variant>
      <vt:variant>
        <vt:lpwstr>http://toxtree.sourceforge.net/</vt:lpwstr>
      </vt:variant>
      <vt:variant>
        <vt:lpwstr/>
      </vt:variant>
      <vt:variant>
        <vt:i4>1310751</vt:i4>
      </vt:variant>
      <vt:variant>
        <vt:i4>852</vt:i4>
      </vt:variant>
      <vt:variant>
        <vt:i4>0</vt:i4>
      </vt:variant>
      <vt:variant>
        <vt:i4>5</vt:i4>
      </vt:variant>
      <vt:variant>
        <vt:lpwstr>https://www.epa.gov/chemical-research/toxicity-estimation-software-tool-test</vt:lpwstr>
      </vt:variant>
      <vt:variant>
        <vt:lpwstr/>
      </vt:variant>
      <vt:variant>
        <vt:i4>4456519</vt:i4>
      </vt:variant>
      <vt:variant>
        <vt:i4>849</vt:i4>
      </vt:variant>
      <vt:variant>
        <vt:i4>0</vt:i4>
      </vt:variant>
      <vt:variant>
        <vt:i4>5</vt:i4>
      </vt:variant>
      <vt:variant>
        <vt:lpwstr>http://www.qsar.food.dtu.dk/</vt:lpwstr>
      </vt:variant>
      <vt:variant>
        <vt:lpwstr/>
      </vt:variant>
      <vt:variant>
        <vt:i4>6422590</vt:i4>
      </vt:variant>
      <vt:variant>
        <vt:i4>846</vt:i4>
      </vt:variant>
      <vt:variant>
        <vt:i4>0</vt:i4>
      </vt:variant>
      <vt:variant>
        <vt:i4>5</vt:i4>
      </vt:variant>
      <vt:variant>
        <vt:lpwstr>https://www.vegahub.eu/</vt:lpwstr>
      </vt:variant>
      <vt:variant>
        <vt:lpwstr/>
      </vt:variant>
      <vt:variant>
        <vt:i4>983129</vt:i4>
      </vt:variant>
      <vt:variant>
        <vt:i4>843</vt:i4>
      </vt:variant>
      <vt:variant>
        <vt:i4>0</vt:i4>
      </vt:variant>
      <vt:variant>
        <vt:i4>5</vt:i4>
      </vt:variant>
      <vt:variant>
        <vt:lpwstr>https://qsartoolbox.org/</vt:lpwstr>
      </vt:variant>
      <vt:variant>
        <vt:lpwstr/>
      </vt:variant>
      <vt:variant>
        <vt:i4>1769537</vt:i4>
      </vt:variant>
      <vt:variant>
        <vt:i4>840</vt:i4>
      </vt:variant>
      <vt:variant>
        <vt:i4>0</vt:i4>
      </vt:variant>
      <vt:variant>
        <vt:i4>5</vt:i4>
      </vt:variant>
      <vt:variant>
        <vt:lpwstr>https://edlists.org/</vt:lpwstr>
      </vt:variant>
      <vt:variant>
        <vt:lpwstr/>
      </vt:variant>
      <vt:variant>
        <vt:i4>4522001</vt:i4>
      </vt:variant>
      <vt:variant>
        <vt:i4>837</vt:i4>
      </vt:variant>
      <vt:variant>
        <vt:i4>0</vt:i4>
      </vt:variant>
      <vt:variant>
        <vt:i4>5</vt:i4>
      </vt:variant>
      <vt:variant>
        <vt:lpwstr>https://echa.europa.eu/authorisation-list</vt:lpwstr>
      </vt:variant>
      <vt:variant>
        <vt:lpwstr/>
      </vt:variant>
      <vt:variant>
        <vt:i4>1572962</vt:i4>
      </vt:variant>
      <vt:variant>
        <vt:i4>834</vt:i4>
      </vt:variant>
      <vt:variant>
        <vt:i4>0</vt:i4>
      </vt:variant>
      <vt:variant>
        <vt:i4>5</vt:i4>
      </vt:variant>
      <vt:variant>
        <vt:lpwstr>https://www.nite.go.jp/en/chem/chrip/chrip_search/sltLst</vt:lpwstr>
      </vt:variant>
      <vt:variant>
        <vt:lpwstr/>
      </vt:variant>
      <vt:variant>
        <vt:i4>3276851</vt:i4>
      </vt:variant>
      <vt:variant>
        <vt:i4>831</vt:i4>
      </vt:variant>
      <vt:variant>
        <vt:i4>0</vt:i4>
      </vt:variant>
      <vt:variant>
        <vt:i4>5</vt:i4>
      </vt:variant>
      <vt:variant>
        <vt:lpwstr>https://www.unep.org/topics/chemicals-and-pollution-action/pollution-and-health/endocrine-disrupting-chemicals</vt:lpwstr>
      </vt:variant>
      <vt:variant>
        <vt:lpwstr/>
      </vt:variant>
      <vt:variant>
        <vt:i4>6619158</vt:i4>
      </vt:variant>
      <vt:variant>
        <vt:i4>828</vt:i4>
      </vt:variant>
      <vt:variant>
        <vt:i4>0</vt:i4>
      </vt:variant>
      <vt:variant>
        <vt:i4>5</vt:i4>
      </vt:variant>
      <vt:variant>
        <vt:lpwstr>https://health.ec.europa.eu/endocrine-disruptors/overview_en</vt:lpwstr>
      </vt:variant>
      <vt:variant>
        <vt:lpwstr/>
      </vt:variant>
      <vt:variant>
        <vt:i4>5373956</vt:i4>
      </vt:variant>
      <vt:variant>
        <vt:i4>825</vt:i4>
      </vt:variant>
      <vt:variant>
        <vt:i4>0</vt:i4>
      </vt:variant>
      <vt:variant>
        <vt:i4>5</vt:i4>
      </vt:variant>
      <vt:variant>
        <vt:lpwstr>https://monographs.iarc.who.int/</vt:lpwstr>
      </vt:variant>
      <vt:variant>
        <vt:lpwstr/>
      </vt:variant>
      <vt:variant>
        <vt:i4>2031638</vt:i4>
      </vt:variant>
      <vt:variant>
        <vt:i4>822</vt:i4>
      </vt:variant>
      <vt:variant>
        <vt:i4>0</vt:i4>
      </vt:variant>
      <vt:variant>
        <vt:i4>5</vt:i4>
      </vt:variant>
      <vt:variant>
        <vt:lpwstr>https://ntp.niehs.nih.gov/whatwestudy/assessments/cancer/roc</vt:lpwstr>
      </vt:variant>
      <vt:variant>
        <vt:lpwstr/>
      </vt:variant>
      <vt:variant>
        <vt:i4>7340129</vt:i4>
      </vt:variant>
      <vt:variant>
        <vt:i4>819</vt:i4>
      </vt:variant>
      <vt:variant>
        <vt:i4>0</vt:i4>
      </vt:variant>
      <vt:variant>
        <vt:i4>5</vt:i4>
      </vt:variant>
      <vt:variant>
        <vt:lpwstr>https://echa.europa.eu/candidate-list-table</vt:lpwstr>
      </vt:variant>
      <vt:variant>
        <vt:lpwstr/>
      </vt:variant>
      <vt:variant>
        <vt:i4>2687035</vt:i4>
      </vt:variant>
      <vt:variant>
        <vt:i4>816</vt:i4>
      </vt:variant>
      <vt:variant>
        <vt:i4>0</vt:i4>
      </vt:variant>
      <vt:variant>
        <vt:i4>5</vt:i4>
      </vt:variant>
      <vt:variant>
        <vt:lpwstr>https://echa.europa.eu/information-on-chemicals/annex-vi-to-clp</vt:lpwstr>
      </vt:variant>
      <vt:variant>
        <vt:lpwstr/>
      </vt:variant>
      <vt:variant>
        <vt:i4>2293884</vt:i4>
      </vt:variant>
      <vt:variant>
        <vt:i4>813</vt:i4>
      </vt:variant>
      <vt:variant>
        <vt:i4>0</vt:i4>
      </vt:variant>
      <vt:variant>
        <vt:i4>5</vt:i4>
      </vt:variant>
      <vt:variant>
        <vt:lpwstr>https://hcis.safeworkaustralia.gov.au/</vt:lpwstr>
      </vt:variant>
      <vt:variant>
        <vt:lpwstr/>
      </vt:variant>
      <vt:variant>
        <vt:i4>4456478</vt:i4>
      </vt:variant>
      <vt:variant>
        <vt:i4>810</vt:i4>
      </vt:variant>
      <vt:variant>
        <vt:i4>0</vt:i4>
      </vt:variant>
      <vt:variant>
        <vt:i4>5</vt:i4>
      </vt:variant>
      <vt:variant>
        <vt:lpwstr>http://qsar.food.dtu.dk/</vt:lpwstr>
      </vt:variant>
      <vt:variant>
        <vt:lpwstr/>
      </vt:variant>
      <vt:variant>
        <vt:i4>7340129</vt:i4>
      </vt:variant>
      <vt:variant>
        <vt:i4>807</vt:i4>
      </vt:variant>
      <vt:variant>
        <vt:i4>0</vt:i4>
      </vt:variant>
      <vt:variant>
        <vt:i4>5</vt:i4>
      </vt:variant>
      <vt:variant>
        <vt:lpwstr>https://echa.europa.eu/candidate-list-table</vt:lpwstr>
      </vt:variant>
      <vt:variant>
        <vt:lpwstr/>
      </vt:variant>
      <vt:variant>
        <vt:i4>8060976</vt:i4>
      </vt:variant>
      <vt:variant>
        <vt:i4>804</vt:i4>
      </vt:variant>
      <vt:variant>
        <vt:i4>0</vt:i4>
      </vt:variant>
      <vt:variant>
        <vt:i4>5</vt:i4>
      </vt:variant>
      <vt:variant>
        <vt:lpwstr>https://unece.org/ghs-rev7-2017</vt:lpwstr>
      </vt:variant>
      <vt:variant>
        <vt:lpwstr/>
      </vt:variant>
      <vt:variant>
        <vt:i4>6619240</vt:i4>
      </vt:variant>
      <vt:variant>
        <vt:i4>801</vt:i4>
      </vt:variant>
      <vt:variant>
        <vt:i4>0</vt:i4>
      </vt:variant>
      <vt:variant>
        <vt:i4>5</vt:i4>
      </vt:variant>
      <vt:variant>
        <vt:lpwstr>https://www.legislation.gov.au/F2015L00385/2017-09-07/text</vt:lpwstr>
      </vt:variant>
      <vt:variant>
        <vt:lpwstr/>
      </vt:variant>
      <vt:variant>
        <vt:i4>2949162</vt:i4>
      </vt:variant>
      <vt:variant>
        <vt:i4>798</vt:i4>
      </vt:variant>
      <vt:variant>
        <vt:i4>0</vt:i4>
      </vt:variant>
      <vt:variant>
        <vt:i4>5</vt:i4>
      </vt:variant>
      <vt:variant>
        <vt:lpwstr>https://www.safeworkaustralia.gov.au/system/files/documents/1702/classification_hazardous_chemicals.pdf</vt:lpwstr>
      </vt:variant>
      <vt:variant>
        <vt:lpwstr/>
      </vt:variant>
      <vt:variant>
        <vt:i4>8060976</vt:i4>
      </vt:variant>
      <vt:variant>
        <vt:i4>795</vt:i4>
      </vt:variant>
      <vt:variant>
        <vt:i4>0</vt:i4>
      </vt:variant>
      <vt:variant>
        <vt:i4>5</vt:i4>
      </vt:variant>
      <vt:variant>
        <vt:lpwstr>https://unece.org/ghs-rev7-2017</vt:lpwstr>
      </vt:variant>
      <vt:variant>
        <vt:lpwstr/>
      </vt:variant>
      <vt:variant>
        <vt:i4>1638455</vt:i4>
      </vt:variant>
      <vt:variant>
        <vt:i4>788</vt:i4>
      </vt:variant>
      <vt:variant>
        <vt:i4>0</vt:i4>
      </vt:variant>
      <vt:variant>
        <vt:i4>5</vt:i4>
      </vt:variant>
      <vt:variant>
        <vt:lpwstr/>
      </vt:variant>
      <vt:variant>
        <vt:lpwstr>_Toc177139217</vt:lpwstr>
      </vt:variant>
      <vt:variant>
        <vt:i4>1638455</vt:i4>
      </vt:variant>
      <vt:variant>
        <vt:i4>782</vt:i4>
      </vt:variant>
      <vt:variant>
        <vt:i4>0</vt:i4>
      </vt:variant>
      <vt:variant>
        <vt:i4>5</vt:i4>
      </vt:variant>
      <vt:variant>
        <vt:lpwstr/>
      </vt:variant>
      <vt:variant>
        <vt:lpwstr>_Toc177139216</vt:lpwstr>
      </vt:variant>
      <vt:variant>
        <vt:i4>1638455</vt:i4>
      </vt:variant>
      <vt:variant>
        <vt:i4>776</vt:i4>
      </vt:variant>
      <vt:variant>
        <vt:i4>0</vt:i4>
      </vt:variant>
      <vt:variant>
        <vt:i4>5</vt:i4>
      </vt:variant>
      <vt:variant>
        <vt:lpwstr/>
      </vt:variant>
      <vt:variant>
        <vt:lpwstr>_Toc177139215</vt:lpwstr>
      </vt:variant>
      <vt:variant>
        <vt:i4>1638455</vt:i4>
      </vt:variant>
      <vt:variant>
        <vt:i4>770</vt:i4>
      </vt:variant>
      <vt:variant>
        <vt:i4>0</vt:i4>
      </vt:variant>
      <vt:variant>
        <vt:i4>5</vt:i4>
      </vt:variant>
      <vt:variant>
        <vt:lpwstr/>
      </vt:variant>
      <vt:variant>
        <vt:lpwstr>_Toc177139214</vt:lpwstr>
      </vt:variant>
      <vt:variant>
        <vt:i4>1638455</vt:i4>
      </vt:variant>
      <vt:variant>
        <vt:i4>764</vt:i4>
      </vt:variant>
      <vt:variant>
        <vt:i4>0</vt:i4>
      </vt:variant>
      <vt:variant>
        <vt:i4>5</vt:i4>
      </vt:variant>
      <vt:variant>
        <vt:lpwstr/>
      </vt:variant>
      <vt:variant>
        <vt:lpwstr>_Toc177139213</vt:lpwstr>
      </vt:variant>
      <vt:variant>
        <vt:i4>1638455</vt:i4>
      </vt:variant>
      <vt:variant>
        <vt:i4>758</vt:i4>
      </vt:variant>
      <vt:variant>
        <vt:i4>0</vt:i4>
      </vt:variant>
      <vt:variant>
        <vt:i4>5</vt:i4>
      </vt:variant>
      <vt:variant>
        <vt:lpwstr/>
      </vt:variant>
      <vt:variant>
        <vt:lpwstr>_Toc177139212</vt:lpwstr>
      </vt:variant>
      <vt:variant>
        <vt:i4>1638455</vt:i4>
      </vt:variant>
      <vt:variant>
        <vt:i4>752</vt:i4>
      </vt:variant>
      <vt:variant>
        <vt:i4>0</vt:i4>
      </vt:variant>
      <vt:variant>
        <vt:i4>5</vt:i4>
      </vt:variant>
      <vt:variant>
        <vt:lpwstr/>
      </vt:variant>
      <vt:variant>
        <vt:lpwstr>_Toc177139211</vt:lpwstr>
      </vt:variant>
      <vt:variant>
        <vt:i4>1638455</vt:i4>
      </vt:variant>
      <vt:variant>
        <vt:i4>746</vt:i4>
      </vt:variant>
      <vt:variant>
        <vt:i4>0</vt:i4>
      </vt:variant>
      <vt:variant>
        <vt:i4>5</vt:i4>
      </vt:variant>
      <vt:variant>
        <vt:lpwstr/>
      </vt:variant>
      <vt:variant>
        <vt:lpwstr>_Toc177139210</vt:lpwstr>
      </vt:variant>
      <vt:variant>
        <vt:i4>1572919</vt:i4>
      </vt:variant>
      <vt:variant>
        <vt:i4>740</vt:i4>
      </vt:variant>
      <vt:variant>
        <vt:i4>0</vt:i4>
      </vt:variant>
      <vt:variant>
        <vt:i4>5</vt:i4>
      </vt:variant>
      <vt:variant>
        <vt:lpwstr/>
      </vt:variant>
      <vt:variant>
        <vt:lpwstr>_Toc177139209</vt:lpwstr>
      </vt:variant>
      <vt:variant>
        <vt:i4>1572919</vt:i4>
      </vt:variant>
      <vt:variant>
        <vt:i4>734</vt:i4>
      </vt:variant>
      <vt:variant>
        <vt:i4>0</vt:i4>
      </vt:variant>
      <vt:variant>
        <vt:i4>5</vt:i4>
      </vt:variant>
      <vt:variant>
        <vt:lpwstr/>
      </vt:variant>
      <vt:variant>
        <vt:lpwstr>_Toc177139208</vt:lpwstr>
      </vt:variant>
      <vt:variant>
        <vt:i4>1572919</vt:i4>
      </vt:variant>
      <vt:variant>
        <vt:i4>728</vt:i4>
      </vt:variant>
      <vt:variant>
        <vt:i4>0</vt:i4>
      </vt:variant>
      <vt:variant>
        <vt:i4>5</vt:i4>
      </vt:variant>
      <vt:variant>
        <vt:lpwstr/>
      </vt:variant>
      <vt:variant>
        <vt:lpwstr>_Toc177139207</vt:lpwstr>
      </vt:variant>
      <vt:variant>
        <vt:i4>1572919</vt:i4>
      </vt:variant>
      <vt:variant>
        <vt:i4>722</vt:i4>
      </vt:variant>
      <vt:variant>
        <vt:i4>0</vt:i4>
      </vt:variant>
      <vt:variant>
        <vt:i4>5</vt:i4>
      </vt:variant>
      <vt:variant>
        <vt:lpwstr/>
      </vt:variant>
      <vt:variant>
        <vt:lpwstr>_Toc177139206</vt:lpwstr>
      </vt:variant>
      <vt:variant>
        <vt:i4>1572919</vt:i4>
      </vt:variant>
      <vt:variant>
        <vt:i4>716</vt:i4>
      </vt:variant>
      <vt:variant>
        <vt:i4>0</vt:i4>
      </vt:variant>
      <vt:variant>
        <vt:i4>5</vt:i4>
      </vt:variant>
      <vt:variant>
        <vt:lpwstr/>
      </vt:variant>
      <vt:variant>
        <vt:lpwstr>_Toc177139205</vt:lpwstr>
      </vt:variant>
      <vt:variant>
        <vt:i4>1572919</vt:i4>
      </vt:variant>
      <vt:variant>
        <vt:i4>710</vt:i4>
      </vt:variant>
      <vt:variant>
        <vt:i4>0</vt:i4>
      </vt:variant>
      <vt:variant>
        <vt:i4>5</vt:i4>
      </vt:variant>
      <vt:variant>
        <vt:lpwstr/>
      </vt:variant>
      <vt:variant>
        <vt:lpwstr>_Toc177139204</vt:lpwstr>
      </vt:variant>
      <vt:variant>
        <vt:i4>1572919</vt:i4>
      </vt:variant>
      <vt:variant>
        <vt:i4>704</vt:i4>
      </vt:variant>
      <vt:variant>
        <vt:i4>0</vt:i4>
      </vt:variant>
      <vt:variant>
        <vt:i4>5</vt:i4>
      </vt:variant>
      <vt:variant>
        <vt:lpwstr/>
      </vt:variant>
      <vt:variant>
        <vt:lpwstr>_Toc177139203</vt:lpwstr>
      </vt:variant>
      <vt:variant>
        <vt:i4>1572919</vt:i4>
      </vt:variant>
      <vt:variant>
        <vt:i4>698</vt:i4>
      </vt:variant>
      <vt:variant>
        <vt:i4>0</vt:i4>
      </vt:variant>
      <vt:variant>
        <vt:i4>5</vt:i4>
      </vt:variant>
      <vt:variant>
        <vt:lpwstr/>
      </vt:variant>
      <vt:variant>
        <vt:lpwstr>_Toc177139202</vt:lpwstr>
      </vt:variant>
      <vt:variant>
        <vt:i4>1572919</vt:i4>
      </vt:variant>
      <vt:variant>
        <vt:i4>692</vt:i4>
      </vt:variant>
      <vt:variant>
        <vt:i4>0</vt:i4>
      </vt:variant>
      <vt:variant>
        <vt:i4>5</vt:i4>
      </vt:variant>
      <vt:variant>
        <vt:lpwstr/>
      </vt:variant>
      <vt:variant>
        <vt:lpwstr>_Toc177139201</vt:lpwstr>
      </vt:variant>
      <vt:variant>
        <vt:i4>1572919</vt:i4>
      </vt:variant>
      <vt:variant>
        <vt:i4>686</vt:i4>
      </vt:variant>
      <vt:variant>
        <vt:i4>0</vt:i4>
      </vt:variant>
      <vt:variant>
        <vt:i4>5</vt:i4>
      </vt:variant>
      <vt:variant>
        <vt:lpwstr/>
      </vt:variant>
      <vt:variant>
        <vt:lpwstr>_Toc177139200</vt:lpwstr>
      </vt:variant>
      <vt:variant>
        <vt:i4>1114164</vt:i4>
      </vt:variant>
      <vt:variant>
        <vt:i4>680</vt:i4>
      </vt:variant>
      <vt:variant>
        <vt:i4>0</vt:i4>
      </vt:variant>
      <vt:variant>
        <vt:i4>5</vt:i4>
      </vt:variant>
      <vt:variant>
        <vt:lpwstr/>
      </vt:variant>
      <vt:variant>
        <vt:lpwstr>_Toc177139199</vt:lpwstr>
      </vt:variant>
      <vt:variant>
        <vt:i4>1114164</vt:i4>
      </vt:variant>
      <vt:variant>
        <vt:i4>674</vt:i4>
      </vt:variant>
      <vt:variant>
        <vt:i4>0</vt:i4>
      </vt:variant>
      <vt:variant>
        <vt:i4>5</vt:i4>
      </vt:variant>
      <vt:variant>
        <vt:lpwstr/>
      </vt:variant>
      <vt:variant>
        <vt:lpwstr>_Toc177139198</vt:lpwstr>
      </vt:variant>
      <vt:variant>
        <vt:i4>1114164</vt:i4>
      </vt:variant>
      <vt:variant>
        <vt:i4>668</vt:i4>
      </vt:variant>
      <vt:variant>
        <vt:i4>0</vt:i4>
      </vt:variant>
      <vt:variant>
        <vt:i4>5</vt:i4>
      </vt:variant>
      <vt:variant>
        <vt:lpwstr/>
      </vt:variant>
      <vt:variant>
        <vt:lpwstr>_Toc177139197</vt:lpwstr>
      </vt:variant>
      <vt:variant>
        <vt:i4>1114164</vt:i4>
      </vt:variant>
      <vt:variant>
        <vt:i4>662</vt:i4>
      </vt:variant>
      <vt:variant>
        <vt:i4>0</vt:i4>
      </vt:variant>
      <vt:variant>
        <vt:i4>5</vt:i4>
      </vt:variant>
      <vt:variant>
        <vt:lpwstr/>
      </vt:variant>
      <vt:variant>
        <vt:lpwstr>_Toc177139196</vt:lpwstr>
      </vt:variant>
      <vt:variant>
        <vt:i4>1114164</vt:i4>
      </vt:variant>
      <vt:variant>
        <vt:i4>656</vt:i4>
      </vt:variant>
      <vt:variant>
        <vt:i4>0</vt:i4>
      </vt:variant>
      <vt:variant>
        <vt:i4>5</vt:i4>
      </vt:variant>
      <vt:variant>
        <vt:lpwstr/>
      </vt:variant>
      <vt:variant>
        <vt:lpwstr>_Toc177139195</vt:lpwstr>
      </vt:variant>
      <vt:variant>
        <vt:i4>1114164</vt:i4>
      </vt:variant>
      <vt:variant>
        <vt:i4>650</vt:i4>
      </vt:variant>
      <vt:variant>
        <vt:i4>0</vt:i4>
      </vt:variant>
      <vt:variant>
        <vt:i4>5</vt:i4>
      </vt:variant>
      <vt:variant>
        <vt:lpwstr/>
      </vt:variant>
      <vt:variant>
        <vt:lpwstr>_Toc177139194</vt:lpwstr>
      </vt:variant>
      <vt:variant>
        <vt:i4>1114164</vt:i4>
      </vt:variant>
      <vt:variant>
        <vt:i4>644</vt:i4>
      </vt:variant>
      <vt:variant>
        <vt:i4>0</vt:i4>
      </vt:variant>
      <vt:variant>
        <vt:i4>5</vt:i4>
      </vt:variant>
      <vt:variant>
        <vt:lpwstr/>
      </vt:variant>
      <vt:variant>
        <vt:lpwstr>_Toc177139193</vt:lpwstr>
      </vt:variant>
      <vt:variant>
        <vt:i4>1114164</vt:i4>
      </vt:variant>
      <vt:variant>
        <vt:i4>638</vt:i4>
      </vt:variant>
      <vt:variant>
        <vt:i4>0</vt:i4>
      </vt:variant>
      <vt:variant>
        <vt:i4>5</vt:i4>
      </vt:variant>
      <vt:variant>
        <vt:lpwstr/>
      </vt:variant>
      <vt:variant>
        <vt:lpwstr>_Toc177139192</vt:lpwstr>
      </vt:variant>
      <vt:variant>
        <vt:i4>1114164</vt:i4>
      </vt:variant>
      <vt:variant>
        <vt:i4>632</vt:i4>
      </vt:variant>
      <vt:variant>
        <vt:i4>0</vt:i4>
      </vt:variant>
      <vt:variant>
        <vt:i4>5</vt:i4>
      </vt:variant>
      <vt:variant>
        <vt:lpwstr/>
      </vt:variant>
      <vt:variant>
        <vt:lpwstr>_Toc177139191</vt:lpwstr>
      </vt:variant>
      <vt:variant>
        <vt:i4>1114164</vt:i4>
      </vt:variant>
      <vt:variant>
        <vt:i4>626</vt:i4>
      </vt:variant>
      <vt:variant>
        <vt:i4>0</vt:i4>
      </vt:variant>
      <vt:variant>
        <vt:i4>5</vt:i4>
      </vt:variant>
      <vt:variant>
        <vt:lpwstr/>
      </vt:variant>
      <vt:variant>
        <vt:lpwstr>_Toc177139190</vt:lpwstr>
      </vt:variant>
      <vt:variant>
        <vt:i4>1048628</vt:i4>
      </vt:variant>
      <vt:variant>
        <vt:i4>620</vt:i4>
      </vt:variant>
      <vt:variant>
        <vt:i4>0</vt:i4>
      </vt:variant>
      <vt:variant>
        <vt:i4>5</vt:i4>
      </vt:variant>
      <vt:variant>
        <vt:lpwstr/>
      </vt:variant>
      <vt:variant>
        <vt:lpwstr>_Toc177139189</vt:lpwstr>
      </vt:variant>
      <vt:variant>
        <vt:i4>1048628</vt:i4>
      </vt:variant>
      <vt:variant>
        <vt:i4>614</vt:i4>
      </vt:variant>
      <vt:variant>
        <vt:i4>0</vt:i4>
      </vt:variant>
      <vt:variant>
        <vt:i4>5</vt:i4>
      </vt:variant>
      <vt:variant>
        <vt:lpwstr/>
      </vt:variant>
      <vt:variant>
        <vt:lpwstr>_Toc177139188</vt:lpwstr>
      </vt:variant>
      <vt:variant>
        <vt:i4>1048628</vt:i4>
      </vt:variant>
      <vt:variant>
        <vt:i4>608</vt:i4>
      </vt:variant>
      <vt:variant>
        <vt:i4>0</vt:i4>
      </vt:variant>
      <vt:variant>
        <vt:i4>5</vt:i4>
      </vt:variant>
      <vt:variant>
        <vt:lpwstr/>
      </vt:variant>
      <vt:variant>
        <vt:lpwstr>_Toc177139187</vt:lpwstr>
      </vt:variant>
      <vt:variant>
        <vt:i4>1048628</vt:i4>
      </vt:variant>
      <vt:variant>
        <vt:i4>602</vt:i4>
      </vt:variant>
      <vt:variant>
        <vt:i4>0</vt:i4>
      </vt:variant>
      <vt:variant>
        <vt:i4>5</vt:i4>
      </vt:variant>
      <vt:variant>
        <vt:lpwstr/>
      </vt:variant>
      <vt:variant>
        <vt:lpwstr>_Toc177139186</vt:lpwstr>
      </vt:variant>
      <vt:variant>
        <vt:i4>1048628</vt:i4>
      </vt:variant>
      <vt:variant>
        <vt:i4>596</vt:i4>
      </vt:variant>
      <vt:variant>
        <vt:i4>0</vt:i4>
      </vt:variant>
      <vt:variant>
        <vt:i4>5</vt:i4>
      </vt:variant>
      <vt:variant>
        <vt:lpwstr/>
      </vt:variant>
      <vt:variant>
        <vt:lpwstr>_Toc177139185</vt:lpwstr>
      </vt:variant>
      <vt:variant>
        <vt:i4>1048628</vt:i4>
      </vt:variant>
      <vt:variant>
        <vt:i4>590</vt:i4>
      </vt:variant>
      <vt:variant>
        <vt:i4>0</vt:i4>
      </vt:variant>
      <vt:variant>
        <vt:i4>5</vt:i4>
      </vt:variant>
      <vt:variant>
        <vt:lpwstr/>
      </vt:variant>
      <vt:variant>
        <vt:lpwstr>_Toc177139184</vt:lpwstr>
      </vt:variant>
      <vt:variant>
        <vt:i4>1048628</vt:i4>
      </vt:variant>
      <vt:variant>
        <vt:i4>584</vt:i4>
      </vt:variant>
      <vt:variant>
        <vt:i4>0</vt:i4>
      </vt:variant>
      <vt:variant>
        <vt:i4>5</vt:i4>
      </vt:variant>
      <vt:variant>
        <vt:lpwstr/>
      </vt:variant>
      <vt:variant>
        <vt:lpwstr>_Toc177139183</vt:lpwstr>
      </vt:variant>
      <vt:variant>
        <vt:i4>1048628</vt:i4>
      </vt:variant>
      <vt:variant>
        <vt:i4>578</vt:i4>
      </vt:variant>
      <vt:variant>
        <vt:i4>0</vt:i4>
      </vt:variant>
      <vt:variant>
        <vt:i4>5</vt:i4>
      </vt:variant>
      <vt:variant>
        <vt:lpwstr/>
      </vt:variant>
      <vt:variant>
        <vt:lpwstr>_Toc177139182</vt:lpwstr>
      </vt:variant>
      <vt:variant>
        <vt:i4>1048628</vt:i4>
      </vt:variant>
      <vt:variant>
        <vt:i4>572</vt:i4>
      </vt:variant>
      <vt:variant>
        <vt:i4>0</vt:i4>
      </vt:variant>
      <vt:variant>
        <vt:i4>5</vt:i4>
      </vt:variant>
      <vt:variant>
        <vt:lpwstr/>
      </vt:variant>
      <vt:variant>
        <vt:lpwstr>_Toc177139181</vt:lpwstr>
      </vt:variant>
      <vt:variant>
        <vt:i4>1048628</vt:i4>
      </vt:variant>
      <vt:variant>
        <vt:i4>566</vt:i4>
      </vt:variant>
      <vt:variant>
        <vt:i4>0</vt:i4>
      </vt:variant>
      <vt:variant>
        <vt:i4>5</vt:i4>
      </vt:variant>
      <vt:variant>
        <vt:lpwstr/>
      </vt:variant>
      <vt:variant>
        <vt:lpwstr>_Toc177139180</vt:lpwstr>
      </vt:variant>
      <vt:variant>
        <vt:i4>2031668</vt:i4>
      </vt:variant>
      <vt:variant>
        <vt:i4>560</vt:i4>
      </vt:variant>
      <vt:variant>
        <vt:i4>0</vt:i4>
      </vt:variant>
      <vt:variant>
        <vt:i4>5</vt:i4>
      </vt:variant>
      <vt:variant>
        <vt:lpwstr/>
      </vt:variant>
      <vt:variant>
        <vt:lpwstr>_Toc177139179</vt:lpwstr>
      </vt:variant>
      <vt:variant>
        <vt:i4>2031668</vt:i4>
      </vt:variant>
      <vt:variant>
        <vt:i4>554</vt:i4>
      </vt:variant>
      <vt:variant>
        <vt:i4>0</vt:i4>
      </vt:variant>
      <vt:variant>
        <vt:i4>5</vt:i4>
      </vt:variant>
      <vt:variant>
        <vt:lpwstr/>
      </vt:variant>
      <vt:variant>
        <vt:lpwstr>_Toc177139178</vt:lpwstr>
      </vt:variant>
      <vt:variant>
        <vt:i4>2031668</vt:i4>
      </vt:variant>
      <vt:variant>
        <vt:i4>548</vt:i4>
      </vt:variant>
      <vt:variant>
        <vt:i4>0</vt:i4>
      </vt:variant>
      <vt:variant>
        <vt:i4>5</vt:i4>
      </vt:variant>
      <vt:variant>
        <vt:lpwstr/>
      </vt:variant>
      <vt:variant>
        <vt:lpwstr>_Toc177139177</vt:lpwstr>
      </vt:variant>
      <vt:variant>
        <vt:i4>2031668</vt:i4>
      </vt:variant>
      <vt:variant>
        <vt:i4>542</vt:i4>
      </vt:variant>
      <vt:variant>
        <vt:i4>0</vt:i4>
      </vt:variant>
      <vt:variant>
        <vt:i4>5</vt:i4>
      </vt:variant>
      <vt:variant>
        <vt:lpwstr/>
      </vt:variant>
      <vt:variant>
        <vt:lpwstr>_Toc177139176</vt:lpwstr>
      </vt:variant>
      <vt:variant>
        <vt:i4>2031668</vt:i4>
      </vt:variant>
      <vt:variant>
        <vt:i4>536</vt:i4>
      </vt:variant>
      <vt:variant>
        <vt:i4>0</vt:i4>
      </vt:variant>
      <vt:variant>
        <vt:i4>5</vt:i4>
      </vt:variant>
      <vt:variant>
        <vt:lpwstr/>
      </vt:variant>
      <vt:variant>
        <vt:lpwstr>_Toc177139175</vt:lpwstr>
      </vt:variant>
      <vt:variant>
        <vt:i4>2031668</vt:i4>
      </vt:variant>
      <vt:variant>
        <vt:i4>530</vt:i4>
      </vt:variant>
      <vt:variant>
        <vt:i4>0</vt:i4>
      </vt:variant>
      <vt:variant>
        <vt:i4>5</vt:i4>
      </vt:variant>
      <vt:variant>
        <vt:lpwstr/>
      </vt:variant>
      <vt:variant>
        <vt:lpwstr>_Toc177139174</vt:lpwstr>
      </vt:variant>
      <vt:variant>
        <vt:i4>2031668</vt:i4>
      </vt:variant>
      <vt:variant>
        <vt:i4>524</vt:i4>
      </vt:variant>
      <vt:variant>
        <vt:i4>0</vt:i4>
      </vt:variant>
      <vt:variant>
        <vt:i4>5</vt:i4>
      </vt:variant>
      <vt:variant>
        <vt:lpwstr/>
      </vt:variant>
      <vt:variant>
        <vt:lpwstr>_Toc177139173</vt:lpwstr>
      </vt:variant>
      <vt:variant>
        <vt:i4>2031668</vt:i4>
      </vt:variant>
      <vt:variant>
        <vt:i4>518</vt:i4>
      </vt:variant>
      <vt:variant>
        <vt:i4>0</vt:i4>
      </vt:variant>
      <vt:variant>
        <vt:i4>5</vt:i4>
      </vt:variant>
      <vt:variant>
        <vt:lpwstr/>
      </vt:variant>
      <vt:variant>
        <vt:lpwstr>_Toc177139172</vt:lpwstr>
      </vt:variant>
      <vt:variant>
        <vt:i4>2031668</vt:i4>
      </vt:variant>
      <vt:variant>
        <vt:i4>512</vt:i4>
      </vt:variant>
      <vt:variant>
        <vt:i4>0</vt:i4>
      </vt:variant>
      <vt:variant>
        <vt:i4>5</vt:i4>
      </vt:variant>
      <vt:variant>
        <vt:lpwstr/>
      </vt:variant>
      <vt:variant>
        <vt:lpwstr>_Toc177139171</vt:lpwstr>
      </vt:variant>
      <vt:variant>
        <vt:i4>2031668</vt:i4>
      </vt:variant>
      <vt:variant>
        <vt:i4>506</vt:i4>
      </vt:variant>
      <vt:variant>
        <vt:i4>0</vt:i4>
      </vt:variant>
      <vt:variant>
        <vt:i4>5</vt:i4>
      </vt:variant>
      <vt:variant>
        <vt:lpwstr/>
      </vt:variant>
      <vt:variant>
        <vt:lpwstr>_Toc177139170</vt:lpwstr>
      </vt:variant>
      <vt:variant>
        <vt:i4>1966132</vt:i4>
      </vt:variant>
      <vt:variant>
        <vt:i4>500</vt:i4>
      </vt:variant>
      <vt:variant>
        <vt:i4>0</vt:i4>
      </vt:variant>
      <vt:variant>
        <vt:i4>5</vt:i4>
      </vt:variant>
      <vt:variant>
        <vt:lpwstr/>
      </vt:variant>
      <vt:variant>
        <vt:lpwstr>_Toc177139169</vt:lpwstr>
      </vt:variant>
      <vt:variant>
        <vt:i4>1966132</vt:i4>
      </vt:variant>
      <vt:variant>
        <vt:i4>494</vt:i4>
      </vt:variant>
      <vt:variant>
        <vt:i4>0</vt:i4>
      </vt:variant>
      <vt:variant>
        <vt:i4>5</vt:i4>
      </vt:variant>
      <vt:variant>
        <vt:lpwstr/>
      </vt:variant>
      <vt:variant>
        <vt:lpwstr>_Toc177139168</vt:lpwstr>
      </vt:variant>
      <vt:variant>
        <vt:i4>1966132</vt:i4>
      </vt:variant>
      <vt:variant>
        <vt:i4>488</vt:i4>
      </vt:variant>
      <vt:variant>
        <vt:i4>0</vt:i4>
      </vt:variant>
      <vt:variant>
        <vt:i4>5</vt:i4>
      </vt:variant>
      <vt:variant>
        <vt:lpwstr/>
      </vt:variant>
      <vt:variant>
        <vt:lpwstr>_Toc177139167</vt:lpwstr>
      </vt:variant>
      <vt:variant>
        <vt:i4>1966132</vt:i4>
      </vt:variant>
      <vt:variant>
        <vt:i4>482</vt:i4>
      </vt:variant>
      <vt:variant>
        <vt:i4>0</vt:i4>
      </vt:variant>
      <vt:variant>
        <vt:i4>5</vt:i4>
      </vt:variant>
      <vt:variant>
        <vt:lpwstr/>
      </vt:variant>
      <vt:variant>
        <vt:lpwstr>_Toc177139166</vt:lpwstr>
      </vt:variant>
      <vt:variant>
        <vt:i4>1966132</vt:i4>
      </vt:variant>
      <vt:variant>
        <vt:i4>476</vt:i4>
      </vt:variant>
      <vt:variant>
        <vt:i4>0</vt:i4>
      </vt:variant>
      <vt:variant>
        <vt:i4>5</vt:i4>
      </vt:variant>
      <vt:variant>
        <vt:lpwstr/>
      </vt:variant>
      <vt:variant>
        <vt:lpwstr>_Toc177139165</vt:lpwstr>
      </vt:variant>
      <vt:variant>
        <vt:i4>1966132</vt:i4>
      </vt:variant>
      <vt:variant>
        <vt:i4>470</vt:i4>
      </vt:variant>
      <vt:variant>
        <vt:i4>0</vt:i4>
      </vt:variant>
      <vt:variant>
        <vt:i4>5</vt:i4>
      </vt:variant>
      <vt:variant>
        <vt:lpwstr/>
      </vt:variant>
      <vt:variant>
        <vt:lpwstr>_Toc177139164</vt:lpwstr>
      </vt:variant>
      <vt:variant>
        <vt:i4>1966132</vt:i4>
      </vt:variant>
      <vt:variant>
        <vt:i4>464</vt:i4>
      </vt:variant>
      <vt:variant>
        <vt:i4>0</vt:i4>
      </vt:variant>
      <vt:variant>
        <vt:i4>5</vt:i4>
      </vt:variant>
      <vt:variant>
        <vt:lpwstr/>
      </vt:variant>
      <vt:variant>
        <vt:lpwstr>_Toc177139163</vt:lpwstr>
      </vt:variant>
      <vt:variant>
        <vt:i4>1966132</vt:i4>
      </vt:variant>
      <vt:variant>
        <vt:i4>458</vt:i4>
      </vt:variant>
      <vt:variant>
        <vt:i4>0</vt:i4>
      </vt:variant>
      <vt:variant>
        <vt:i4>5</vt:i4>
      </vt:variant>
      <vt:variant>
        <vt:lpwstr/>
      </vt:variant>
      <vt:variant>
        <vt:lpwstr>_Toc177139162</vt:lpwstr>
      </vt:variant>
      <vt:variant>
        <vt:i4>1966132</vt:i4>
      </vt:variant>
      <vt:variant>
        <vt:i4>452</vt:i4>
      </vt:variant>
      <vt:variant>
        <vt:i4>0</vt:i4>
      </vt:variant>
      <vt:variant>
        <vt:i4>5</vt:i4>
      </vt:variant>
      <vt:variant>
        <vt:lpwstr/>
      </vt:variant>
      <vt:variant>
        <vt:lpwstr>_Toc177139161</vt:lpwstr>
      </vt:variant>
      <vt:variant>
        <vt:i4>1966132</vt:i4>
      </vt:variant>
      <vt:variant>
        <vt:i4>446</vt:i4>
      </vt:variant>
      <vt:variant>
        <vt:i4>0</vt:i4>
      </vt:variant>
      <vt:variant>
        <vt:i4>5</vt:i4>
      </vt:variant>
      <vt:variant>
        <vt:lpwstr/>
      </vt:variant>
      <vt:variant>
        <vt:lpwstr>_Toc177139160</vt:lpwstr>
      </vt:variant>
      <vt:variant>
        <vt:i4>1900596</vt:i4>
      </vt:variant>
      <vt:variant>
        <vt:i4>440</vt:i4>
      </vt:variant>
      <vt:variant>
        <vt:i4>0</vt:i4>
      </vt:variant>
      <vt:variant>
        <vt:i4>5</vt:i4>
      </vt:variant>
      <vt:variant>
        <vt:lpwstr/>
      </vt:variant>
      <vt:variant>
        <vt:lpwstr>_Toc177139159</vt:lpwstr>
      </vt:variant>
      <vt:variant>
        <vt:i4>1900596</vt:i4>
      </vt:variant>
      <vt:variant>
        <vt:i4>434</vt:i4>
      </vt:variant>
      <vt:variant>
        <vt:i4>0</vt:i4>
      </vt:variant>
      <vt:variant>
        <vt:i4>5</vt:i4>
      </vt:variant>
      <vt:variant>
        <vt:lpwstr/>
      </vt:variant>
      <vt:variant>
        <vt:lpwstr>_Toc177139158</vt:lpwstr>
      </vt:variant>
      <vt:variant>
        <vt:i4>1900596</vt:i4>
      </vt:variant>
      <vt:variant>
        <vt:i4>428</vt:i4>
      </vt:variant>
      <vt:variant>
        <vt:i4>0</vt:i4>
      </vt:variant>
      <vt:variant>
        <vt:i4>5</vt:i4>
      </vt:variant>
      <vt:variant>
        <vt:lpwstr/>
      </vt:variant>
      <vt:variant>
        <vt:lpwstr>_Toc177139157</vt:lpwstr>
      </vt:variant>
      <vt:variant>
        <vt:i4>1900596</vt:i4>
      </vt:variant>
      <vt:variant>
        <vt:i4>422</vt:i4>
      </vt:variant>
      <vt:variant>
        <vt:i4>0</vt:i4>
      </vt:variant>
      <vt:variant>
        <vt:i4>5</vt:i4>
      </vt:variant>
      <vt:variant>
        <vt:lpwstr/>
      </vt:variant>
      <vt:variant>
        <vt:lpwstr>_Toc177139156</vt:lpwstr>
      </vt:variant>
      <vt:variant>
        <vt:i4>1900596</vt:i4>
      </vt:variant>
      <vt:variant>
        <vt:i4>416</vt:i4>
      </vt:variant>
      <vt:variant>
        <vt:i4>0</vt:i4>
      </vt:variant>
      <vt:variant>
        <vt:i4>5</vt:i4>
      </vt:variant>
      <vt:variant>
        <vt:lpwstr/>
      </vt:variant>
      <vt:variant>
        <vt:lpwstr>_Toc177139155</vt:lpwstr>
      </vt:variant>
      <vt:variant>
        <vt:i4>1900596</vt:i4>
      </vt:variant>
      <vt:variant>
        <vt:i4>410</vt:i4>
      </vt:variant>
      <vt:variant>
        <vt:i4>0</vt:i4>
      </vt:variant>
      <vt:variant>
        <vt:i4>5</vt:i4>
      </vt:variant>
      <vt:variant>
        <vt:lpwstr/>
      </vt:variant>
      <vt:variant>
        <vt:lpwstr>_Toc177139154</vt:lpwstr>
      </vt:variant>
      <vt:variant>
        <vt:i4>1900596</vt:i4>
      </vt:variant>
      <vt:variant>
        <vt:i4>404</vt:i4>
      </vt:variant>
      <vt:variant>
        <vt:i4>0</vt:i4>
      </vt:variant>
      <vt:variant>
        <vt:i4>5</vt:i4>
      </vt:variant>
      <vt:variant>
        <vt:lpwstr/>
      </vt:variant>
      <vt:variant>
        <vt:lpwstr>_Toc177139153</vt:lpwstr>
      </vt:variant>
      <vt:variant>
        <vt:i4>1900596</vt:i4>
      </vt:variant>
      <vt:variant>
        <vt:i4>398</vt:i4>
      </vt:variant>
      <vt:variant>
        <vt:i4>0</vt:i4>
      </vt:variant>
      <vt:variant>
        <vt:i4>5</vt:i4>
      </vt:variant>
      <vt:variant>
        <vt:lpwstr/>
      </vt:variant>
      <vt:variant>
        <vt:lpwstr>_Toc177139152</vt:lpwstr>
      </vt:variant>
      <vt:variant>
        <vt:i4>1900596</vt:i4>
      </vt:variant>
      <vt:variant>
        <vt:i4>392</vt:i4>
      </vt:variant>
      <vt:variant>
        <vt:i4>0</vt:i4>
      </vt:variant>
      <vt:variant>
        <vt:i4>5</vt:i4>
      </vt:variant>
      <vt:variant>
        <vt:lpwstr/>
      </vt:variant>
      <vt:variant>
        <vt:lpwstr>_Toc177139151</vt:lpwstr>
      </vt:variant>
      <vt:variant>
        <vt:i4>1900596</vt:i4>
      </vt:variant>
      <vt:variant>
        <vt:i4>386</vt:i4>
      </vt:variant>
      <vt:variant>
        <vt:i4>0</vt:i4>
      </vt:variant>
      <vt:variant>
        <vt:i4>5</vt:i4>
      </vt:variant>
      <vt:variant>
        <vt:lpwstr/>
      </vt:variant>
      <vt:variant>
        <vt:lpwstr>_Toc177139150</vt:lpwstr>
      </vt:variant>
      <vt:variant>
        <vt:i4>1835060</vt:i4>
      </vt:variant>
      <vt:variant>
        <vt:i4>380</vt:i4>
      </vt:variant>
      <vt:variant>
        <vt:i4>0</vt:i4>
      </vt:variant>
      <vt:variant>
        <vt:i4>5</vt:i4>
      </vt:variant>
      <vt:variant>
        <vt:lpwstr/>
      </vt:variant>
      <vt:variant>
        <vt:lpwstr>_Toc177139149</vt:lpwstr>
      </vt:variant>
      <vt:variant>
        <vt:i4>1835060</vt:i4>
      </vt:variant>
      <vt:variant>
        <vt:i4>374</vt:i4>
      </vt:variant>
      <vt:variant>
        <vt:i4>0</vt:i4>
      </vt:variant>
      <vt:variant>
        <vt:i4>5</vt:i4>
      </vt:variant>
      <vt:variant>
        <vt:lpwstr/>
      </vt:variant>
      <vt:variant>
        <vt:lpwstr>_Toc177139148</vt:lpwstr>
      </vt:variant>
      <vt:variant>
        <vt:i4>1835060</vt:i4>
      </vt:variant>
      <vt:variant>
        <vt:i4>368</vt:i4>
      </vt:variant>
      <vt:variant>
        <vt:i4>0</vt:i4>
      </vt:variant>
      <vt:variant>
        <vt:i4>5</vt:i4>
      </vt:variant>
      <vt:variant>
        <vt:lpwstr/>
      </vt:variant>
      <vt:variant>
        <vt:lpwstr>_Toc177139147</vt:lpwstr>
      </vt:variant>
      <vt:variant>
        <vt:i4>1835060</vt:i4>
      </vt:variant>
      <vt:variant>
        <vt:i4>362</vt:i4>
      </vt:variant>
      <vt:variant>
        <vt:i4>0</vt:i4>
      </vt:variant>
      <vt:variant>
        <vt:i4>5</vt:i4>
      </vt:variant>
      <vt:variant>
        <vt:lpwstr/>
      </vt:variant>
      <vt:variant>
        <vt:lpwstr>_Toc177139146</vt:lpwstr>
      </vt:variant>
      <vt:variant>
        <vt:i4>1835060</vt:i4>
      </vt:variant>
      <vt:variant>
        <vt:i4>356</vt:i4>
      </vt:variant>
      <vt:variant>
        <vt:i4>0</vt:i4>
      </vt:variant>
      <vt:variant>
        <vt:i4>5</vt:i4>
      </vt:variant>
      <vt:variant>
        <vt:lpwstr/>
      </vt:variant>
      <vt:variant>
        <vt:lpwstr>_Toc177139145</vt:lpwstr>
      </vt:variant>
      <vt:variant>
        <vt:i4>1835060</vt:i4>
      </vt:variant>
      <vt:variant>
        <vt:i4>350</vt:i4>
      </vt:variant>
      <vt:variant>
        <vt:i4>0</vt:i4>
      </vt:variant>
      <vt:variant>
        <vt:i4>5</vt:i4>
      </vt:variant>
      <vt:variant>
        <vt:lpwstr/>
      </vt:variant>
      <vt:variant>
        <vt:lpwstr>_Toc177139144</vt:lpwstr>
      </vt:variant>
      <vt:variant>
        <vt:i4>1835060</vt:i4>
      </vt:variant>
      <vt:variant>
        <vt:i4>344</vt:i4>
      </vt:variant>
      <vt:variant>
        <vt:i4>0</vt:i4>
      </vt:variant>
      <vt:variant>
        <vt:i4>5</vt:i4>
      </vt:variant>
      <vt:variant>
        <vt:lpwstr/>
      </vt:variant>
      <vt:variant>
        <vt:lpwstr>_Toc177139143</vt:lpwstr>
      </vt:variant>
      <vt:variant>
        <vt:i4>1835060</vt:i4>
      </vt:variant>
      <vt:variant>
        <vt:i4>338</vt:i4>
      </vt:variant>
      <vt:variant>
        <vt:i4>0</vt:i4>
      </vt:variant>
      <vt:variant>
        <vt:i4>5</vt:i4>
      </vt:variant>
      <vt:variant>
        <vt:lpwstr/>
      </vt:variant>
      <vt:variant>
        <vt:lpwstr>_Toc177139142</vt:lpwstr>
      </vt:variant>
      <vt:variant>
        <vt:i4>1835060</vt:i4>
      </vt:variant>
      <vt:variant>
        <vt:i4>332</vt:i4>
      </vt:variant>
      <vt:variant>
        <vt:i4>0</vt:i4>
      </vt:variant>
      <vt:variant>
        <vt:i4>5</vt:i4>
      </vt:variant>
      <vt:variant>
        <vt:lpwstr/>
      </vt:variant>
      <vt:variant>
        <vt:lpwstr>_Toc177139141</vt:lpwstr>
      </vt:variant>
      <vt:variant>
        <vt:i4>1835060</vt:i4>
      </vt:variant>
      <vt:variant>
        <vt:i4>326</vt:i4>
      </vt:variant>
      <vt:variant>
        <vt:i4>0</vt:i4>
      </vt:variant>
      <vt:variant>
        <vt:i4>5</vt:i4>
      </vt:variant>
      <vt:variant>
        <vt:lpwstr/>
      </vt:variant>
      <vt:variant>
        <vt:lpwstr>_Toc177139140</vt:lpwstr>
      </vt:variant>
      <vt:variant>
        <vt:i4>1769524</vt:i4>
      </vt:variant>
      <vt:variant>
        <vt:i4>320</vt:i4>
      </vt:variant>
      <vt:variant>
        <vt:i4>0</vt:i4>
      </vt:variant>
      <vt:variant>
        <vt:i4>5</vt:i4>
      </vt:variant>
      <vt:variant>
        <vt:lpwstr/>
      </vt:variant>
      <vt:variant>
        <vt:lpwstr>_Toc177139139</vt:lpwstr>
      </vt:variant>
      <vt:variant>
        <vt:i4>1769524</vt:i4>
      </vt:variant>
      <vt:variant>
        <vt:i4>314</vt:i4>
      </vt:variant>
      <vt:variant>
        <vt:i4>0</vt:i4>
      </vt:variant>
      <vt:variant>
        <vt:i4>5</vt:i4>
      </vt:variant>
      <vt:variant>
        <vt:lpwstr/>
      </vt:variant>
      <vt:variant>
        <vt:lpwstr>_Toc177139138</vt:lpwstr>
      </vt:variant>
      <vt:variant>
        <vt:i4>1769524</vt:i4>
      </vt:variant>
      <vt:variant>
        <vt:i4>308</vt:i4>
      </vt:variant>
      <vt:variant>
        <vt:i4>0</vt:i4>
      </vt:variant>
      <vt:variant>
        <vt:i4>5</vt:i4>
      </vt:variant>
      <vt:variant>
        <vt:lpwstr/>
      </vt:variant>
      <vt:variant>
        <vt:lpwstr>_Toc177139137</vt:lpwstr>
      </vt:variant>
      <vt:variant>
        <vt:i4>1769524</vt:i4>
      </vt:variant>
      <vt:variant>
        <vt:i4>302</vt:i4>
      </vt:variant>
      <vt:variant>
        <vt:i4>0</vt:i4>
      </vt:variant>
      <vt:variant>
        <vt:i4>5</vt:i4>
      </vt:variant>
      <vt:variant>
        <vt:lpwstr/>
      </vt:variant>
      <vt:variant>
        <vt:lpwstr>_Toc177139136</vt:lpwstr>
      </vt:variant>
      <vt:variant>
        <vt:i4>1769524</vt:i4>
      </vt:variant>
      <vt:variant>
        <vt:i4>296</vt:i4>
      </vt:variant>
      <vt:variant>
        <vt:i4>0</vt:i4>
      </vt:variant>
      <vt:variant>
        <vt:i4>5</vt:i4>
      </vt:variant>
      <vt:variant>
        <vt:lpwstr/>
      </vt:variant>
      <vt:variant>
        <vt:lpwstr>_Toc177139135</vt:lpwstr>
      </vt:variant>
      <vt:variant>
        <vt:i4>1769524</vt:i4>
      </vt:variant>
      <vt:variant>
        <vt:i4>290</vt:i4>
      </vt:variant>
      <vt:variant>
        <vt:i4>0</vt:i4>
      </vt:variant>
      <vt:variant>
        <vt:i4>5</vt:i4>
      </vt:variant>
      <vt:variant>
        <vt:lpwstr/>
      </vt:variant>
      <vt:variant>
        <vt:lpwstr>_Toc177139134</vt:lpwstr>
      </vt:variant>
      <vt:variant>
        <vt:i4>1769524</vt:i4>
      </vt:variant>
      <vt:variant>
        <vt:i4>284</vt:i4>
      </vt:variant>
      <vt:variant>
        <vt:i4>0</vt:i4>
      </vt:variant>
      <vt:variant>
        <vt:i4>5</vt:i4>
      </vt:variant>
      <vt:variant>
        <vt:lpwstr/>
      </vt:variant>
      <vt:variant>
        <vt:lpwstr>_Toc177139133</vt:lpwstr>
      </vt:variant>
      <vt:variant>
        <vt:i4>1769524</vt:i4>
      </vt:variant>
      <vt:variant>
        <vt:i4>278</vt:i4>
      </vt:variant>
      <vt:variant>
        <vt:i4>0</vt:i4>
      </vt:variant>
      <vt:variant>
        <vt:i4>5</vt:i4>
      </vt:variant>
      <vt:variant>
        <vt:lpwstr/>
      </vt:variant>
      <vt:variant>
        <vt:lpwstr>_Toc177139132</vt:lpwstr>
      </vt:variant>
      <vt:variant>
        <vt:i4>1769524</vt:i4>
      </vt:variant>
      <vt:variant>
        <vt:i4>272</vt:i4>
      </vt:variant>
      <vt:variant>
        <vt:i4>0</vt:i4>
      </vt:variant>
      <vt:variant>
        <vt:i4>5</vt:i4>
      </vt:variant>
      <vt:variant>
        <vt:lpwstr/>
      </vt:variant>
      <vt:variant>
        <vt:lpwstr>_Toc177139131</vt:lpwstr>
      </vt:variant>
      <vt:variant>
        <vt:i4>1769524</vt:i4>
      </vt:variant>
      <vt:variant>
        <vt:i4>266</vt:i4>
      </vt:variant>
      <vt:variant>
        <vt:i4>0</vt:i4>
      </vt:variant>
      <vt:variant>
        <vt:i4>5</vt:i4>
      </vt:variant>
      <vt:variant>
        <vt:lpwstr/>
      </vt:variant>
      <vt:variant>
        <vt:lpwstr>_Toc177139130</vt:lpwstr>
      </vt:variant>
      <vt:variant>
        <vt:i4>1703988</vt:i4>
      </vt:variant>
      <vt:variant>
        <vt:i4>260</vt:i4>
      </vt:variant>
      <vt:variant>
        <vt:i4>0</vt:i4>
      </vt:variant>
      <vt:variant>
        <vt:i4>5</vt:i4>
      </vt:variant>
      <vt:variant>
        <vt:lpwstr/>
      </vt:variant>
      <vt:variant>
        <vt:lpwstr>_Toc177139129</vt:lpwstr>
      </vt:variant>
      <vt:variant>
        <vt:i4>1703988</vt:i4>
      </vt:variant>
      <vt:variant>
        <vt:i4>254</vt:i4>
      </vt:variant>
      <vt:variant>
        <vt:i4>0</vt:i4>
      </vt:variant>
      <vt:variant>
        <vt:i4>5</vt:i4>
      </vt:variant>
      <vt:variant>
        <vt:lpwstr/>
      </vt:variant>
      <vt:variant>
        <vt:lpwstr>_Toc177139128</vt:lpwstr>
      </vt:variant>
      <vt:variant>
        <vt:i4>1703988</vt:i4>
      </vt:variant>
      <vt:variant>
        <vt:i4>248</vt:i4>
      </vt:variant>
      <vt:variant>
        <vt:i4>0</vt:i4>
      </vt:variant>
      <vt:variant>
        <vt:i4>5</vt:i4>
      </vt:variant>
      <vt:variant>
        <vt:lpwstr/>
      </vt:variant>
      <vt:variant>
        <vt:lpwstr>_Toc177139127</vt:lpwstr>
      </vt:variant>
      <vt:variant>
        <vt:i4>1703988</vt:i4>
      </vt:variant>
      <vt:variant>
        <vt:i4>242</vt:i4>
      </vt:variant>
      <vt:variant>
        <vt:i4>0</vt:i4>
      </vt:variant>
      <vt:variant>
        <vt:i4>5</vt:i4>
      </vt:variant>
      <vt:variant>
        <vt:lpwstr/>
      </vt:variant>
      <vt:variant>
        <vt:lpwstr>_Toc177139126</vt:lpwstr>
      </vt:variant>
      <vt:variant>
        <vt:i4>1703988</vt:i4>
      </vt:variant>
      <vt:variant>
        <vt:i4>236</vt:i4>
      </vt:variant>
      <vt:variant>
        <vt:i4>0</vt:i4>
      </vt:variant>
      <vt:variant>
        <vt:i4>5</vt:i4>
      </vt:variant>
      <vt:variant>
        <vt:lpwstr/>
      </vt:variant>
      <vt:variant>
        <vt:lpwstr>_Toc177139125</vt:lpwstr>
      </vt:variant>
      <vt:variant>
        <vt:i4>1703988</vt:i4>
      </vt:variant>
      <vt:variant>
        <vt:i4>230</vt:i4>
      </vt:variant>
      <vt:variant>
        <vt:i4>0</vt:i4>
      </vt:variant>
      <vt:variant>
        <vt:i4>5</vt:i4>
      </vt:variant>
      <vt:variant>
        <vt:lpwstr/>
      </vt:variant>
      <vt:variant>
        <vt:lpwstr>_Toc177139124</vt:lpwstr>
      </vt:variant>
      <vt:variant>
        <vt:i4>1703988</vt:i4>
      </vt:variant>
      <vt:variant>
        <vt:i4>224</vt:i4>
      </vt:variant>
      <vt:variant>
        <vt:i4>0</vt:i4>
      </vt:variant>
      <vt:variant>
        <vt:i4>5</vt:i4>
      </vt:variant>
      <vt:variant>
        <vt:lpwstr/>
      </vt:variant>
      <vt:variant>
        <vt:lpwstr>_Toc177139123</vt:lpwstr>
      </vt:variant>
      <vt:variant>
        <vt:i4>1703988</vt:i4>
      </vt:variant>
      <vt:variant>
        <vt:i4>218</vt:i4>
      </vt:variant>
      <vt:variant>
        <vt:i4>0</vt:i4>
      </vt:variant>
      <vt:variant>
        <vt:i4>5</vt:i4>
      </vt:variant>
      <vt:variant>
        <vt:lpwstr/>
      </vt:variant>
      <vt:variant>
        <vt:lpwstr>_Toc177139122</vt:lpwstr>
      </vt:variant>
      <vt:variant>
        <vt:i4>1703988</vt:i4>
      </vt:variant>
      <vt:variant>
        <vt:i4>212</vt:i4>
      </vt:variant>
      <vt:variant>
        <vt:i4>0</vt:i4>
      </vt:variant>
      <vt:variant>
        <vt:i4>5</vt:i4>
      </vt:variant>
      <vt:variant>
        <vt:lpwstr/>
      </vt:variant>
      <vt:variant>
        <vt:lpwstr>_Toc177139121</vt:lpwstr>
      </vt:variant>
      <vt:variant>
        <vt:i4>1703988</vt:i4>
      </vt:variant>
      <vt:variant>
        <vt:i4>206</vt:i4>
      </vt:variant>
      <vt:variant>
        <vt:i4>0</vt:i4>
      </vt:variant>
      <vt:variant>
        <vt:i4>5</vt:i4>
      </vt:variant>
      <vt:variant>
        <vt:lpwstr/>
      </vt:variant>
      <vt:variant>
        <vt:lpwstr>_Toc177139120</vt:lpwstr>
      </vt:variant>
      <vt:variant>
        <vt:i4>1638452</vt:i4>
      </vt:variant>
      <vt:variant>
        <vt:i4>200</vt:i4>
      </vt:variant>
      <vt:variant>
        <vt:i4>0</vt:i4>
      </vt:variant>
      <vt:variant>
        <vt:i4>5</vt:i4>
      </vt:variant>
      <vt:variant>
        <vt:lpwstr/>
      </vt:variant>
      <vt:variant>
        <vt:lpwstr>_Toc177139119</vt:lpwstr>
      </vt:variant>
      <vt:variant>
        <vt:i4>1638452</vt:i4>
      </vt:variant>
      <vt:variant>
        <vt:i4>194</vt:i4>
      </vt:variant>
      <vt:variant>
        <vt:i4>0</vt:i4>
      </vt:variant>
      <vt:variant>
        <vt:i4>5</vt:i4>
      </vt:variant>
      <vt:variant>
        <vt:lpwstr/>
      </vt:variant>
      <vt:variant>
        <vt:lpwstr>_Toc177139118</vt:lpwstr>
      </vt:variant>
      <vt:variant>
        <vt:i4>1638452</vt:i4>
      </vt:variant>
      <vt:variant>
        <vt:i4>188</vt:i4>
      </vt:variant>
      <vt:variant>
        <vt:i4>0</vt:i4>
      </vt:variant>
      <vt:variant>
        <vt:i4>5</vt:i4>
      </vt:variant>
      <vt:variant>
        <vt:lpwstr/>
      </vt:variant>
      <vt:variant>
        <vt:lpwstr>_Toc177139117</vt:lpwstr>
      </vt:variant>
      <vt:variant>
        <vt:i4>1638452</vt:i4>
      </vt:variant>
      <vt:variant>
        <vt:i4>182</vt:i4>
      </vt:variant>
      <vt:variant>
        <vt:i4>0</vt:i4>
      </vt:variant>
      <vt:variant>
        <vt:i4>5</vt:i4>
      </vt:variant>
      <vt:variant>
        <vt:lpwstr/>
      </vt:variant>
      <vt:variant>
        <vt:lpwstr>_Toc177139116</vt:lpwstr>
      </vt:variant>
      <vt:variant>
        <vt:i4>1638452</vt:i4>
      </vt:variant>
      <vt:variant>
        <vt:i4>176</vt:i4>
      </vt:variant>
      <vt:variant>
        <vt:i4>0</vt:i4>
      </vt:variant>
      <vt:variant>
        <vt:i4>5</vt:i4>
      </vt:variant>
      <vt:variant>
        <vt:lpwstr/>
      </vt:variant>
      <vt:variant>
        <vt:lpwstr>_Toc177139115</vt:lpwstr>
      </vt:variant>
      <vt:variant>
        <vt:i4>1638452</vt:i4>
      </vt:variant>
      <vt:variant>
        <vt:i4>170</vt:i4>
      </vt:variant>
      <vt:variant>
        <vt:i4>0</vt:i4>
      </vt:variant>
      <vt:variant>
        <vt:i4>5</vt:i4>
      </vt:variant>
      <vt:variant>
        <vt:lpwstr/>
      </vt:variant>
      <vt:variant>
        <vt:lpwstr>_Toc177139114</vt:lpwstr>
      </vt:variant>
      <vt:variant>
        <vt:i4>1638452</vt:i4>
      </vt:variant>
      <vt:variant>
        <vt:i4>164</vt:i4>
      </vt:variant>
      <vt:variant>
        <vt:i4>0</vt:i4>
      </vt:variant>
      <vt:variant>
        <vt:i4>5</vt:i4>
      </vt:variant>
      <vt:variant>
        <vt:lpwstr/>
      </vt:variant>
      <vt:variant>
        <vt:lpwstr>_Toc177139113</vt:lpwstr>
      </vt:variant>
      <vt:variant>
        <vt:i4>1638452</vt:i4>
      </vt:variant>
      <vt:variant>
        <vt:i4>158</vt:i4>
      </vt:variant>
      <vt:variant>
        <vt:i4>0</vt:i4>
      </vt:variant>
      <vt:variant>
        <vt:i4>5</vt:i4>
      </vt:variant>
      <vt:variant>
        <vt:lpwstr/>
      </vt:variant>
      <vt:variant>
        <vt:lpwstr>_Toc177139112</vt:lpwstr>
      </vt:variant>
      <vt:variant>
        <vt:i4>1638452</vt:i4>
      </vt:variant>
      <vt:variant>
        <vt:i4>152</vt:i4>
      </vt:variant>
      <vt:variant>
        <vt:i4>0</vt:i4>
      </vt:variant>
      <vt:variant>
        <vt:i4>5</vt:i4>
      </vt:variant>
      <vt:variant>
        <vt:lpwstr/>
      </vt:variant>
      <vt:variant>
        <vt:lpwstr>_Toc177139111</vt:lpwstr>
      </vt:variant>
      <vt:variant>
        <vt:i4>1638452</vt:i4>
      </vt:variant>
      <vt:variant>
        <vt:i4>146</vt:i4>
      </vt:variant>
      <vt:variant>
        <vt:i4>0</vt:i4>
      </vt:variant>
      <vt:variant>
        <vt:i4>5</vt:i4>
      </vt:variant>
      <vt:variant>
        <vt:lpwstr/>
      </vt:variant>
      <vt:variant>
        <vt:lpwstr>_Toc177139110</vt:lpwstr>
      </vt:variant>
      <vt:variant>
        <vt:i4>1572916</vt:i4>
      </vt:variant>
      <vt:variant>
        <vt:i4>140</vt:i4>
      </vt:variant>
      <vt:variant>
        <vt:i4>0</vt:i4>
      </vt:variant>
      <vt:variant>
        <vt:i4>5</vt:i4>
      </vt:variant>
      <vt:variant>
        <vt:lpwstr/>
      </vt:variant>
      <vt:variant>
        <vt:lpwstr>_Toc177139109</vt:lpwstr>
      </vt:variant>
      <vt:variant>
        <vt:i4>1572916</vt:i4>
      </vt:variant>
      <vt:variant>
        <vt:i4>134</vt:i4>
      </vt:variant>
      <vt:variant>
        <vt:i4>0</vt:i4>
      </vt:variant>
      <vt:variant>
        <vt:i4>5</vt:i4>
      </vt:variant>
      <vt:variant>
        <vt:lpwstr/>
      </vt:variant>
      <vt:variant>
        <vt:lpwstr>_Toc177139108</vt:lpwstr>
      </vt:variant>
      <vt:variant>
        <vt:i4>1572916</vt:i4>
      </vt:variant>
      <vt:variant>
        <vt:i4>128</vt:i4>
      </vt:variant>
      <vt:variant>
        <vt:i4>0</vt:i4>
      </vt:variant>
      <vt:variant>
        <vt:i4>5</vt:i4>
      </vt:variant>
      <vt:variant>
        <vt:lpwstr/>
      </vt:variant>
      <vt:variant>
        <vt:lpwstr>_Toc177139107</vt:lpwstr>
      </vt:variant>
      <vt:variant>
        <vt:i4>1572916</vt:i4>
      </vt:variant>
      <vt:variant>
        <vt:i4>122</vt:i4>
      </vt:variant>
      <vt:variant>
        <vt:i4>0</vt:i4>
      </vt:variant>
      <vt:variant>
        <vt:i4>5</vt:i4>
      </vt:variant>
      <vt:variant>
        <vt:lpwstr/>
      </vt:variant>
      <vt:variant>
        <vt:lpwstr>_Toc177139106</vt:lpwstr>
      </vt:variant>
      <vt:variant>
        <vt:i4>1572916</vt:i4>
      </vt:variant>
      <vt:variant>
        <vt:i4>116</vt:i4>
      </vt:variant>
      <vt:variant>
        <vt:i4>0</vt:i4>
      </vt:variant>
      <vt:variant>
        <vt:i4>5</vt:i4>
      </vt:variant>
      <vt:variant>
        <vt:lpwstr/>
      </vt:variant>
      <vt:variant>
        <vt:lpwstr>_Toc177139105</vt:lpwstr>
      </vt:variant>
      <vt:variant>
        <vt:i4>1572916</vt:i4>
      </vt:variant>
      <vt:variant>
        <vt:i4>110</vt:i4>
      </vt:variant>
      <vt:variant>
        <vt:i4>0</vt:i4>
      </vt:variant>
      <vt:variant>
        <vt:i4>5</vt:i4>
      </vt:variant>
      <vt:variant>
        <vt:lpwstr/>
      </vt:variant>
      <vt:variant>
        <vt:lpwstr>_Toc177139104</vt:lpwstr>
      </vt:variant>
      <vt:variant>
        <vt:i4>1572916</vt:i4>
      </vt:variant>
      <vt:variant>
        <vt:i4>104</vt:i4>
      </vt:variant>
      <vt:variant>
        <vt:i4>0</vt:i4>
      </vt:variant>
      <vt:variant>
        <vt:i4>5</vt:i4>
      </vt:variant>
      <vt:variant>
        <vt:lpwstr/>
      </vt:variant>
      <vt:variant>
        <vt:lpwstr>_Toc177139103</vt:lpwstr>
      </vt:variant>
      <vt:variant>
        <vt:i4>1572916</vt:i4>
      </vt:variant>
      <vt:variant>
        <vt:i4>98</vt:i4>
      </vt:variant>
      <vt:variant>
        <vt:i4>0</vt:i4>
      </vt:variant>
      <vt:variant>
        <vt:i4>5</vt:i4>
      </vt:variant>
      <vt:variant>
        <vt:lpwstr/>
      </vt:variant>
      <vt:variant>
        <vt:lpwstr>_Toc177139102</vt:lpwstr>
      </vt:variant>
      <vt:variant>
        <vt:i4>1572916</vt:i4>
      </vt:variant>
      <vt:variant>
        <vt:i4>92</vt:i4>
      </vt:variant>
      <vt:variant>
        <vt:i4>0</vt:i4>
      </vt:variant>
      <vt:variant>
        <vt:i4>5</vt:i4>
      </vt:variant>
      <vt:variant>
        <vt:lpwstr/>
      </vt:variant>
      <vt:variant>
        <vt:lpwstr>_Toc177139101</vt:lpwstr>
      </vt:variant>
      <vt:variant>
        <vt:i4>1572916</vt:i4>
      </vt:variant>
      <vt:variant>
        <vt:i4>86</vt:i4>
      </vt:variant>
      <vt:variant>
        <vt:i4>0</vt:i4>
      </vt:variant>
      <vt:variant>
        <vt:i4>5</vt:i4>
      </vt:variant>
      <vt:variant>
        <vt:lpwstr/>
      </vt:variant>
      <vt:variant>
        <vt:lpwstr>_Toc177139100</vt:lpwstr>
      </vt:variant>
      <vt:variant>
        <vt:i4>1114165</vt:i4>
      </vt:variant>
      <vt:variant>
        <vt:i4>80</vt:i4>
      </vt:variant>
      <vt:variant>
        <vt:i4>0</vt:i4>
      </vt:variant>
      <vt:variant>
        <vt:i4>5</vt:i4>
      </vt:variant>
      <vt:variant>
        <vt:lpwstr/>
      </vt:variant>
      <vt:variant>
        <vt:lpwstr>_Toc177139099</vt:lpwstr>
      </vt:variant>
      <vt:variant>
        <vt:i4>1114165</vt:i4>
      </vt:variant>
      <vt:variant>
        <vt:i4>74</vt:i4>
      </vt:variant>
      <vt:variant>
        <vt:i4>0</vt:i4>
      </vt:variant>
      <vt:variant>
        <vt:i4>5</vt:i4>
      </vt:variant>
      <vt:variant>
        <vt:lpwstr/>
      </vt:variant>
      <vt:variant>
        <vt:lpwstr>_Toc177139098</vt:lpwstr>
      </vt:variant>
      <vt:variant>
        <vt:i4>1114165</vt:i4>
      </vt:variant>
      <vt:variant>
        <vt:i4>68</vt:i4>
      </vt:variant>
      <vt:variant>
        <vt:i4>0</vt:i4>
      </vt:variant>
      <vt:variant>
        <vt:i4>5</vt:i4>
      </vt:variant>
      <vt:variant>
        <vt:lpwstr/>
      </vt:variant>
      <vt:variant>
        <vt:lpwstr>_Toc177139097</vt:lpwstr>
      </vt:variant>
      <vt:variant>
        <vt:i4>1114165</vt:i4>
      </vt:variant>
      <vt:variant>
        <vt:i4>62</vt:i4>
      </vt:variant>
      <vt:variant>
        <vt:i4>0</vt:i4>
      </vt:variant>
      <vt:variant>
        <vt:i4>5</vt:i4>
      </vt:variant>
      <vt:variant>
        <vt:lpwstr/>
      </vt:variant>
      <vt:variant>
        <vt:lpwstr>_Toc177139096</vt:lpwstr>
      </vt:variant>
      <vt:variant>
        <vt:i4>1114165</vt:i4>
      </vt:variant>
      <vt:variant>
        <vt:i4>56</vt:i4>
      </vt:variant>
      <vt:variant>
        <vt:i4>0</vt:i4>
      </vt:variant>
      <vt:variant>
        <vt:i4>5</vt:i4>
      </vt:variant>
      <vt:variant>
        <vt:lpwstr/>
      </vt:variant>
      <vt:variant>
        <vt:lpwstr>_Toc177139095</vt:lpwstr>
      </vt:variant>
      <vt:variant>
        <vt:i4>1114165</vt:i4>
      </vt:variant>
      <vt:variant>
        <vt:i4>50</vt:i4>
      </vt:variant>
      <vt:variant>
        <vt:i4>0</vt:i4>
      </vt:variant>
      <vt:variant>
        <vt:i4>5</vt:i4>
      </vt:variant>
      <vt:variant>
        <vt:lpwstr/>
      </vt:variant>
      <vt:variant>
        <vt:lpwstr>_Toc177139094</vt:lpwstr>
      </vt:variant>
      <vt:variant>
        <vt:i4>1114165</vt:i4>
      </vt:variant>
      <vt:variant>
        <vt:i4>44</vt:i4>
      </vt:variant>
      <vt:variant>
        <vt:i4>0</vt:i4>
      </vt:variant>
      <vt:variant>
        <vt:i4>5</vt:i4>
      </vt:variant>
      <vt:variant>
        <vt:lpwstr/>
      </vt:variant>
      <vt:variant>
        <vt:lpwstr>_Toc177139093</vt:lpwstr>
      </vt:variant>
      <vt:variant>
        <vt:i4>1114165</vt:i4>
      </vt:variant>
      <vt:variant>
        <vt:i4>38</vt:i4>
      </vt:variant>
      <vt:variant>
        <vt:i4>0</vt:i4>
      </vt:variant>
      <vt:variant>
        <vt:i4>5</vt:i4>
      </vt:variant>
      <vt:variant>
        <vt:lpwstr/>
      </vt:variant>
      <vt:variant>
        <vt:lpwstr>_Toc177139092</vt:lpwstr>
      </vt:variant>
      <vt:variant>
        <vt:i4>1114165</vt:i4>
      </vt:variant>
      <vt:variant>
        <vt:i4>32</vt:i4>
      </vt:variant>
      <vt:variant>
        <vt:i4>0</vt:i4>
      </vt:variant>
      <vt:variant>
        <vt:i4>5</vt:i4>
      </vt:variant>
      <vt:variant>
        <vt:lpwstr/>
      </vt:variant>
      <vt:variant>
        <vt:lpwstr>_Toc177139091</vt:lpwstr>
      </vt:variant>
      <vt:variant>
        <vt:i4>1114165</vt:i4>
      </vt:variant>
      <vt:variant>
        <vt:i4>26</vt:i4>
      </vt:variant>
      <vt:variant>
        <vt:i4>0</vt:i4>
      </vt:variant>
      <vt:variant>
        <vt:i4>5</vt:i4>
      </vt:variant>
      <vt:variant>
        <vt:lpwstr/>
      </vt:variant>
      <vt:variant>
        <vt:lpwstr>_Toc177139090</vt:lpwstr>
      </vt:variant>
      <vt:variant>
        <vt:i4>1048629</vt:i4>
      </vt:variant>
      <vt:variant>
        <vt:i4>20</vt:i4>
      </vt:variant>
      <vt:variant>
        <vt:i4>0</vt:i4>
      </vt:variant>
      <vt:variant>
        <vt:i4>5</vt:i4>
      </vt:variant>
      <vt:variant>
        <vt:lpwstr/>
      </vt:variant>
      <vt:variant>
        <vt:lpwstr>_Toc177139089</vt:lpwstr>
      </vt:variant>
      <vt:variant>
        <vt:i4>1048629</vt:i4>
      </vt:variant>
      <vt:variant>
        <vt:i4>14</vt:i4>
      </vt:variant>
      <vt:variant>
        <vt:i4>0</vt:i4>
      </vt:variant>
      <vt:variant>
        <vt:i4>5</vt:i4>
      </vt:variant>
      <vt:variant>
        <vt:lpwstr/>
      </vt:variant>
      <vt:variant>
        <vt:lpwstr>_Toc177139088</vt:lpwstr>
      </vt:variant>
      <vt:variant>
        <vt:i4>1048629</vt:i4>
      </vt:variant>
      <vt:variant>
        <vt:i4>8</vt:i4>
      </vt:variant>
      <vt:variant>
        <vt:i4>0</vt:i4>
      </vt:variant>
      <vt:variant>
        <vt:i4>5</vt:i4>
      </vt:variant>
      <vt:variant>
        <vt:lpwstr/>
      </vt:variant>
      <vt:variant>
        <vt:lpwstr>_Toc177139087</vt:lpwstr>
      </vt:variant>
      <vt:variant>
        <vt:i4>1048629</vt:i4>
      </vt:variant>
      <vt:variant>
        <vt:i4>2</vt:i4>
      </vt:variant>
      <vt:variant>
        <vt:i4>0</vt:i4>
      </vt:variant>
      <vt:variant>
        <vt:i4>5</vt:i4>
      </vt:variant>
      <vt:variant>
        <vt:lpwstr/>
      </vt:variant>
      <vt:variant>
        <vt:lpwstr>_Toc177139086</vt:lpwstr>
      </vt:variant>
      <vt:variant>
        <vt:i4>1179689</vt:i4>
      </vt:variant>
      <vt:variant>
        <vt:i4>21</vt:i4>
      </vt:variant>
      <vt:variant>
        <vt:i4>0</vt:i4>
      </vt:variant>
      <vt:variant>
        <vt:i4>5</vt:i4>
      </vt:variant>
      <vt:variant>
        <vt:lpwstr>https://www.oecd-ilibrary.org/environment/guidance-document-on-standardised-test-guidelines-for-evaluating-chemicals-for-endocrine-disruption-2nd-edition_9789264304741-en</vt:lpwstr>
      </vt:variant>
      <vt:variant>
        <vt:lpwstr/>
      </vt:variant>
      <vt:variant>
        <vt:i4>3473466</vt:i4>
      </vt:variant>
      <vt:variant>
        <vt:i4>18</vt:i4>
      </vt:variant>
      <vt:variant>
        <vt:i4>0</vt:i4>
      </vt:variant>
      <vt:variant>
        <vt:i4>5</vt:i4>
      </vt:variant>
      <vt:variant>
        <vt:lpwstr>https://www.efsa.europa.eu/en/efsajournal/pub/5311</vt:lpwstr>
      </vt:variant>
      <vt:variant>
        <vt:lpwstr/>
      </vt:variant>
      <vt:variant>
        <vt:i4>1179689</vt:i4>
      </vt:variant>
      <vt:variant>
        <vt:i4>15</vt:i4>
      </vt:variant>
      <vt:variant>
        <vt:i4>0</vt:i4>
      </vt:variant>
      <vt:variant>
        <vt:i4>5</vt:i4>
      </vt:variant>
      <vt:variant>
        <vt:lpwstr>https://www.oecd-ilibrary.org/environment/guidance-document-on-standardised-test-guidelines-for-evaluating-chemicals-for-endocrine-disruption-2nd-edition_9789264304741-en</vt:lpwstr>
      </vt:variant>
      <vt:variant>
        <vt:lpwstr/>
      </vt:variant>
      <vt:variant>
        <vt:i4>3473466</vt:i4>
      </vt:variant>
      <vt:variant>
        <vt:i4>12</vt:i4>
      </vt:variant>
      <vt:variant>
        <vt:i4>0</vt:i4>
      </vt:variant>
      <vt:variant>
        <vt:i4>5</vt:i4>
      </vt:variant>
      <vt:variant>
        <vt:lpwstr>https://www.efsa.europa.eu/en/efsajournal/pub/5311</vt:lpwstr>
      </vt:variant>
      <vt:variant>
        <vt:lpwstr/>
      </vt:variant>
      <vt:variant>
        <vt:i4>4784135</vt:i4>
      </vt:variant>
      <vt:variant>
        <vt:i4>9</vt:i4>
      </vt:variant>
      <vt:variant>
        <vt:i4>0</vt:i4>
      </vt:variant>
      <vt:variant>
        <vt:i4>5</vt:i4>
      </vt:variant>
      <vt:variant>
        <vt:lpwstr>https://one.oecd.org/document/ENV/CBC/MONO(2021)11/en/pdf</vt:lpwstr>
      </vt:variant>
      <vt:variant>
        <vt:lpwstr/>
      </vt:variant>
      <vt:variant>
        <vt:i4>1179689</vt:i4>
      </vt:variant>
      <vt:variant>
        <vt:i4>6</vt:i4>
      </vt:variant>
      <vt:variant>
        <vt:i4>0</vt:i4>
      </vt:variant>
      <vt:variant>
        <vt:i4>5</vt:i4>
      </vt:variant>
      <vt:variant>
        <vt:lpwstr>https://www.oecd-ilibrary.org/environment/guidance-document-on-standardised-test-guidelines-for-evaluating-chemicals-for-endocrine-disruption-2nd-edition_9789264304741-en</vt:lpwstr>
      </vt:variant>
      <vt:variant>
        <vt:lpwstr/>
      </vt:variant>
      <vt:variant>
        <vt:i4>3473466</vt:i4>
      </vt:variant>
      <vt:variant>
        <vt:i4>3</vt:i4>
      </vt:variant>
      <vt:variant>
        <vt:i4>0</vt:i4>
      </vt:variant>
      <vt:variant>
        <vt:i4>5</vt:i4>
      </vt:variant>
      <vt:variant>
        <vt:lpwstr>https://www.efsa.europa.eu/en/efsajournal/pub/5311</vt:lpwstr>
      </vt:variant>
      <vt:variant>
        <vt:lpwstr/>
      </vt:variant>
      <vt:variant>
        <vt:i4>7798895</vt:i4>
      </vt:variant>
      <vt:variant>
        <vt:i4>0</vt:i4>
      </vt:variant>
      <vt:variant>
        <vt:i4>0</vt:i4>
      </vt:variant>
      <vt:variant>
        <vt:i4>5</vt:i4>
      </vt:variant>
      <vt:variant>
        <vt:lpwstr>http://www.oecd.org/chemicalsafety/risk-assessment/proceduresfornotificationofnewchemicals.htm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PETROVSKI, Jasmina</dc:creator>
  <cp:keywords/>
  <dc:description/>
  <cp:lastModifiedBy>PETROVSKI, Jasmina</cp:lastModifiedBy>
  <cp:revision>7</cp:revision>
  <dcterms:created xsi:type="dcterms:W3CDTF">2026-08-28T05:07:00Z</dcterms:created>
  <dcterms:modified xsi:type="dcterms:W3CDTF">2026-08-28T06:50:00Z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0x01010066123CFA6B6BE54885A5D4656FB0289A</vt:lpwstr>
  </property>
  <property fmtid="{D5CDD505-2E9C-101B-9397-08002B2CF9AE}" pid="3" name="MediaServiceImageTags">
    <vt:lpwstr/>
  </property>
  <property fmtid="{D5CDD505-2E9C-101B-9397-08002B2CF9AE}" pid="4" name="ClassificationContentMarkingHeaderShapeIds">
    <vt:lpwstr>74a432ab,59c7bd43,593bbb6,6b576699,3302ad3a</vt:lpwstr>
  </property>
  <property fmtid="{D5CDD505-2E9C-101B-9397-08002B2CF9AE}" pid="5" name="ClassificationContentMarkingHeaderFontProps">
    <vt:lpwstr>#ff0000,12,Aptos</vt:lpwstr>
  </property>
  <property fmtid="{D5CDD505-2E9C-101B-9397-08002B2CF9AE}" pid="6" name="ClassificationContentMarkingHeaderText">
    <vt:lpwstr>OFFICIAL</vt:lpwstr>
  </property>
  <property fmtid="{D5CDD505-2E9C-101B-9397-08002B2CF9AE}" pid="7" name="ClassificationContentMarkingFooterShapeIds">
    <vt:lpwstr>6a51aece,67e0ea35,71d61162,1e063b10,21f1af96,45e04587,52fe43ce</vt:lpwstr>
  </property>
  <property fmtid="{D5CDD505-2E9C-101B-9397-08002B2CF9AE}" pid="8" name="ClassificationContentMarkingFooterFontProps">
    <vt:lpwstr>#ff0000,12,Aptos</vt:lpwstr>
  </property>
  <property fmtid="{D5CDD505-2E9C-101B-9397-08002B2CF9AE}" pid="9" name="ClassificationContentMarkingFooterText">
    <vt:lpwstr>OFFICIAL</vt:lpwstr>
  </property>
  <property fmtid="{D5CDD505-2E9C-101B-9397-08002B2CF9AE}" pid="10" name="MSIP_Label_7cd3e8b9-ffed-43a8-b7f4-cc2fa0382d36_Enabled">
    <vt:lpwstr>true</vt:lpwstr>
  </property>
  <property fmtid="{D5CDD505-2E9C-101B-9397-08002B2CF9AE}" pid="11" name="MSIP_Label_7cd3e8b9-ffed-43a8-b7f4-cc2fa0382d36_SetDate">
    <vt:lpwstr>2026-02-12T03:24:55Z</vt:lpwstr>
  </property>
  <property fmtid="{D5CDD505-2E9C-101B-9397-08002B2CF9AE}" pid="12" name="MSIP_Label_7cd3e8b9-ffed-43a8-b7f4-cc2fa0382d36_Method">
    <vt:lpwstr>Privileged</vt:lpwstr>
  </property>
  <property fmtid="{D5CDD505-2E9C-101B-9397-08002B2CF9AE}" pid="13" name="MSIP_Label_7cd3e8b9-ffed-43a8-b7f4-cc2fa0382d36_Name">
    <vt:lpwstr>O</vt:lpwstr>
  </property>
  <property fmtid="{D5CDD505-2E9C-101B-9397-08002B2CF9AE}" pid="14" name="MSIP_Label_7cd3e8b9-ffed-43a8-b7f4-cc2fa0382d36_SiteId">
    <vt:lpwstr>34a3929c-73cf-4954-abfe-147dc3517892</vt:lpwstr>
  </property>
  <property fmtid="{D5CDD505-2E9C-101B-9397-08002B2CF9AE}" pid="15" name="MSIP_Label_7cd3e8b9-ffed-43a8-b7f4-cc2fa0382d36_ActionId">
    <vt:lpwstr>b0d1313b-ace4-4046-a155-79859749b1b1</vt:lpwstr>
  </property>
  <property fmtid="{D5CDD505-2E9C-101B-9397-08002B2CF9AE}" pid="16" name="MSIP_Label_7cd3e8b9-ffed-43a8-b7f4-cc2fa0382d36_ContentBits">
    <vt:lpwstr>3</vt:lpwstr>
  </property>
  <property fmtid="{D5CDD505-2E9C-101B-9397-08002B2CF9AE}" pid="17" name="MSIP_Label_7cd3e8b9-ffed-43a8-b7f4-cc2fa0382d36_Tag">
    <vt:lpwstr>10, 0, 1, 1</vt:lpwstr>
  </property>
</Properties>
</file>